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210F5" w:rsidR="003A74F0" w:rsidP="003210F5" w:rsidRDefault="003A74F0" w14:paraId="5378ADDF" w14:textId="77777777">
      <w:pPr>
        <w:rPr>
          <w:rFonts w:ascii="Times New Roman" w:hAnsi="Times New Roman" w:cs="Times New Roman"/>
        </w:rPr>
      </w:pPr>
    </w:p>
    <w:p w:rsidRPr="003210F5" w:rsidR="007A4070" w:rsidP="003210F5" w:rsidRDefault="007A4070" w14:paraId="46E29EF7" w14:textId="77777777"/>
    <w:p w:rsidRPr="003210F5" w:rsidR="007A4070" w:rsidP="003210F5" w:rsidRDefault="003A74F0" w14:paraId="7EF95566" w14:textId="6CD8304E">
      <w:pPr>
        <w:pStyle w:val="DecHCase"/>
      </w:pPr>
      <w:r w:rsidRPr="003210F5">
        <w:t>PREMIÈRE SECTION</w:t>
      </w:r>
    </w:p>
    <w:p w:rsidRPr="003210F5" w:rsidR="007A4070" w:rsidP="003210F5" w:rsidRDefault="007A4070" w14:paraId="3E4E2AEF" w14:textId="7E644015">
      <w:pPr>
        <w:pStyle w:val="JuTitle"/>
      </w:pPr>
      <w:r w:rsidRPr="003210F5">
        <w:t xml:space="preserve">AFFAIRE </w:t>
      </w:r>
      <w:r w:rsidRPr="003210F5" w:rsidR="003A74F0">
        <w:t>ZOGRAFOS ET AUTRES c. GRÈCE</w:t>
      </w:r>
    </w:p>
    <w:p w:rsidRPr="003210F5" w:rsidR="007A4070" w:rsidP="003210F5" w:rsidRDefault="007A4070" w14:paraId="281E2DB6" w14:textId="01B20839">
      <w:pPr>
        <w:pStyle w:val="ECHRCoverTitle4"/>
      </w:pPr>
      <w:r w:rsidRPr="003210F5">
        <w:t>(</w:t>
      </w:r>
      <w:r w:rsidRPr="003210F5" w:rsidR="003A74F0">
        <w:t>Requête n</w:t>
      </w:r>
      <w:r w:rsidRPr="003210F5" w:rsidR="003A74F0">
        <w:rPr>
          <w:vertAlign w:val="superscript"/>
        </w:rPr>
        <w:t>o</w:t>
      </w:r>
      <w:r w:rsidRPr="003210F5">
        <w:t xml:space="preserve"> </w:t>
      </w:r>
      <w:r w:rsidRPr="003210F5" w:rsidR="003A74F0">
        <w:t>29744/13</w:t>
      </w:r>
      <w:r w:rsidRPr="003210F5">
        <w:t>)</w:t>
      </w:r>
    </w:p>
    <w:p w:rsidRPr="003210F5" w:rsidR="007A4070" w:rsidP="003210F5" w:rsidRDefault="007A4070" w14:paraId="28CC70B7" w14:textId="77777777">
      <w:pPr>
        <w:pStyle w:val="DecHCase"/>
      </w:pPr>
    </w:p>
    <w:p w:rsidRPr="003210F5" w:rsidR="007A4070" w:rsidP="003210F5" w:rsidRDefault="007A4070" w14:paraId="460CEEE7" w14:textId="77777777">
      <w:pPr>
        <w:pStyle w:val="DecHCase"/>
      </w:pPr>
    </w:p>
    <w:p w:rsidRPr="003210F5" w:rsidR="007A4070" w:rsidP="003210F5" w:rsidRDefault="007A4070" w14:paraId="7935E643" w14:textId="77777777">
      <w:pPr>
        <w:pStyle w:val="DecHCase"/>
      </w:pPr>
    </w:p>
    <w:p w:rsidRPr="003210F5" w:rsidR="007A4070" w:rsidP="003210F5" w:rsidRDefault="007A4070" w14:paraId="23CF8A15" w14:textId="77777777">
      <w:pPr>
        <w:pStyle w:val="DecHCase"/>
      </w:pPr>
    </w:p>
    <w:p w:rsidRPr="003210F5" w:rsidR="007A4070" w:rsidP="003210F5" w:rsidRDefault="007A4070" w14:paraId="6BF11746" w14:textId="77777777">
      <w:pPr>
        <w:pStyle w:val="DecHCase"/>
      </w:pPr>
    </w:p>
    <w:p w:rsidRPr="003210F5" w:rsidR="007A4070" w:rsidP="003210F5" w:rsidRDefault="007A4070" w14:paraId="1B16DBDB" w14:textId="77777777">
      <w:pPr>
        <w:pStyle w:val="DecHCase"/>
      </w:pPr>
    </w:p>
    <w:p w:rsidRPr="003210F5" w:rsidR="007A4070" w:rsidP="003210F5" w:rsidRDefault="007A4070" w14:paraId="56FD2B1C" w14:textId="66A47E32">
      <w:pPr>
        <w:pStyle w:val="DecHCase"/>
      </w:pPr>
      <w:r w:rsidRPr="003210F5">
        <w:t>ARRÊT</w:t>
      </w:r>
      <w:r w:rsidRPr="003210F5">
        <w:br/>
      </w:r>
    </w:p>
    <w:p w:rsidRPr="003210F5" w:rsidR="007A4070" w:rsidP="003210F5" w:rsidRDefault="007A4070" w14:paraId="496BC71C" w14:textId="77777777">
      <w:pPr>
        <w:pStyle w:val="DecHCase"/>
      </w:pPr>
      <w:r w:rsidRPr="003210F5">
        <w:t>STRASBOURG</w:t>
      </w:r>
    </w:p>
    <w:p w:rsidRPr="003210F5" w:rsidR="007A4070" w:rsidP="003210F5" w:rsidRDefault="003A74F0" w14:paraId="46C25344" w14:textId="3943BE41">
      <w:pPr>
        <w:pStyle w:val="DecHCase"/>
      </w:pPr>
      <w:r w:rsidRPr="003210F5">
        <w:t>19 mai 2022</w:t>
      </w:r>
    </w:p>
    <w:p w:rsidRPr="003210F5" w:rsidR="007A4070" w:rsidP="003210F5" w:rsidRDefault="007A4070" w14:paraId="2801263B" w14:textId="77777777">
      <w:pPr>
        <w:pStyle w:val="DecHCase"/>
      </w:pPr>
    </w:p>
    <w:p w:rsidRPr="003210F5" w:rsidR="00516B59" w:rsidP="003210F5" w:rsidRDefault="007A4070" w14:paraId="4F2466B2" w14:textId="78E0D36C">
      <w:pPr>
        <w:rPr>
          <w:rFonts w:ascii="Times New Roman" w:hAnsi="Times New Roman" w:cs="Times New Roman"/>
          <w:i/>
          <w:sz w:val="22"/>
        </w:rPr>
      </w:pPr>
      <w:r w:rsidRPr="003210F5">
        <w:rPr>
          <w:i/>
          <w:sz w:val="22"/>
        </w:rPr>
        <w:t xml:space="preserve">Cet arrêt </w:t>
      </w:r>
      <w:r w:rsidRPr="003210F5" w:rsidR="003A74F0">
        <w:rPr>
          <w:i/>
          <w:sz w:val="22"/>
        </w:rPr>
        <w:t>est définitif</w:t>
      </w:r>
      <w:r w:rsidRPr="003210F5">
        <w:rPr>
          <w:i/>
          <w:sz w:val="22"/>
        </w:rPr>
        <w:t>. Il peut subir des retouches de fo</w:t>
      </w:r>
      <w:r w:rsidRPr="003210F5" w:rsidR="00516B59">
        <w:rPr>
          <w:rFonts w:ascii="Times New Roman" w:hAnsi="Times New Roman" w:cs="Times New Roman"/>
          <w:i/>
          <w:sz w:val="22"/>
        </w:rPr>
        <w:t>rme.</w:t>
      </w:r>
    </w:p>
    <w:p w:rsidRPr="003210F5" w:rsidR="00516B59" w:rsidP="003210F5" w:rsidRDefault="00516B59" w14:paraId="42849C85" w14:textId="77777777">
      <w:pPr>
        <w:ind w:left="720"/>
        <w:rPr>
          <w:rFonts w:ascii="Times New Roman" w:hAnsi="Times New Roman" w:cs="Times New Roman"/>
          <w:sz w:val="22"/>
        </w:rPr>
        <w:sectPr w:rsidRPr="003210F5"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3210F5" w:rsidR="004344E6" w:rsidP="003210F5" w:rsidRDefault="004344E6" w14:paraId="74757CB2" w14:textId="5AEEA36B">
      <w:pPr>
        <w:pStyle w:val="JuCase"/>
      </w:pPr>
      <w:r w:rsidRPr="003210F5">
        <w:t>En l</w:t>
      </w:r>
      <w:r w:rsidRPr="003210F5" w:rsidR="003210F5">
        <w:t>’</w:t>
      </w:r>
      <w:r w:rsidRPr="003210F5">
        <w:t xml:space="preserve">affaire </w:t>
      </w:r>
      <w:r w:rsidRPr="003210F5" w:rsidR="003A74F0">
        <w:t>Zografos et autres c. Grèce</w:t>
      </w:r>
      <w:r w:rsidRPr="003210F5">
        <w:t>,</w:t>
      </w:r>
    </w:p>
    <w:p w:rsidRPr="003210F5" w:rsidR="004344E6" w:rsidP="003210F5" w:rsidRDefault="004344E6" w14:paraId="5A3DA575" w14:textId="70685B75">
      <w:pPr>
        <w:pStyle w:val="JuPara"/>
      </w:pPr>
      <w:r w:rsidRPr="003210F5">
        <w:t>La Cour européenne des droits de l</w:t>
      </w:r>
      <w:r w:rsidRPr="003210F5" w:rsidR="003210F5">
        <w:t>’</w:t>
      </w:r>
      <w:r w:rsidRPr="003210F5">
        <w:t>homme (</w:t>
      </w:r>
      <w:r w:rsidRPr="003210F5" w:rsidR="003A74F0">
        <w:t>première section</w:t>
      </w:r>
      <w:r w:rsidRPr="003210F5">
        <w:t xml:space="preserve">), siégeant en </w:t>
      </w:r>
      <w:r w:rsidRPr="003210F5" w:rsidR="003A74F0">
        <w:rPr>
          <w:color w:val="000000"/>
        </w:rPr>
        <w:t>un</w:t>
      </w:r>
      <w:r w:rsidRPr="003210F5" w:rsidR="003A74F0">
        <w:t xml:space="preserve"> comité</w:t>
      </w:r>
      <w:r w:rsidRPr="003210F5" w:rsidR="007729F3">
        <w:t xml:space="preserve"> </w:t>
      </w:r>
      <w:r w:rsidRPr="003210F5" w:rsidR="003A74F0">
        <w:t>composé</w:t>
      </w:r>
      <w:r w:rsidRPr="003210F5">
        <w:t xml:space="preserve"> de :</w:t>
      </w:r>
    </w:p>
    <w:p w:rsidRPr="003210F5" w:rsidR="003210F5" w:rsidP="003210F5" w:rsidRDefault="008018F9" w14:paraId="4D390CD0" w14:textId="77777777">
      <w:pPr>
        <w:pStyle w:val="JuJudges"/>
        <w:rPr>
          <w:i/>
          <w:iCs/>
        </w:rPr>
      </w:pPr>
      <w:r w:rsidRPr="003210F5">
        <w:tab/>
        <w:t xml:space="preserve">Krzysztof Wojtyczek, </w:t>
      </w:r>
      <w:r w:rsidRPr="003210F5">
        <w:rPr>
          <w:i/>
          <w:iCs/>
        </w:rPr>
        <w:t>président,</w:t>
      </w:r>
    </w:p>
    <w:p w:rsidRPr="003210F5" w:rsidR="003210F5" w:rsidP="003210F5" w:rsidRDefault="008018F9" w14:paraId="34D2315C" w14:textId="77777777">
      <w:pPr>
        <w:pStyle w:val="JuJudges"/>
        <w:rPr>
          <w:i/>
          <w:iCs/>
        </w:rPr>
      </w:pPr>
      <w:r w:rsidRPr="003210F5">
        <w:tab/>
        <w:t>Erik Wennerström,</w:t>
      </w:r>
    </w:p>
    <w:p w:rsidRPr="003210F5" w:rsidR="008018F9" w:rsidP="003210F5" w:rsidRDefault="008018F9" w14:paraId="254DE69E" w14:textId="20AD563D">
      <w:pPr>
        <w:pStyle w:val="JuJudges"/>
      </w:pPr>
      <w:r w:rsidRPr="003210F5">
        <w:tab/>
        <w:t xml:space="preserve">Ioannis Ktistakis, </w:t>
      </w:r>
      <w:r w:rsidRPr="003210F5">
        <w:rPr>
          <w:i/>
          <w:iCs/>
        </w:rPr>
        <w:t>juges</w:t>
      </w:r>
      <w:r w:rsidRPr="003210F5">
        <w:t>,</w:t>
      </w:r>
    </w:p>
    <w:p w:rsidRPr="003210F5" w:rsidR="004344E6" w:rsidP="003210F5" w:rsidRDefault="004344E6" w14:paraId="0A016FD2" w14:textId="6DE27FCE">
      <w:pPr>
        <w:pStyle w:val="JuJudges"/>
      </w:pPr>
      <w:r w:rsidRPr="003210F5">
        <w:t xml:space="preserve">et de </w:t>
      </w:r>
      <w:r w:rsidRPr="003210F5" w:rsidR="008018F9">
        <w:t>Attila Teplán</w:t>
      </w:r>
      <w:r w:rsidRPr="003210F5">
        <w:t xml:space="preserve">, </w:t>
      </w:r>
      <w:r w:rsidRPr="003210F5" w:rsidR="003A74F0">
        <w:rPr>
          <w:i/>
        </w:rPr>
        <w:t>greffi</w:t>
      </w:r>
      <w:r w:rsidRPr="003210F5" w:rsidR="008018F9">
        <w:rPr>
          <w:i/>
        </w:rPr>
        <w:t>er</w:t>
      </w:r>
      <w:r w:rsidRPr="003210F5" w:rsidR="003A74F0">
        <w:rPr>
          <w:i/>
        </w:rPr>
        <w:t xml:space="preserve"> adjoint</w:t>
      </w:r>
      <w:r w:rsidRPr="003210F5" w:rsidR="003A74F0">
        <w:rPr>
          <w:iCs/>
        </w:rPr>
        <w:t xml:space="preserve"> </w:t>
      </w:r>
      <w:r w:rsidRPr="003210F5" w:rsidR="003A74F0">
        <w:rPr>
          <w:i/>
          <w:iCs/>
        </w:rPr>
        <w:t>d</w:t>
      </w:r>
      <w:r w:rsidRPr="003210F5" w:rsidR="003A74F0">
        <w:rPr>
          <w:i/>
        </w:rPr>
        <w:t>e section</w:t>
      </w:r>
      <w:r w:rsidRPr="003210F5" w:rsidR="008018F9">
        <w:rPr>
          <w:i/>
        </w:rPr>
        <w:t xml:space="preserve"> f.f.</w:t>
      </w:r>
      <w:r w:rsidRPr="003210F5">
        <w:t>,</w:t>
      </w:r>
    </w:p>
    <w:p w:rsidRPr="003210F5" w:rsidR="003A74F0" w:rsidP="003210F5" w:rsidRDefault="003A74F0" w14:paraId="742B777E" w14:textId="77777777">
      <w:pPr>
        <w:pStyle w:val="JuPara"/>
      </w:pPr>
      <w:r w:rsidRPr="003210F5">
        <w:t>Vu :</w:t>
      </w:r>
    </w:p>
    <w:p w:rsidRPr="003210F5" w:rsidR="003A74F0" w:rsidP="003210F5" w:rsidRDefault="003A74F0" w14:paraId="4294236B" w14:textId="43D9B9B9">
      <w:pPr>
        <w:pStyle w:val="JuPara"/>
      </w:pPr>
      <w:r w:rsidRPr="003210F5">
        <w:t>la requête (n</w:t>
      </w:r>
      <w:r w:rsidRPr="003210F5">
        <w:rPr>
          <w:vertAlign w:val="superscript"/>
        </w:rPr>
        <w:t>o</w:t>
      </w:r>
      <w:r w:rsidRPr="003210F5">
        <w:t xml:space="preserve"> 29744/13) dirigée contre la République hellénique et dont trente-quatre ressortissants de différentes nationalités (« les requérants ») ont </w:t>
      </w:r>
      <w:bookmarkStart w:name="_Hlk36124016" w:id="0"/>
      <w:r w:rsidRPr="003210F5">
        <w:t>saisi la Cour le 30 avril 2013 en vertu de l</w:t>
      </w:r>
      <w:r w:rsidRPr="003210F5" w:rsidR="003210F5">
        <w:t>’</w:t>
      </w:r>
      <w:r w:rsidRPr="003210F5">
        <w:t>article 34 de la Convention de sauvegarde des droits de l</w:t>
      </w:r>
      <w:r w:rsidRPr="003210F5" w:rsidR="003210F5">
        <w:t>’</w:t>
      </w:r>
      <w:r w:rsidRPr="003210F5">
        <w:t>homme et des libertés fondamentales (« la Convention »)</w:t>
      </w:r>
      <w:bookmarkEnd w:id="0"/>
      <w:r w:rsidRPr="003210F5">
        <w:t>,</w:t>
      </w:r>
    </w:p>
    <w:p w:rsidRPr="003210F5" w:rsidR="003A74F0" w:rsidP="003210F5" w:rsidRDefault="003A74F0" w14:paraId="481FA972" w14:textId="270E93F1">
      <w:pPr>
        <w:pStyle w:val="JuPara"/>
      </w:pPr>
      <w:r w:rsidRPr="003210F5">
        <w:t>la décision de porter à la connaissance du gouvernement grec (« le Gouvernement ») les griefs relatifs aux articles 3 et 13 de la Convention pour autant qu</w:t>
      </w:r>
      <w:r w:rsidRPr="003210F5" w:rsidR="003210F5">
        <w:t>’</w:t>
      </w:r>
      <w:r w:rsidRPr="003210F5">
        <w:t>ils concernent la prison de Kassandra et de déclarer irrecevable la requête pour le surplus,</w:t>
      </w:r>
    </w:p>
    <w:p w:rsidRPr="003210F5" w:rsidR="003A74F0" w:rsidP="003210F5" w:rsidRDefault="003A74F0" w14:paraId="01B451A2" w14:textId="6ECE2DDB">
      <w:pPr>
        <w:pStyle w:val="JuPara"/>
      </w:pPr>
      <w:r w:rsidRPr="003210F5">
        <w:t>le fait que les gouvernements</w:t>
      </w:r>
      <w:r w:rsidRPr="003210F5">
        <w:rPr>
          <w:rFonts w:ascii="Arial" w:hAnsi="Arial" w:cs="Arial"/>
          <w:color w:val="000000"/>
        </w:rPr>
        <w:t xml:space="preserve"> </w:t>
      </w:r>
      <w:r w:rsidRPr="003210F5">
        <w:t>albanais et bulgare n</w:t>
      </w:r>
      <w:r w:rsidRPr="003210F5" w:rsidR="003210F5">
        <w:t>’</w:t>
      </w:r>
      <w:r w:rsidRPr="003210F5">
        <w:t>ont pas usé du droit que leur conférait l</w:t>
      </w:r>
      <w:r w:rsidRPr="003210F5" w:rsidR="003210F5">
        <w:t>’</w:t>
      </w:r>
      <w:r w:rsidRPr="003210F5">
        <w:t>article 36 § 1 de la Convention d</w:t>
      </w:r>
      <w:r w:rsidRPr="003210F5" w:rsidR="003210F5">
        <w:t>’</w:t>
      </w:r>
      <w:r w:rsidRPr="003210F5">
        <w:t>intervenir dans la procédure,</w:t>
      </w:r>
    </w:p>
    <w:p w:rsidRPr="003210F5" w:rsidR="003A74F0" w:rsidP="003210F5" w:rsidRDefault="003A74F0" w14:paraId="7DAC77CF" w14:textId="77777777">
      <w:pPr>
        <w:pStyle w:val="JuPara"/>
      </w:pPr>
      <w:r w:rsidRPr="003210F5">
        <w:t>les observations des parties,</w:t>
      </w:r>
    </w:p>
    <w:p w:rsidRPr="003210F5" w:rsidR="004344E6" w:rsidP="003210F5" w:rsidRDefault="004344E6" w14:paraId="5C7D36BD" w14:textId="5D0052FC">
      <w:pPr>
        <w:pStyle w:val="JuPara"/>
      </w:pPr>
      <w:r w:rsidRPr="003210F5">
        <w:t xml:space="preserve">Après en avoir délibéré en chambre du conseil le </w:t>
      </w:r>
      <w:r w:rsidRPr="003210F5" w:rsidR="003A74F0">
        <w:t>26 avril 2022</w:t>
      </w:r>
      <w:r w:rsidRPr="003210F5">
        <w:t>,</w:t>
      </w:r>
    </w:p>
    <w:p w:rsidRPr="003210F5" w:rsidR="00876F03" w:rsidP="003210F5" w:rsidRDefault="004344E6" w14:paraId="4AA9C8DA" w14:textId="1211CB0A">
      <w:pPr>
        <w:pStyle w:val="JuPara"/>
      </w:pPr>
      <w:r w:rsidRPr="003210F5">
        <w:t>Rend l</w:t>
      </w:r>
      <w:r w:rsidRPr="003210F5" w:rsidR="003210F5">
        <w:t>’</w:t>
      </w:r>
      <w:r w:rsidRPr="003210F5">
        <w:t>arrêt que voici</w:t>
      </w:r>
      <w:r w:rsidRPr="003210F5" w:rsidR="00876F03">
        <w:t>, adopté à cette date :</w:t>
      </w:r>
    </w:p>
    <w:p w:rsidRPr="003210F5" w:rsidR="003A74F0" w:rsidP="003210F5" w:rsidRDefault="003A74F0" w14:paraId="6E8B2504" w14:textId="77777777">
      <w:pPr>
        <w:pStyle w:val="JuHHead"/>
      </w:pPr>
      <w:r w:rsidRPr="003210F5">
        <w:rPr>
          <w:caps w:val="0"/>
        </w:rPr>
        <w:t>INTRODUCTION</w:t>
      </w:r>
    </w:p>
    <w:p w:rsidRPr="003210F5" w:rsidR="003A74F0" w:rsidP="003210F5" w:rsidRDefault="003A74F0" w14:paraId="6B17F1C7" w14:textId="29CFA573">
      <w:pPr>
        <w:pStyle w:val="JuPara"/>
      </w:pPr>
      <w:r w:rsidRPr="003210F5">
        <w:fldChar w:fldCharType="begin"/>
      </w:r>
      <w:r w:rsidRPr="003210F5">
        <w:instrText xml:space="preserve"> SEQ level0 \*arabic </w:instrText>
      </w:r>
      <w:r w:rsidRPr="003210F5">
        <w:fldChar w:fldCharType="separate"/>
      </w:r>
      <w:r w:rsidRPr="003210F5" w:rsidR="003210F5">
        <w:rPr>
          <w:noProof/>
        </w:rPr>
        <w:t>1</w:t>
      </w:r>
      <w:r w:rsidRPr="003210F5">
        <w:fldChar w:fldCharType="end"/>
      </w:r>
      <w:r w:rsidRPr="003210F5">
        <w:t>.  La présente affaire concerne les conditions de détention dans la prison agricole de Kassandra.</w:t>
      </w:r>
    </w:p>
    <w:p w:rsidRPr="003210F5" w:rsidR="003A74F0" w:rsidP="003210F5" w:rsidRDefault="003A74F0" w14:paraId="10A34BB8" w14:textId="77777777">
      <w:pPr>
        <w:pStyle w:val="JuHHead"/>
      </w:pPr>
      <w:bookmarkStart w:name="_Hlk36126677" w:id="1"/>
      <w:r w:rsidRPr="003210F5">
        <w:t>EN FAIT</w:t>
      </w:r>
    </w:p>
    <w:bookmarkStart w:name="_Hlk90027998" w:id="2"/>
    <w:bookmarkStart w:name="_Hlk90024307" w:id="3"/>
    <w:bookmarkStart w:name="_Hlk36127227" w:id="4"/>
    <w:bookmarkEnd w:id="1"/>
    <w:p w:rsidRPr="003210F5" w:rsidR="003A74F0" w:rsidP="003210F5" w:rsidRDefault="003A74F0" w14:paraId="639C7F06" w14:textId="67C6FA8A">
      <w:pPr>
        <w:pStyle w:val="JuPara"/>
      </w:pPr>
      <w:r w:rsidRPr="003210F5">
        <w:fldChar w:fldCharType="begin"/>
      </w:r>
      <w:r w:rsidRPr="003210F5">
        <w:instrText xml:space="preserve"> SEQ level0 \*arabic </w:instrText>
      </w:r>
      <w:r w:rsidRPr="003210F5">
        <w:fldChar w:fldCharType="separate"/>
      </w:r>
      <w:r w:rsidRPr="003210F5" w:rsidR="003210F5">
        <w:rPr>
          <w:noProof/>
        </w:rPr>
        <w:t>2</w:t>
      </w:r>
      <w:r w:rsidRPr="003210F5">
        <w:fldChar w:fldCharType="end"/>
      </w:r>
      <w:r w:rsidRPr="003210F5">
        <w:t>.  Les requérants, dont la liste figure en annexe, sont incarcérés dans la prison agricole de Kassandra dans le cadre d</w:t>
      </w:r>
      <w:r w:rsidRPr="003210F5" w:rsidR="003210F5">
        <w:t>’</w:t>
      </w:r>
      <w:r w:rsidRPr="003210F5">
        <w:t>une détention provisoire ou d</w:t>
      </w:r>
      <w:r w:rsidRPr="003210F5" w:rsidR="003210F5">
        <w:t>’</w:t>
      </w:r>
      <w:r w:rsidRPr="003210F5">
        <w:t>une décision de condamnation. Ils sont représentés par M</w:t>
      </w:r>
      <w:r w:rsidRPr="003210F5">
        <w:rPr>
          <w:vertAlign w:val="superscript"/>
        </w:rPr>
        <w:t>es</w:t>
      </w:r>
      <w:r w:rsidRPr="003210F5">
        <w:t> E</w:t>
      </w:r>
      <w:bookmarkStart w:name="_Hlk103781814" w:id="5"/>
      <w:r w:rsidRPr="003210F5">
        <w:t>.-L. Koutra, avocate au barreau d</w:t>
      </w:r>
      <w:r w:rsidRPr="003210F5" w:rsidR="003210F5">
        <w:t>’</w:t>
      </w:r>
      <w:r w:rsidRPr="003210F5">
        <w:t>Athènes et X. Moisidou, avocate au barreau de Thessalonique.</w:t>
      </w:r>
    </w:p>
    <w:bookmarkEnd w:id="5"/>
    <w:p w:rsidRPr="003210F5" w:rsidR="003A74F0" w:rsidP="003210F5" w:rsidRDefault="003A74F0" w14:paraId="05C1F754" w14:textId="59AC2651">
      <w:pPr>
        <w:pStyle w:val="JuPara"/>
      </w:pPr>
      <w:r w:rsidRPr="003210F5">
        <w:fldChar w:fldCharType="begin"/>
      </w:r>
      <w:r w:rsidRPr="003210F5">
        <w:instrText xml:space="preserve"> SEQ level0 \*arabic </w:instrText>
      </w:r>
      <w:r w:rsidRPr="003210F5">
        <w:fldChar w:fldCharType="separate"/>
      </w:r>
      <w:r w:rsidRPr="003210F5" w:rsidR="003210F5">
        <w:rPr>
          <w:noProof/>
        </w:rPr>
        <w:t>3</w:t>
      </w:r>
      <w:r w:rsidRPr="003210F5">
        <w:fldChar w:fldCharType="end"/>
      </w:r>
      <w:r w:rsidRPr="003210F5">
        <w:t>. </w:t>
      </w:r>
      <w:bookmarkStart w:name="_Hlk36127123" w:id="6"/>
      <w:r w:rsidRPr="003210F5">
        <w:t> Le Gouvernement a été représenté par les déléguées de son agent, M</w:t>
      </w:r>
      <w:r w:rsidRPr="003210F5">
        <w:rPr>
          <w:vertAlign w:val="superscript"/>
        </w:rPr>
        <w:t>es </w:t>
      </w:r>
      <w:r w:rsidRPr="003210F5">
        <w:t>A. Dimitrakopoulou et M. Gerani, assesseures auprès du Conseil juridique de l</w:t>
      </w:r>
      <w:r w:rsidRPr="003210F5" w:rsidR="003210F5">
        <w:t>’</w:t>
      </w:r>
      <w:r w:rsidRPr="003210F5">
        <w:t>État.</w:t>
      </w:r>
      <w:bookmarkEnd w:id="6"/>
    </w:p>
    <w:p w:rsidRPr="003210F5" w:rsidR="003A74F0" w:rsidP="003210F5" w:rsidRDefault="003A74F0" w14:paraId="7D3A0570" w14:textId="03133FD4">
      <w:pPr>
        <w:pStyle w:val="JuHIRoman"/>
      </w:pPr>
      <w:bookmarkStart w:name="_Hlk98154615" w:id="7"/>
      <w:bookmarkStart w:name="four" w:id="8"/>
      <w:r w:rsidRPr="003210F5">
        <w:t>LES CIRCONSTANCES DE L</w:t>
      </w:r>
      <w:r w:rsidRPr="003210F5" w:rsidR="003210F5">
        <w:t>’</w:t>
      </w:r>
      <w:r w:rsidRPr="003210F5">
        <w:t>ESPÉCE</w:t>
      </w:r>
    </w:p>
    <w:bookmarkEnd w:id="7"/>
    <w:p w:rsidRPr="003210F5" w:rsidR="003A74F0" w:rsidP="003210F5" w:rsidRDefault="003A74F0" w14:paraId="35EF952C" w14:textId="32FC165D">
      <w:pPr>
        <w:pStyle w:val="JuPara"/>
      </w:pPr>
      <w:r w:rsidRPr="003210F5">
        <w:fldChar w:fldCharType="begin"/>
      </w:r>
      <w:r w:rsidRPr="003210F5">
        <w:instrText xml:space="preserve"> SEQ level0 \*arabic </w:instrText>
      </w:r>
      <w:r w:rsidRPr="003210F5">
        <w:fldChar w:fldCharType="separate"/>
      </w:r>
      <w:r w:rsidRPr="003210F5" w:rsidR="003210F5">
        <w:rPr>
          <w:noProof/>
        </w:rPr>
        <w:t>4</w:t>
      </w:r>
      <w:r w:rsidRPr="003210F5">
        <w:fldChar w:fldCharType="end"/>
      </w:r>
      <w:bookmarkEnd w:id="8"/>
      <w:r w:rsidRPr="003210F5">
        <w:t>.  Le tableau suivant indique les lieux et périodes de détention de chaque requérant dans la prison de Kassandra selon les observations du Gouvernement, les fiches de détenus et les certificats délivrés par le directeur de la prison, qui contiennent des informations détaillées sur les requérants, les dates de leur entrée, de leur libération ou de leur transfert, et les chambrées ou les locaux où ils ont été détenus. Les requérants ne présentent pas d</w:t>
      </w:r>
      <w:r w:rsidRPr="003210F5" w:rsidR="003210F5">
        <w:t>’</w:t>
      </w:r>
      <w:r w:rsidRPr="003210F5">
        <w:t>observations spécifiques sur ces données.</w:t>
      </w:r>
    </w:p>
    <w:p w:rsidRPr="003210F5" w:rsidR="003A74F0" w:rsidP="003210F5" w:rsidRDefault="003A74F0" w14:paraId="433A79A6" w14:textId="77777777">
      <w:pPr>
        <w:jc w:val="both"/>
        <w:rPr>
          <w:rFonts w:asciiTheme="majorHAnsi" w:hAnsiTheme="majorHAnsi" w:cstheme="majorHAnsi"/>
          <w:sz w:val="20"/>
          <w:szCs w:val="20"/>
        </w:rPr>
      </w:pPr>
    </w:p>
    <w:tbl>
      <w:tblPr>
        <w:tblStyle w:val="ECHRListTable1"/>
        <w:tblpPr w:leftFromText="141" w:rightFromText="141" w:vertAnchor="text" w:tblpX="-431" w:tblpY="1"/>
        <w:tblOverlap w:val="never"/>
        <w:tblW w:w="5688" w:type="pct"/>
        <w:tblLayout w:type="fixed"/>
        <w:tblLook w:val="0420" w:firstRow="1" w:lastRow="0" w:firstColumn="0" w:lastColumn="0" w:noHBand="0" w:noVBand="1"/>
      </w:tblPr>
      <w:tblGrid>
        <w:gridCol w:w="1129"/>
        <w:gridCol w:w="1701"/>
        <w:gridCol w:w="2409"/>
        <w:gridCol w:w="1709"/>
        <w:gridCol w:w="1411"/>
      </w:tblGrid>
      <w:tr w:rsidRPr="003210F5" w:rsidR="003A74F0" w:rsidTr="00FB534C" w14:paraId="76ADA4AC" w14:textId="77777777">
        <w:trPr>
          <w:cnfStyle w:val="100000000000" w:firstRow="1" w:lastRow="0" w:firstColumn="0" w:lastColumn="0" w:oddVBand="0" w:evenVBand="0" w:oddHBand="0" w:evenHBand="0" w:firstRowFirstColumn="0" w:firstRowLastColumn="0" w:lastRowFirstColumn="0" w:lastRowLastColumn="0"/>
        </w:trPr>
        <w:tc>
          <w:tcPr>
            <w:tcW w:w="675" w:type="pct"/>
          </w:tcPr>
          <w:p w:rsidRPr="003210F5" w:rsidR="003A74F0" w:rsidP="003210F5" w:rsidRDefault="003A74F0" w14:paraId="3559A5C7" w14:textId="77777777">
            <w:pPr>
              <w:rPr>
                <w:rFonts w:asciiTheme="majorHAnsi" w:hAnsiTheme="majorHAnsi" w:cstheme="majorHAnsi"/>
                <w:b w:val="0"/>
                <w:sz w:val="20"/>
                <w:szCs w:val="20"/>
              </w:rPr>
            </w:pPr>
            <w:r w:rsidRPr="003210F5">
              <w:rPr>
                <w:rFonts w:asciiTheme="majorHAnsi" w:hAnsiTheme="majorHAnsi" w:cstheme="majorHAnsi"/>
                <w:sz w:val="20"/>
                <w:szCs w:val="20"/>
              </w:rPr>
              <w:t>Requérant</w:t>
            </w:r>
          </w:p>
          <w:p w:rsidRPr="003210F5" w:rsidR="003A74F0" w:rsidP="003210F5" w:rsidRDefault="003A74F0" w14:paraId="4B39A047" w14:textId="77777777">
            <w:pPr>
              <w:rPr>
                <w:rFonts w:asciiTheme="majorHAnsi" w:hAnsiTheme="majorHAnsi" w:cstheme="majorHAnsi"/>
                <w:sz w:val="20"/>
                <w:szCs w:val="20"/>
              </w:rPr>
            </w:pPr>
            <w:r w:rsidRPr="003210F5">
              <w:rPr>
                <w:rFonts w:asciiTheme="majorHAnsi" w:hAnsiTheme="majorHAnsi" w:cstheme="majorHAnsi"/>
                <w:sz w:val="20"/>
                <w:szCs w:val="20"/>
              </w:rPr>
              <w:t>n</w:t>
            </w:r>
            <w:r w:rsidRPr="003210F5">
              <w:rPr>
                <w:rFonts w:asciiTheme="majorHAnsi" w:hAnsiTheme="majorHAnsi" w:cstheme="majorHAnsi"/>
                <w:sz w:val="20"/>
                <w:szCs w:val="20"/>
                <w:vertAlign w:val="superscript"/>
              </w:rPr>
              <w:t>o</w:t>
            </w:r>
          </w:p>
        </w:tc>
        <w:tc>
          <w:tcPr>
            <w:tcW w:w="1017" w:type="pct"/>
          </w:tcPr>
          <w:p w:rsidRPr="003210F5" w:rsidR="003A74F0" w:rsidP="003210F5" w:rsidRDefault="003A74F0" w14:paraId="7CC6AD97" w14:textId="77777777">
            <w:pPr>
              <w:rPr>
                <w:rFonts w:asciiTheme="majorHAnsi" w:hAnsiTheme="majorHAnsi" w:cstheme="majorHAnsi"/>
                <w:b w:val="0"/>
                <w:sz w:val="20"/>
                <w:szCs w:val="20"/>
              </w:rPr>
            </w:pPr>
            <w:r w:rsidRPr="003210F5">
              <w:rPr>
                <w:rFonts w:asciiTheme="majorHAnsi" w:hAnsiTheme="majorHAnsi" w:cstheme="majorHAnsi"/>
                <w:sz w:val="20"/>
                <w:szCs w:val="20"/>
              </w:rPr>
              <w:t>Local fermé</w:t>
            </w:r>
          </w:p>
          <w:p w:rsidRPr="003210F5" w:rsidR="003A74F0" w:rsidP="003210F5" w:rsidRDefault="003A74F0" w14:paraId="6CFE65F9" w14:textId="77777777">
            <w:pPr>
              <w:rPr>
                <w:rFonts w:asciiTheme="majorHAnsi" w:hAnsiTheme="majorHAnsi" w:cstheme="majorHAnsi"/>
                <w:b w:val="0"/>
                <w:sz w:val="20"/>
                <w:szCs w:val="20"/>
              </w:rPr>
            </w:pPr>
            <w:r w:rsidRPr="003210F5">
              <w:rPr>
                <w:rFonts w:asciiTheme="majorHAnsi" w:hAnsiTheme="majorHAnsi" w:cstheme="majorHAnsi"/>
                <w:sz w:val="20"/>
                <w:szCs w:val="20"/>
              </w:rPr>
              <w:t>Immeuble A</w:t>
            </w:r>
          </w:p>
          <w:p w:rsidRPr="003210F5" w:rsidR="003A74F0" w:rsidP="003210F5" w:rsidRDefault="003A74F0" w14:paraId="769B05DA" w14:textId="77777777">
            <w:pPr>
              <w:rPr>
                <w:rFonts w:asciiTheme="majorHAnsi" w:hAnsiTheme="majorHAnsi" w:cstheme="majorHAnsi"/>
                <w:bCs/>
                <w:sz w:val="20"/>
                <w:szCs w:val="20"/>
              </w:rPr>
            </w:pPr>
            <w:r w:rsidRPr="003210F5">
              <w:rPr>
                <w:rFonts w:asciiTheme="majorHAnsi" w:hAnsiTheme="majorHAnsi" w:cstheme="majorHAnsi"/>
                <w:bCs/>
                <w:sz w:val="20"/>
                <w:szCs w:val="20"/>
              </w:rPr>
              <w:t>(chambrée</w:t>
            </w:r>
          </w:p>
          <w:p w:rsidRPr="003210F5" w:rsidR="003A74F0" w:rsidP="003210F5" w:rsidRDefault="003A74F0" w14:paraId="343C7AE6" w14:textId="77777777">
            <w:pPr>
              <w:rPr>
                <w:rFonts w:asciiTheme="majorHAnsi" w:hAnsiTheme="majorHAnsi" w:cstheme="majorHAnsi"/>
                <w:b w:val="0"/>
                <w:bCs/>
                <w:sz w:val="20"/>
                <w:szCs w:val="20"/>
              </w:rPr>
            </w:pPr>
            <w:r w:rsidRPr="003210F5">
              <w:rPr>
                <w:rFonts w:asciiTheme="majorHAnsi" w:hAnsiTheme="majorHAnsi" w:cstheme="majorHAnsi"/>
                <w:bCs/>
                <w:sz w:val="20"/>
                <w:szCs w:val="20"/>
              </w:rPr>
              <w:t>non précisée)</w:t>
            </w:r>
          </w:p>
        </w:tc>
        <w:tc>
          <w:tcPr>
            <w:tcW w:w="1441" w:type="pct"/>
          </w:tcPr>
          <w:p w:rsidRPr="003210F5" w:rsidR="003210F5" w:rsidP="003210F5" w:rsidRDefault="003A74F0" w14:paraId="1E22EC67" w14:textId="77777777">
            <w:pPr>
              <w:rPr>
                <w:rFonts w:asciiTheme="majorHAnsi" w:hAnsiTheme="majorHAnsi" w:cstheme="majorHAnsi"/>
                <w:sz w:val="20"/>
                <w:szCs w:val="20"/>
              </w:rPr>
            </w:pPr>
            <w:r w:rsidRPr="003210F5">
              <w:rPr>
                <w:rFonts w:asciiTheme="majorHAnsi" w:hAnsiTheme="majorHAnsi" w:cstheme="majorHAnsi"/>
                <w:sz w:val="20"/>
                <w:szCs w:val="20"/>
              </w:rPr>
              <w:t>Local ouvert</w:t>
            </w:r>
          </w:p>
          <w:p w:rsidRPr="003210F5" w:rsidR="003A74F0" w:rsidP="003210F5" w:rsidRDefault="003A74F0" w14:paraId="0F43A964" w14:textId="7EBC7008">
            <w:pPr>
              <w:rPr>
                <w:rFonts w:asciiTheme="majorHAnsi" w:hAnsiTheme="majorHAnsi" w:cstheme="majorHAnsi"/>
                <w:b w:val="0"/>
                <w:sz w:val="20"/>
                <w:szCs w:val="20"/>
              </w:rPr>
            </w:pPr>
            <w:r w:rsidRPr="003210F5">
              <w:rPr>
                <w:rFonts w:asciiTheme="majorHAnsi" w:hAnsiTheme="majorHAnsi" w:cstheme="majorHAnsi"/>
                <w:sz w:val="20"/>
                <w:szCs w:val="20"/>
              </w:rPr>
              <w:t>Immeubles B ou C/ salle des soins</w:t>
            </w:r>
          </w:p>
          <w:p w:rsidRPr="003210F5" w:rsidR="003A74F0" w:rsidP="003210F5" w:rsidRDefault="003A74F0" w14:paraId="31C62105" w14:textId="77777777">
            <w:pPr>
              <w:rPr>
                <w:rFonts w:asciiTheme="majorHAnsi" w:hAnsiTheme="majorHAnsi" w:cstheme="majorHAnsi"/>
                <w:sz w:val="20"/>
                <w:szCs w:val="20"/>
              </w:rPr>
            </w:pPr>
          </w:p>
        </w:tc>
        <w:tc>
          <w:tcPr>
            <w:tcW w:w="1022" w:type="pct"/>
          </w:tcPr>
          <w:p w:rsidRPr="003210F5" w:rsidR="003A74F0" w:rsidP="003210F5" w:rsidRDefault="003A74F0" w14:paraId="18ED7F6E" w14:textId="77777777">
            <w:pPr>
              <w:rPr>
                <w:rFonts w:asciiTheme="majorHAnsi" w:hAnsiTheme="majorHAnsi" w:cstheme="majorHAnsi"/>
                <w:sz w:val="20"/>
                <w:szCs w:val="20"/>
              </w:rPr>
            </w:pPr>
            <w:r w:rsidRPr="003210F5">
              <w:rPr>
                <w:rFonts w:asciiTheme="majorHAnsi" w:hAnsiTheme="majorHAnsi" w:cstheme="majorHAnsi"/>
                <w:sz w:val="20"/>
                <w:szCs w:val="20"/>
              </w:rPr>
              <w:t>Semi-liberté</w:t>
            </w:r>
          </w:p>
        </w:tc>
        <w:tc>
          <w:tcPr>
            <w:tcW w:w="844" w:type="pct"/>
          </w:tcPr>
          <w:p w:rsidRPr="003210F5" w:rsidR="003A74F0" w:rsidP="003210F5" w:rsidRDefault="003A74F0" w14:paraId="6A3E64CB" w14:textId="77777777">
            <w:pPr>
              <w:rPr>
                <w:rFonts w:asciiTheme="majorHAnsi" w:hAnsiTheme="majorHAnsi" w:cstheme="majorHAnsi"/>
                <w:sz w:val="20"/>
                <w:szCs w:val="20"/>
              </w:rPr>
            </w:pPr>
            <w:r w:rsidRPr="003210F5">
              <w:rPr>
                <w:rFonts w:asciiTheme="majorHAnsi" w:hAnsiTheme="majorHAnsi" w:cstheme="majorHAnsi"/>
                <w:sz w:val="20"/>
                <w:szCs w:val="20"/>
              </w:rPr>
              <w:t xml:space="preserve">Local spécial </w:t>
            </w:r>
          </w:p>
        </w:tc>
      </w:tr>
      <w:tr w:rsidRPr="003210F5" w:rsidR="003A74F0" w:rsidTr="00FB534C" w14:paraId="795CB6B7" w14:textId="77777777">
        <w:trPr>
          <w:trHeight w:val="676"/>
        </w:trPr>
        <w:tc>
          <w:tcPr>
            <w:tcW w:w="675" w:type="pct"/>
          </w:tcPr>
          <w:p w:rsidRPr="003210F5" w:rsidR="003A74F0" w:rsidP="003210F5" w:rsidRDefault="003A74F0" w14:paraId="7E934E05" w14:textId="77777777">
            <w:pPr>
              <w:rPr>
                <w:rFonts w:asciiTheme="majorHAnsi" w:hAnsiTheme="majorHAnsi" w:cstheme="majorHAnsi"/>
                <w:sz w:val="20"/>
                <w:szCs w:val="20"/>
                <w:lang w:val="el-GR"/>
              </w:rPr>
            </w:pPr>
            <w:r w:rsidRPr="003210F5">
              <w:rPr>
                <w:rFonts w:asciiTheme="majorHAnsi" w:hAnsiTheme="majorHAnsi" w:cstheme="majorHAnsi"/>
                <w:sz w:val="20"/>
                <w:szCs w:val="20"/>
              </w:rPr>
              <w:t>1</w:t>
            </w:r>
          </w:p>
        </w:tc>
        <w:tc>
          <w:tcPr>
            <w:tcW w:w="1017" w:type="pct"/>
          </w:tcPr>
          <w:p w:rsidRPr="003210F5" w:rsidR="003A74F0" w:rsidP="003210F5" w:rsidRDefault="003A74F0" w14:paraId="7425199D" w14:textId="77777777">
            <w:pPr>
              <w:rPr>
                <w:rFonts w:asciiTheme="majorHAnsi" w:hAnsiTheme="majorHAnsi" w:cstheme="majorHAnsi"/>
                <w:sz w:val="20"/>
                <w:szCs w:val="20"/>
              </w:rPr>
            </w:pPr>
            <w:r w:rsidRPr="003210F5">
              <w:rPr>
                <w:rFonts w:asciiTheme="majorHAnsi" w:hAnsiTheme="majorHAnsi" w:cstheme="majorHAnsi"/>
                <w:sz w:val="20"/>
                <w:szCs w:val="20"/>
              </w:rPr>
              <w:t xml:space="preserve">05/11/2012 – 11/11/2012 </w:t>
            </w:r>
          </w:p>
        </w:tc>
        <w:tc>
          <w:tcPr>
            <w:tcW w:w="1441" w:type="pct"/>
          </w:tcPr>
          <w:p w:rsidRPr="003210F5" w:rsidR="003A74F0" w:rsidP="003210F5" w:rsidRDefault="003A74F0" w14:paraId="4E54895B" w14:textId="77777777">
            <w:pPr>
              <w:rPr>
                <w:rFonts w:asciiTheme="majorHAnsi" w:hAnsiTheme="majorHAnsi" w:cstheme="majorHAnsi"/>
                <w:sz w:val="20"/>
                <w:szCs w:val="20"/>
              </w:rPr>
            </w:pPr>
            <w:r w:rsidRPr="003210F5">
              <w:rPr>
                <w:rFonts w:asciiTheme="majorHAnsi" w:hAnsiTheme="majorHAnsi" w:cstheme="majorHAnsi"/>
                <w:sz w:val="20"/>
                <w:szCs w:val="20"/>
              </w:rPr>
              <w:t>12/11/2012 – 25/06/2013</w:t>
            </w:r>
          </w:p>
          <w:p w:rsidRPr="003210F5" w:rsidR="003A74F0" w:rsidP="003210F5" w:rsidRDefault="003A74F0" w14:paraId="1C264280" w14:textId="77777777">
            <w:pPr>
              <w:rPr>
                <w:rFonts w:asciiTheme="majorHAnsi" w:hAnsiTheme="majorHAnsi" w:cstheme="majorHAnsi"/>
                <w:sz w:val="20"/>
                <w:szCs w:val="20"/>
              </w:rPr>
            </w:pPr>
            <w:r w:rsidRPr="003210F5">
              <w:rPr>
                <w:rFonts w:asciiTheme="majorHAnsi" w:hAnsiTheme="majorHAnsi" w:cstheme="majorHAnsi"/>
                <w:sz w:val="20"/>
                <w:szCs w:val="20"/>
              </w:rPr>
              <w:t xml:space="preserve">immeuble B, chambrée 8 </w:t>
            </w:r>
          </w:p>
        </w:tc>
        <w:tc>
          <w:tcPr>
            <w:tcW w:w="1022" w:type="pct"/>
          </w:tcPr>
          <w:p w:rsidRPr="003210F5" w:rsidR="003A74F0" w:rsidP="003210F5" w:rsidRDefault="003A74F0" w14:paraId="02D1E532" w14:textId="77777777">
            <w:pPr>
              <w:rPr>
                <w:rFonts w:asciiTheme="majorHAnsi" w:hAnsiTheme="majorHAnsi" w:cstheme="majorHAnsi"/>
                <w:sz w:val="20"/>
                <w:szCs w:val="20"/>
              </w:rPr>
            </w:pPr>
            <w:r w:rsidRPr="003210F5">
              <w:rPr>
                <w:rFonts w:asciiTheme="majorHAnsi" w:hAnsiTheme="majorHAnsi" w:cstheme="majorHAnsi"/>
                <w:sz w:val="20"/>
                <w:szCs w:val="20"/>
              </w:rPr>
              <w:t>26/06/2013 – 21/03/2014</w:t>
            </w:r>
          </w:p>
        </w:tc>
        <w:tc>
          <w:tcPr>
            <w:tcW w:w="844" w:type="pct"/>
          </w:tcPr>
          <w:p w:rsidRPr="003210F5" w:rsidR="003A74F0" w:rsidP="003210F5" w:rsidRDefault="003A74F0" w14:paraId="49526796" w14:textId="77777777">
            <w:pPr>
              <w:rPr>
                <w:rFonts w:asciiTheme="majorHAnsi" w:hAnsiTheme="majorHAnsi" w:cstheme="majorHAnsi"/>
                <w:sz w:val="20"/>
                <w:szCs w:val="20"/>
              </w:rPr>
            </w:pPr>
          </w:p>
        </w:tc>
      </w:tr>
      <w:tr w:rsidRPr="003210F5" w:rsidR="003A74F0" w:rsidTr="00FB534C" w14:paraId="299D901C" w14:textId="77777777">
        <w:tc>
          <w:tcPr>
            <w:tcW w:w="675" w:type="pct"/>
          </w:tcPr>
          <w:p w:rsidRPr="003210F5" w:rsidR="003A74F0" w:rsidP="003210F5" w:rsidRDefault="003A74F0" w14:paraId="74DA776C" w14:textId="77777777">
            <w:pPr>
              <w:rPr>
                <w:rFonts w:asciiTheme="majorHAnsi" w:hAnsiTheme="majorHAnsi" w:cstheme="majorHAnsi"/>
                <w:sz w:val="20"/>
                <w:szCs w:val="20"/>
                <w:lang w:val="el-GR"/>
              </w:rPr>
            </w:pPr>
            <w:r w:rsidRPr="003210F5">
              <w:rPr>
                <w:rFonts w:asciiTheme="majorHAnsi" w:hAnsiTheme="majorHAnsi" w:cstheme="majorHAnsi"/>
                <w:sz w:val="20"/>
                <w:szCs w:val="20"/>
              </w:rPr>
              <w:t>2</w:t>
            </w:r>
          </w:p>
        </w:tc>
        <w:tc>
          <w:tcPr>
            <w:tcW w:w="1017" w:type="pct"/>
          </w:tcPr>
          <w:p w:rsidRPr="003210F5" w:rsidR="003A74F0" w:rsidP="003210F5" w:rsidRDefault="003A74F0" w14:paraId="7C246EA1" w14:textId="77777777">
            <w:pPr>
              <w:rPr>
                <w:rFonts w:asciiTheme="majorHAnsi" w:hAnsiTheme="majorHAnsi" w:cstheme="majorHAnsi"/>
                <w:sz w:val="20"/>
                <w:szCs w:val="20"/>
              </w:rPr>
            </w:pPr>
            <w:r w:rsidRPr="003210F5">
              <w:rPr>
                <w:rFonts w:asciiTheme="majorHAnsi" w:hAnsiTheme="majorHAnsi" w:cstheme="majorHAnsi"/>
                <w:sz w:val="20"/>
                <w:szCs w:val="20"/>
              </w:rPr>
              <w:t>18/01/2013 – 13/02/2014</w:t>
            </w:r>
          </w:p>
          <w:p w:rsidRPr="003210F5" w:rsidR="003A74F0" w:rsidP="003210F5" w:rsidRDefault="003A74F0" w14:paraId="1CB51532" w14:textId="77777777">
            <w:pPr>
              <w:rPr>
                <w:rFonts w:asciiTheme="majorHAnsi" w:hAnsiTheme="majorHAnsi" w:cstheme="majorHAnsi"/>
                <w:sz w:val="20"/>
                <w:szCs w:val="20"/>
              </w:rPr>
            </w:pPr>
          </w:p>
        </w:tc>
        <w:tc>
          <w:tcPr>
            <w:tcW w:w="1441" w:type="pct"/>
          </w:tcPr>
          <w:p w:rsidRPr="003210F5" w:rsidR="003A74F0" w:rsidP="003210F5" w:rsidRDefault="003A74F0" w14:paraId="69FAD8A2" w14:textId="77777777">
            <w:pPr>
              <w:rPr>
                <w:rFonts w:asciiTheme="majorHAnsi" w:hAnsiTheme="majorHAnsi" w:cstheme="majorHAnsi"/>
                <w:sz w:val="20"/>
                <w:szCs w:val="20"/>
              </w:rPr>
            </w:pPr>
          </w:p>
        </w:tc>
        <w:tc>
          <w:tcPr>
            <w:tcW w:w="1022" w:type="pct"/>
          </w:tcPr>
          <w:p w:rsidRPr="003210F5" w:rsidR="003A74F0" w:rsidP="003210F5" w:rsidRDefault="003A74F0" w14:paraId="5755A4E7" w14:textId="77777777">
            <w:pPr>
              <w:rPr>
                <w:rFonts w:asciiTheme="majorHAnsi" w:hAnsiTheme="majorHAnsi" w:cstheme="majorHAnsi"/>
                <w:sz w:val="20"/>
                <w:szCs w:val="20"/>
              </w:rPr>
            </w:pPr>
            <w:r w:rsidRPr="003210F5">
              <w:rPr>
                <w:rFonts w:asciiTheme="majorHAnsi" w:hAnsiTheme="majorHAnsi" w:cstheme="majorHAnsi"/>
                <w:sz w:val="20"/>
                <w:szCs w:val="20"/>
              </w:rPr>
              <w:t>14/02/2014 – l5/04/2014</w:t>
            </w:r>
          </w:p>
          <w:p w:rsidRPr="003210F5" w:rsidR="003A74F0" w:rsidP="003210F5" w:rsidRDefault="003A74F0" w14:paraId="0BA41AE5" w14:textId="77777777">
            <w:pPr>
              <w:rPr>
                <w:rFonts w:asciiTheme="majorHAnsi" w:hAnsiTheme="majorHAnsi" w:cstheme="majorHAnsi"/>
                <w:sz w:val="20"/>
                <w:szCs w:val="20"/>
              </w:rPr>
            </w:pPr>
          </w:p>
        </w:tc>
        <w:tc>
          <w:tcPr>
            <w:tcW w:w="844" w:type="pct"/>
          </w:tcPr>
          <w:p w:rsidRPr="003210F5" w:rsidR="003A74F0" w:rsidP="003210F5" w:rsidRDefault="003A74F0" w14:paraId="31A88907" w14:textId="77777777">
            <w:pPr>
              <w:rPr>
                <w:rFonts w:asciiTheme="majorHAnsi" w:hAnsiTheme="majorHAnsi" w:cstheme="majorHAnsi"/>
                <w:sz w:val="20"/>
                <w:szCs w:val="20"/>
              </w:rPr>
            </w:pPr>
          </w:p>
        </w:tc>
      </w:tr>
      <w:tr w:rsidRPr="003210F5" w:rsidR="003A74F0" w:rsidTr="00FB534C" w14:paraId="7515CEEC" w14:textId="77777777">
        <w:tc>
          <w:tcPr>
            <w:tcW w:w="675" w:type="pct"/>
          </w:tcPr>
          <w:p w:rsidRPr="003210F5" w:rsidR="003A74F0" w:rsidP="003210F5" w:rsidRDefault="003A74F0" w14:paraId="1CAE4F5A" w14:textId="77777777">
            <w:pPr>
              <w:rPr>
                <w:rFonts w:asciiTheme="majorHAnsi" w:hAnsiTheme="majorHAnsi" w:cstheme="majorHAnsi"/>
                <w:sz w:val="20"/>
                <w:szCs w:val="20"/>
              </w:rPr>
            </w:pPr>
            <w:r w:rsidRPr="003210F5">
              <w:rPr>
                <w:rFonts w:asciiTheme="majorHAnsi" w:hAnsiTheme="majorHAnsi" w:cstheme="majorHAnsi"/>
                <w:sz w:val="20"/>
                <w:szCs w:val="20"/>
              </w:rPr>
              <w:t>3</w:t>
            </w:r>
          </w:p>
        </w:tc>
        <w:tc>
          <w:tcPr>
            <w:tcW w:w="1017" w:type="pct"/>
          </w:tcPr>
          <w:p w:rsidRPr="003210F5" w:rsidR="003A74F0" w:rsidP="003210F5" w:rsidRDefault="003A74F0" w14:paraId="6626E69E" w14:textId="77777777">
            <w:pPr>
              <w:rPr>
                <w:rFonts w:asciiTheme="majorHAnsi" w:hAnsiTheme="majorHAnsi" w:cstheme="majorHAnsi"/>
                <w:sz w:val="20"/>
                <w:szCs w:val="20"/>
              </w:rPr>
            </w:pPr>
            <w:r w:rsidRPr="003210F5">
              <w:rPr>
                <w:rFonts w:asciiTheme="majorHAnsi" w:hAnsiTheme="majorHAnsi" w:cstheme="majorHAnsi"/>
                <w:sz w:val="20"/>
                <w:szCs w:val="20"/>
              </w:rPr>
              <w:t>11/07/2012 – 18/07/2012</w:t>
            </w:r>
          </w:p>
          <w:p w:rsidRPr="003210F5" w:rsidR="003A74F0" w:rsidP="003210F5" w:rsidRDefault="003A74F0" w14:paraId="7D6A1AB4" w14:textId="77777777">
            <w:pPr>
              <w:rPr>
                <w:rFonts w:asciiTheme="majorHAnsi" w:hAnsiTheme="majorHAnsi" w:cstheme="majorHAnsi"/>
                <w:sz w:val="20"/>
                <w:szCs w:val="20"/>
              </w:rPr>
            </w:pPr>
          </w:p>
        </w:tc>
        <w:tc>
          <w:tcPr>
            <w:tcW w:w="1441" w:type="pct"/>
          </w:tcPr>
          <w:p w:rsidRPr="003210F5" w:rsidR="003A74F0" w:rsidP="003210F5" w:rsidRDefault="003A74F0" w14:paraId="6A8F6D64" w14:textId="77777777">
            <w:pPr>
              <w:rPr>
                <w:rFonts w:asciiTheme="majorHAnsi" w:hAnsiTheme="majorHAnsi" w:cstheme="majorHAnsi"/>
                <w:sz w:val="20"/>
                <w:szCs w:val="20"/>
              </w:rPr>
            </w:pPr>
            <w:r w:rsidRPr="003210F5">
              <w:rPr>
                <w:rFonts w:asciiTheme="majorHAnsi" w:hAnsiTheme="majorHAnsi" w:cstheme="majorHAnsi"/>
                <w:sz w:val="20"/>
                <w:szCs w:val="20"/>
              </w:rPr>
              <w:t>19/07/2012 – 06/03/2013</w:t>
            </w:r>
          </w:p>
          <w:p w:rsidRPr="003210F5" w:rsidR="003A74F0" w:rsidP="003210F5" w:rsidRDefault="003A74F0" w14:paraId="1B6474DD"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12</w:t>
            </w:r>
          </w:p>
        </w:tc>
        <w:tc>
          <w:tcPr>
            <w:tcW w:w="1022" w:type="pct"/>
          </w:tcPr>
          <w:p w:rsidRPr="003210F5" w:rsidR="003A74F0" w:rsidP="003210F5" w:rsidRDefault="003A74F0" w14:paraId="77E40C76" w14:textId="77777777">
            <w:pPr>
              <w:rPr>
                <w:rFonts w:asciiTheme="majorHAnsi" w:hAnsiTheme="majorHAnsi" w:cstheme="majorHAnsi"/>
                <w:sz w:val="20"/>
                <w:szCs w:val="20"/>
              </w:rPr>
            </w:pPr>
          </w:p>
        </w:tc>
        <w:tc>
          <w:tcPr>
            <w:tcW w:w="844" w:type="pct"/>
          </w:tcPr>
          <w:p w:rsidRPr="003210F5" w:rsidR="003A74F0" w:rsidP="003210F5" w:rsidRDefault="003A74F0" w14:paraId="02BF0454" w14:textId="77777777">
            <w:pPr>
              <w:rPr>
                <w:rFonts w:asciiTheme="majorHAnsi" w:hAnsiTheme="majorHAnsi" w:cstheme="majorHAnsi"/>
                <w:sz w:val="20"/>
                <w:szCs w:val="20"/>
              </w:rPr>
            </w:pPr>
          </w:p>
        </w:tc>
      </w:tr>
      <w:tr w:rsidRPr="003210F5" w:rsidR="003A74F0" w:rsidTr="00FB534C" w14:paraId="6FDB7975" w14:textId="77777777">
        <w:tc>
          <w:tcPr>
            <w:tcW w:w="675" w:type="pct"/>
          </w:tcPr>
          <w:p w:rsidRPr="003210F5" w:rsidR="003A74F0" w:rsidP="003210F5" w:rsidRDefault="003A74F0" w14:paraId="60B02DB8" w14:textId="77777777">
            <w:pPr>
              <w:rPr>
                <w:rFonts w:asciiTheme="majorHAnsi" w:hAnsiTheme="majorHAnsi" w:cstheme="majorHAnsi"/>
                <w:sz w:val="20"/>
                <w:szCs w:val="20"/>
              </w:rPr>
            </w:pPr>
            <w:r w:rsidRPr="003210F5">
              <w:rPr>
                <w:rFonts w:asciiTheme="majorHAnsi" w:hAnsiTheme="majorHAnsi" w:cstheme="majorHAnsi"/>
                <w:sz w:val="20"/>
                <w:szCs w:val="20"/>
              </w:rPr>
              <w:t>4</w:t>
            </w:r>
          </w:p>
        </w:tc>
        <w:tc>
          <w:tcPr>
            <w:tcW w:w="1017" w:type="pct"/>
          </w:tcPr>
          <w:p w:rsidRPr="003210F5" w:rsidR="003A74F0" w:rsidP="003210F5" w:rsidRDefault="003A74F0" w14:paraId="61D6D1AB" w14:textId="77777777">
            <w:pPr>
              <w:rPr>
                <w:rFonts w:asciiTheme="majorHAnsi" w:hAnsiTheme="majorHAnsi" w:cstheme="majorHAnsi"/>
                <w:sz w:val="20"/>
                <w:szCs w:val="20"/>
              </w:rPr>
            </w:pPr>
            <w:r w:rsidRPr="003210F5">
              <w:rPr>
                <w:rFonts w:asciiTheme="majorHAnsi" w:hAnsiTheme="majorHAnsi" w:cstheme="majorHAnsi"/>
                <w:sz w:val="20"/>
                <w:szCs w:val="20"/>
              </w:rPr>
              <w:t>05/11/2012 – 11/11/2012</w:t>
            </w:r>
          </w:p>
          <w:p w:rsidRPr="003210F5" w:rsidR="003A74F0" w:rsidP="003210F5" w:rsidRDefault="003A74F0" w14:paraId="0936878F" w14:textId="77777777">
            <w:pPr>
              <w:rPr>
                <w:rFonts w:asciiTheme="majorHAnsi" w:hAnsiTheme="majorHAnsi" w:cstheme="majorHAnsi"/>
                <w:sz w:val="20"/>
                <w:szCs w:val="20"/>
              </w:rPr>
            </w:pPr>
          </w:p>
        </w:tc>
        <w:tc>
          <w:tcPr>
            <w:tcW w:w="1441" w:type="pct"/>
          </w:tcPr>
          <w:p w:rsidRPr="003210F5" w:rsidR="003A74F0" w:rsidP="003210F5" w:rsidRDefault="003A74F0" w14:paraId="0BFB24C9" w14:textId="77777777">
            <w:pPr>
              <w:rPr>
                <w:rFonts w:asciiTheme="majorHAnsi" w:hAnsiTheme="majorHAnsi" w:cstheme="majorHAnsi"/>
                <w:sz w:val="20"/>
                <w:szCs w:val="20"/>
              </w:rPr>
            </w:pPr>
            <w:r w:rsidRPr="003210F5">
              <w:rPr>
                <w:rFonts w:asciiTheme="majorHAnsi" w:hAnsiTheme="majorHAnsi" w:cstheme="majorHAnsi"/>
                <w:sz w:val="20"/>
                <w:szCs w:val="20"/>
              </w:rPr>
              <w:t>12/11/2012 – 01/02/2013</w:t>
            </w:r>
          </w:p>
          <w:p w:rsidRPr="003210F5" w:rsidR="003A74F0" w:rsidP="003210F5" w:rsidRDefault="003A74F0" w14:paraId="3CBEF076"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7</w:t>
            </w:r>
          </w:p>
        </w:tc>
        <w:tc>
          <w:tcPr>
            <w:tcW w:w="1022" w:type="pct"/>
          </w:tcPr>
          <w:p w:rsidRPr="003210F5" w:rsidR="003A74F0" w:rsidP="003210F5" w:rsidRDefault="003A74F0" w14:paraId="041BB69D" w14:textId="77777777">
            <w:pPr>
              <w:rPr>
                <w:rFonts w:asciiTheme="majorHAnsi" w:hAnsiTheme="majorHAnsi" w:cstheme="majorHAnsi"/>
                <w:sz w:val="20"/>
                <w:szCs w:val="20"/>
              </w:rPr>
            </w:pPr>
            <w:r w:rsidRPr="003210F5">
              <w:rPr>
                <w:rFonts w:asciiTheme="majorHAnsi" w:hAnsiTheme="majorHAnsi" w:cstheme="majorHAnsi"/>
                <w:sz w:val="20"/>
                <w:szCs w:val="20"/>
              </w:rPr>
              <w:t>02/02/2013 – 23/01/2014</w:t>
            </w:r>
          </w:p>
          <w:p w:rsidRPr="003210F5" w:rsidR="003A74F0" w:rsidP="003210F5" w:rsidRDefault="003A74F0" w14:paraId="36394D0C" w14:textId="77777777">
            <w:pPr>
              <w:rPr>
                <w:rFonts w:asciiTheme="majorHAnsi" w:hAnsiTheme="majorHAnsi" w:cstheme="majorHAnsi"/>
                <w:sz w:val="20"/>
                <w:szCs w:val="20"/>
              </w:rPr>
            </w:pPr>
          </w:p>
        </w:tc>
        <w:tc>
          <w:tcPr>
            <w:tcW w:w="844" w:type="pct"/>
          </w:tcPr>
          <w:p w:rsidRPr="003210F5" w:rsidR="003A74F0" w:rsidP="003210F5" w:rsidRDefault="003A74F0" w14:paraId="4F4D9F0C" w14:textId="77777777">
            <w:pPr>
              <w:jc w:val="both"/>
              <w:rPr>
                <w:rFonts w:asciiTheme="majorHAnsi" w:hAnsiTheme="majorHAnsi" w:cstheme="majorHAnsi"/>
                <w:sz w:val="20"/>
                <w:szCs w:val="20"/>
              </w:rPr>
            </w:pPr>
          </w:p>
        </w:tc>
      </w:tr>
      <w:tr w:rsidRPr="003210F5" w:rsidR="003A74F0" w:rsidTr="00FB534C" w14:paraId="40A831E3" w14:textId="77777777">
        <w:tc>
          <w:tcPr>
            <w:tcW w:w="675" w:type="pct"/>
          </w:tcPr>
          <w:p w:rsidRPr="003210F5" w:rsidR="003A74F0" w:rsidP="003210F5" w:rsidRDefault="003A74F0" w14:paraId="51CF5F22" w14:textId="77777777">
            <w:pPr>
              <w:rPr>
                <w:rFonts w:asciiTheme="majorHAnsi" w:hAnsiTheme="majorHAnsi" w:cstheme="majorHAnsi"/>
                <w:sz w:val="20"/>
                <w:szCs w:val="20"/>
              </w:rPr>
            </w:pPr>
            <w:r w:rsidRPr="003210F5">
              <w:rPr>
                <w:rFonts w:asciiTheme="majorHAnsi" w:hAnsiTheme="majorHAnsi" w:cstheme="majorHAnsi"/>
                <w:sz w:val="20"/>
                <w:szCs w:val="20"/>
              </w:rPr>
              <w:t>5</w:t>
            </w:r>
          </w:p>
        </w:tc>
        <w:tc>
          <w:tcPr>
            <w:tcW w:w="1017" w:type="pct"/>
          </w:tcPr>
          <w:p w:rsidRPr="003210F5" w:rsidR="003A74F0" w:rsidP="003210F5" w:rsidRDefault="003A74F0" w14:paraId="1B818F45" w14:textId="77777777">
            <w:pPr>
              <w:rPr>
                <w:rFonts w:asciiTheme="majorHAnsi" w:hAnsiTheme="majorHAnsi" w:cstheme="majorHAnsi"/>
                <w:sz w:val="20"/>
                <w:szCs w:val="20"/>
              </w:rPr>
            </w:pPr>
            <w:r w:rsidRPr="003210F5">
              <w:rPr>
                <w:rFonts w:asciiTheme="majorHAnsi" w:hAnsiTheme="majorHAnsi" w:cstheme="majorHAnsi"/>
                <w:sz w:val="20"/>
                <w:szCs w:val="20"/>
              </w:rPr>
              <w:t>15/11/2011 – 27/03/2013</w:t>
            </w:r>
          </w:p>
          <w:p w:rsidRPr="003210F5" w:rsidR="003A74F0" w:rsidP="003210F5" w:rsidRDefault="003A74F0" w14:paraId="5461FD77" w14:textId="77777777">
            <w:pPr>
              <w:rPr>
                <w:rFonts w:asciiTheme="majorHAnsi" w:hAnsiTheme="majorHAnsi" w:cstheme="majorHAnsi"/>
                <w:sz w:val="20"/>
                <w:szCs w:val="20"/>
              </w:rPr>
            </w:pPr>
            <w:r w:rsidRPr="003210F5">
              <w:rPr>
                <w:rFonts w:asciiTheme="majorHAnsi" w:hAnsiTheme="majorHAnsi" w:cstheme="majorHAnsi"/>
                <w:sz w:val="20"/>
                <w:szCs w:val="20"/>
              </w:rPr>
              <w:t>lieu de détention non précisé</w:t>
            </w:r>
          </w:p>
          <w:p w:rsidRPr="003210F5" w:rsidR="003A74F0" w:rsidP="003210F5" w:rsidRDefault="003A74F0" w14:paraId="4E45AF4C" w14:textId="77777777">
            <w:pPr>
              <w:rPr>
                <w:rFonts w:asciiTheme="majorHAnsi" w:hAnsiTheme="majorHAnsi" w:cstheme="majorHAnsi"/>
                <w:sz w:val="20"/>
                <w:szCs w:val="20"/>
              </w:rPr>
            </w:pPr>
          </w:p>
          <w:p w:rsidRPr="003210F5" w:rsidR="003A74F0" w:rsidP="003210F5" w:rsidRDefault="003A74F0" w14:paraId="6262D41E" w14:textId="77777777">
            <w:pPr>
              <w:rPr>
                <w:rFonts w:asciiTheme="majorHAnsi" w:hAnsiTheme="majorHAnsi" w:cstheme="majorHAnsi"/>
                <w:sz w:val="20"/>
                <w:szCs w:val="20"/>
              </w:rPr>
            </w:pPr>
            <w:r w:rsidRPr="003210F5">
              <w:rPr>
                <w:rFonts w:asciiTheme="majorHAnsi" w:hAnsiTheme="majorHAnsi" w:cstheme="majorHAnsi"/>
                <w:sz w:val="20"/>
                <w:szCs w:val="20"/>
              </w:rPr>
              <w:t>11/10/2013 – 22/11/2013</w:t>
            </w:r>
          </w:p>
          <w:p w:rsidRPr="003210F5" w:rsidR="003A74F0" w:rsidP="003210F5" w:rsidRDefault="003A74F0" w14:paraId="0470771E" w14:textId="23B91F50">
            <w:pPr>
              <w:rPr>
                <w:rFonts w:asciiTheme="majorHAnsi" w:hAnsiTheme="majorHAnsi" w:cstheme="majorHAnsi"/>
                <w:sz w:val="20"/>
                <w:szCs w:val="20"/>
              </w:rPr>
            </w:pPr>
            <w:r w:rsidRPr="003210F5">
              <w:rPr>
                <w:rFonts w:asciiTheme="majorHAnsi" w:hAnsiTheme="majorHAnsi" w:cstheme="majorHAnsi"/>
                <w:sz w:val="20"/>
                <w:szCs w:val="20"/>
              </w:rPr>
              <w:t>détenu à nouveau afin d</w:t>
            </w:r>
            <w:r w:rsidRPr="003210F5" w:rsidR="003210F5">
              <w:rPr>
                <w:rFonts w:asciiTheme="majorHAnsi" w:hAnsiTheme="majorHAnsi" w:cstheme="majorHAnsi"/>
                <w:sz w:val="20"/>
                <w:szCs w:val="20"/>
              </w:rPr>
              <w:t>’</w:t>
            </w:r>
            <w:r w:rsidRPr="003210F5">
              <w:rPr>
                <w:rFonts w:asciiTheme="majorHAnsi" w:hAnsiTheme="majorHAnsi" w:cstheme="majorHAnsi"/>
                <w:sz w:val="20"/>
                <w:szCs w:val="20"/>
              </w:rPr>
              <w:t>y purger une autre peine à la suite d</w:t>
            </w:r>
            <w:r w:rsidRPr="003210F5" w:rsidR="003210F5">
              <w:rPr>
                <w:rFonts w:asciiTheme="majorHAnsi" w:hAnsiTheme="majorHAnsi" w:cstheme="majorHAnsi"/>
                <w:sz w:val="20"/>
                <w:szCs w:val="20"/>
              </w:rPr>
              <w:t>’</w:t>
            </w:r>
            <w:r w:rsidRPr="003210F5">
              <w:rPr>
                <w:rFonts w:asciiTheme="majorHAnsi" w:hAnsiTheme="majorHAnsi" w:cstheme="majorHAnsi"/>
                <w:sz w:val="20"/>
                <w:szCs w:val="20"/>
              </w:rPr>
              <w:t>une nouvelle condamnation prononcée par un arrêt rendu le 13 mai 2013</w:t>
            </w:r>
          </w:p>
        </w:tc>
        <w:tc>
          <w:tcPr>
            <w:tcW w:w="1441" w:type="pct"/>
          </w:tcPr>
          <w:p w:rsidRPr="003210F5" w:rsidR="003A74F0" w:rsidP="003210F5" w:rsidRDefault="003A74F0" w14:paraId="699662CF" w14:textId="77777777">
            <w:pPr>
              <w:rPr>
                <w:rFonts w:asciiTheme="majorHAnsi" w:hAnsiTheme="majorHAnsi" w:cstheme="majorHAnsi"/>
                <w:sz w:val="20"/>
                <w:szCs w:val="20"/>
              </w:rPr>
            </w:pPr>
          </w:p>
        </w:tc>
        <w:tc>
          <w:tcPr>
            <w:tcW w:w="1022" w:type="pct"/>
          </w:tcPr>
          <w:p w:rsidRPr="003210F5" w:rsidR="003A74F0" w:rsidP="003210F5" w:rsidRDefault="003A74F0" w14:paraId="49597FC8" w14:textId="77777777">
            <w:pPr>
              <w:rPr>
                <w:rFonts w:asciiTheme="majorHAnsi" w:hAnsiTheme="majorHAnsi" w:cstheme="majorHAnsi"/>
                <w:sz w:val="20"/>
                <w:szCs w:val="20"/>
              </w:rPr>
            </w:pPr>
          </w:p>
        </w:tc>
        <w:tc>
          <w:tcPr>
            <w:tcW w:w="844" w:type="pct"/>
          </w:tcPr>
          <w:p w:rsidRPr="003210F5" w:rsidR="003A74F0" w:rsidP="003210F5" w:rsidRDefault="003A74F0" w14:paraId="0987FAAB" w14:textId="77777777">
            <w:pPr>
              <w:rPr>
                <w:rFonts w:asciiTheme="majorHAnsi" w:hAnsiTheme="majorHAnsi" w:cstheme="majorHAnsi"/>
                <w:sz w:val="20"/>
                <w:szCs w:val="20"/>
              </w:rPr>
            </w:pPr>
          </w:p>
        </w:tc>
      </w:tr>
      <w:tr w:rsidRPr="003210F5" w:rsidR="003A74F0" w:rsidTr="00FB534C" w14:paraId="5EF3F03D" w14:textId="77777777">
        <w:tc>
          <w:tcPr>
            <w:tcW w:w="675" w:type="pct"/>
          </w:tcPr>
          <w:p w:rsidRPr="003210F5" w:rsidR="003A74F0" w:rsidP="003210F5" w:rsidRDefault="003A74F0" w14:paraId="0F8E9B0C" w14:textId="77777777">
            <w:pPr>
              <w:rPr>
                <w:rFonts w:asciiTheme="majorHAnsi" w:hAnsiTheme="majorHAnsi" w:cstheme="majorHAnsi"/>
                <w:sz w:val="20"/>
                <w:szCs w:val="20"/>
              </w:rPr>
            </w:pPr>
            <w:r w:rsidRPr="003210F5">
              <w:rPr>
                <w:rFonts w:asciiTheme="majorHAnsi" w:hAnsiTheme="majorHAnsi" w:cstheme="majorHAnsi"/>
                <w:sz w:val="20"/>
                <w:szCs w:val="20"/>
              </w:rPr>
              <w:t>6</w:t>
            </w:r>
          </w:p>
        </w:tc>
        <w:tc>
          <w:tcPr>
            <w:tcW w:w="1017" w:type="pct"/>
          </w:tcPr>
          <w:p w:rsidRPr="003210F5" w:rsidR="003A74F0" w:rsidP="003210F5" w:rsidRDefault="003A74F0" w14:paraId="6CDEDD12" w14:textId="77777777">
            <w:pPr>
              <w:rPr>
                <w:rFonts w:asciiTheme="majorHAnsi" w:hAnsiTheme="majorHAnsi" w:cstheme="majorHAnsi"/>
                <w:sz w:val="20"/>
                <w:szCs w:val="20"/>
              </w:rPr>
            </w:pPr>
            <w:r w:rsidRPr="003210F5">
              <w:rPr>
                <w:rFonts w:asciiTheme="majorHAnsi" w:hAnsiTheme="majorHAnsi" w:cstheme="majorHAnsi"/>
                <w:sz w:val="20"/>
                <w:szCs w:val="20"/>
              </w:rPr>
              <w:t>13/12/2012 – 20/12/2012</w:t>
            </w:r>
          </w:p>
          <w:p w:rsidRPr="003210F5" w:rsidR="003A74F0" w:rsidP="003210F5" w:rsidRDefault="003A74F0" w14:paraId="3CD3E0D8" w14:textId="77777777">
            <w:pPr>
              <w:rPr>
                <w:rFonts w:asciiTheme="majorHAnsi" w:hAnsiTheme="majorHAnsi" w:cstheme="majorHAnsi"/>
                <w:sz w:val="20"/>
                <w:szCs w:val="20"/>
              </w:rPr>
            </w:pPr>
          </w:p>
        </w:tc>
        <w:tc>
          <w:tcPr>
            <w:tcW w:w="1441" w:type="pct"/>
          </w:tcPr>
          <w:p w:rsidRPr="003210F5" w:rsidR="003A74F0" w:rsidP="003210F5" w:rsidRDefault="003A74F0" w14:paraId="27658820" w14:textId="77777777">
            <w:pPr>
              <w:rPr>
                <w:rFonts w:asciiTheme="majorHAnsi" w:hAnsiTheme="majorHAnsi" w:cstheme="majorHAnsi"/>
                <w:sz w:val="20"/>
                <w:szCs w:val="20"/>
              </w:rPr>
            </w:pPr>
            <w:r w:rsidRPr="003210F5">
              <w:rPr>
                <w:rFonts w:asciiTheme="majorHAnsi" w:hAnsiTheme="majorHAnsi" w:cstheme="majorHAnsi"/>
                <w:sz w:val="20"/>
                <w:szCs w:val="20"/>
              </w:rPr>
              <w:t>21/12/2012 – 26/05/2013</w:t>
            </w:r>
          </w:p>
          <w:p w:rsidRPr="003210F5" w:rsidR="003A74F0" w:rsidP="003210F5" w:rsidRDefault="003A74F0" w14:paraId="7D23FC4D"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6</w:t>
            </w:r>
          </w:p>
        </w:tc>
        <w:tc>
          <w:tcPr>
            <w:tcW w:w="1022" w:type="pct"/>
          </w:tcPr>
          <w:p w:rsidRPr="003210F5" w:rsidR="003A74F0" w:rsidP="003210F5" w:rsidRDefault="003A74F0" w14:paraId="68931D84" w14:textId="77777777">
            <w:pPr>
              <w:rPr>
                <w:rFonts w:asciiTheme="majorHAnsi" w:hAnsiTheme="majorHAnsi" w:cstheme="majorHAnsi"/>
                <w:sz w:val="20"/>
                <w:szCs w:val="20"/>
              </w:rPr>
            </w:pPr>
            <w:r w:rsidRPr="003210F5">
              <w:rPr>
                <w:rFonts w:asciiTheme="majorHAnsi" w:hAnsiTheme="majorHAnsi" w:cstheme="majorHAnsi"/>
                <w:sz w:val="20"/>
                <w:szCs w:val="20"/>
              </w:rPr>
              <w:t>27/05/2013 – 26/07/2013</w:t>
            </w:r>
          </w:p>
          <w:p w:rsidRPr="003210F5" w:rsidR="003A74F0" w:rsidP="003210F5" w:rsidRDefault="003A74F0" w14:paraId="6EE0416B" w14:textId="77777777">
            <w:pPr>
              <w:rPr>
                <w:rFonts w:asciiTheme="majorHAnsi" w:hAnsiTheme="majorHAnsi" w:cstheme="majorHAnsi"/>
                <w:sz w:val="20"/>
                <w:szCs w:val="20"/>
              </w:rPr>
            </w:pPr>
          </w:p>
        </w:tc>
        <w:tc>
          <w:tcPr>
            <w:tcW w:w="844" w:type="pct"/>
          </w:tcPr>
          <w:p w:rsidRPr="003210F5" w:rsidR="003A74F0" w:rsidP="003210F5" w:rsidRDefault="003A74F0" w14:paraId="2C3A985D" w14:textId="77777777">
            <w:pPr>
              <w:rPr>
                <w:rFonts w:asciiTheme="majorHAnsi" w:hAnsiTheme="majorHAnsi" w:cstheme="majorHAnsi"/>
                <w:sz w:val="20"/>
                <w:szCs w:val="20"/>
              </w:rPr>
            </w:pPr>
          </w:p>
        </w:tc>
      </w:tr>
      <w:tr w:rsidRPr="003210F5" w:rsidR="003A74F0" w:rsidTr="00FB534C" w14:paraId="5A3FF95F" w14:textId="77777777">
        <w:tc>
          <w:tcPr>
            <w:tcW w:w="675" w:type="pct"/>
          </w:tcPr>
          <w:p w:rsidRPr="003210F5" w:rsidR="003A74F0" w:rsidP="003210F5" w:rsidRDefault="003A74F0" w14:paraId="4F5446CD" w14:textId="77777777">
            <w:pPr>
              <w:rPr>
                <w:rFonts w:asciiTheme="majorHAnsi" w:hAnsiTheme="majorHAnsi" w:cstheme="majorHAnsi"/>
                <w:sz w:val="20"/>
                <w:szCs w:val="20"/>
              </w:rPr>
            </w:pPr>
            <w:r w:rsidRPr="003210F5">
              <w:rPr>
                <w:rFonts w:asciiTheme="majorHAnsi" w:hAnsiTheme="majorHAnsi" w:cstheme="majorHAnsi"/>
                <w:sz w:val="20"/>
                <w:szCs w:val="20"/>
              </w:rPr>
              <w:t>7</w:t>
            </w:r>
          </w:p>
        </w:tc>
        <w:tc>
          <w:tcPr>
            <w:tcW w:w="1017" w:type="pct"/>
          </w:tcPr>
          <w:p w:rsidRPr="003210F5" w:rsidR="003A74F0" w:rsidP="003210F5" w:rsidRDefault="003A74F0" w14:paraId="6F2CFCDD" w14:textId="77777777">
            <w:pPr>
              <w:rPr>
                <w:rFonts w:asciiTheme="majorHAnsi" w:hAnsiTheme="majorHAnsi" w:cstheme="majorHAnsi"/>
                <w:sz w:val="20"/>
                <w:szCs w:val="20"/>
              </w:rPr>
            </w:pPr>
          </w:p>
        </w:tc>
        <w:tc>
          <w:tcPr>
            <w:tcW w:w="1441" w:type="pct"/>
          </w:tcPr>
          <w:p w:rsidRPr="003210F5" w:rsidR="003A74F0" w:rsidP="003210F5" w:rsidRDefault="003A74F0" w14:paraId="2BED94AF" w14:textId="77777777">
            <w:pPr>
              <w:rPr>
                <w:rFonts w:asciiTheme="majorHAnsi" w:hAnsiTheme="majorHAnsi" w:cstheme="majorHAnsi"/>
                <w:sz w:val="20"/>
                <w:szCs w:val="20"/>
              </w:rPr>
            </w:pPr>
            <w:r w:rsidRPr="003210F5">
              <w:rPr>
                <w:rFonts w:asciiTheme="majorHAnsi" w:hAnsiTheme="majorHAnsi" w:cstheme="majorHAnsi"/>
                <w:sz w:val="20"/>
                <w:szCs w:val="20"/>
              </w:rPr>
              <w:t>[salle des soins] 28/01/2013 –</w:t>
            </w:r>
          </w:p>
          <w:p w:rsidRPr="003210F5" w:rsidR="003A74F0" w:rsidP="003210F5" w:rsidRDefault="003A74F0" w14:paraId="546DD4B7" w14:textId="793BC6DC">
            <w:pPr>
              <w:rPr>
                <w:rFonts w:asciiTheme="majorHAnsi" w:hAnsiTheme="majorHAnsi" w:cstheme="majorHAnsi"/>
                <w:sz w:val="20"/>
                <w:szCs w:val="20"/>
              </w:rPr>
            </w:pPr>
            <w:r w:rsidRPr="003210F5">
              <w:rPr>
                <w:rFonts w:asciiTheme="majorHAnsi" w:hAnsiTheme="majorHAnsi" w:cstheme="majorHAnsi"/>
                <w:sz w:val="20"/>
                <w:szCs w:val="20"/>
              </w:rPr>
              <w:t>au moins jusqu</w:t>
            </w:r>
            <w:r w:rsidRPr="003210F5" w:rsidR="003210F5">
              <w:rPr>
                <w:rFonts w:asciiTheme="majorHAnsi" w:hAnsiTheme="majorHAnsi" w:cstheme="majorHAnsi"/>
                <w:sz w:val="20"/>
                <w:szCs w:val="20"/>
              </w:rPr>
              <w:t>’</w:t>
            </w:r>
            <w:r w:rsidRPr="003210F5">
              <w:rPr>
                <w:rFonts w:asciiTheme="majorHAnsi" w:hAnsiTheme="majorHAnsi" w:cstheme="majorHAnsi"/>
                <w:sz w:val="20"/>
                <w:szCs w:val="20"/>
              </w:rPr>
              <w:t>à la date de rédaction des observations complémentaires</w:t>
            </w:r>
          </w:p>
        </w:tc>
        <w:tc>
          <w:tcPr>
            <w:tcW w:w="1022" w:type="pct"/>
          </w:tcPr>
          <w:p w:rsidRPr="003210F5" w:rsidR="003A74F0" w:rsidP="003210F5" w:rsidRDefault="003A74F0" w14:paraId="148653D7" w14:textId="77777777">
            <w:pPr>
              <w:rPr>
                <w:rFonts w:asciiTheme="majorHAnsi" w:hAnsiTheme="majorHAnsi" w:cstheme="majorHAnsi"/>
                <w:sz w:val="20"/>
                <w:szCs w:val="20"/>
              </w:rPr>
            </w:pPr>
          </w:p>
        </w:tc>
        <w:tc>
          <w:tcPr>
            <w:tcW w:w="844" w:type="pct"/>
          </w:tcPr>
          <w:p w:rsidRPr="003210F5" w:rsidR="003A74F0" w:rsidP="003210F5" w:rsidRDefault="003A74F0" w14:paraId="004B0D0A" w14:textId="77777777">
            <w:pPr>
              <w:rPr>
                <w:rFonts w:asciiTheme="majorHAnsi" w:hAnsiTheme="majorHAnsi" w:cstheme="majorHAnsi"/>
                <w:sz w:val="20"/>
                <w:szCs w:val="20"/>
              </w:rPr>
            </w:pPr>
          </w:p>
        </w:tc>
      </w:tr>
      <w:tr w:rsidRPr="003210F5" w:rsidR="003A74F0" w:rsidTr="00FB534C" w14:paraId="6D2D95EC" w14:textId="77777777">
        <w:tc>
          <w:tcPr>
            <w:tcW w:w="675" w:type="pct"/>
          </w:tcPr>
          <w:p w:rsidRPr="003210F5" w:rsidR="003A74F0" w:rsidP="003210F5" w:rsidRDefault="003A74F0" w14:paraId="634E88F4" w14:textId="77777777">
            <w:pPr>
              <w:rPr>
                <w:rFonts w:asciiTheme="majorHAnsi" w:hAnsiTheme="majorHAnsi" w:cstheme="majorHAnsi"/>
                <w:sz w:val="20"/>
                <w:szCs w:val="20"/>
              </w:rPr>
            </w:pPr>
            <w:r w:rsidRPr="003210F5">
              <w:rPr>
                <w:rFonts w:asciiTheme="majorHAnsi" w:hAnsiTheme="majorHAnsi" w:cstheme="majorHAnsi"/>
                <w:sz w:val="20"/>
                <w:szCs w:val="20"/>
              </w:rPr>
              <w:t>8</w:t>
            </w:r>
          </w:p>
        </w:tc>
        <w:tc>
          <w:tcPr>
            <w:tcW w:w="1017" w:type="pct"/>
          </w:tcPr>
          <w:p w:rsidRPr="003210F5" w:rsidR="003A74F0" w:rsidP="003210F5" w:rsidRDefault="003A74F0" w14:paraId="56E8DFE4" w14:textId="77777777">
            <w:pPr>
              <w:rPr>
                <w:rFonts w:asciiTheme="majorHAnsi" w:hAnsiTheme="majorHAnsi" w:cstheme="majorHAnsi"/>
                <w:sz w:val="20"/>
                <w:szCs w:val="20"/>
              </w:rPr>
            </w:pPr>
            <w:r w:rsidRPr="003210F5">
              <w:rPr>
                <w:rFonts w:asciiTheme="majorHAnsi" w:hAnsiTheme="majorHAnsi" w:cstheme="majorHAnsi"/>
                <w:sz w:val="20"/>
                <w:szCs w:val="20"/>
              </w:rPr>
              <w:t>21/12/2012 – 02/01/2013</w:t>
            </w:r>
          </w:p>
          <w:p w:rsidRPr="003210F5" w:rsidR="003A74F0" w:rsidP="003210F5" w:rsidRDefault="003A74F0" w14:paraId="3EE21335" w14:textId="77777777">
            <w:pPr>
              <w:rPr>
                <w:rFonts w:asciiTheme="majorHAnsi" w:hAnsiTheme="majorHAnsi" w:cstheme="majorHAnsi"/>
                <w:sz w:val="20"/>
                <w:szCs w:val="20"/>
              </w:rPr>
            </w:pPr>
          </w:p>
        </w:tc>
        <w:tc>
          <w:tcPr>
            <w:tcW w:w="1441" w:type="pct"/>
          </w:tcPr>
          <w:p w:rsidRPr="003210F5" w:rsidR="003A74F0" w:rsidP="003210F5" w:rsidRDefault="003A74F0" w14:paraId="0207A8E1" w14:textId="77777777">
            <w:pPr>
              <w:rPr>
                <w:rFonts w:asciiTheme="majorHAnsi" w:hAnsiTheme="majorHAnsi" w:cstheme="majorHAnsi"/>
                <w:sz w:val="20"/>
                <w:szCs w:val="20"/>
              </w:rPr>
            </w:pPr>
            <w:r w:rsidRPr="003210F5">
              <w:rPr>
                <w:rFonts w:asciiTheme="majorHAnsi" w:hAnsiTheme="majorHAnsi" w:cstheme="majorHAnsi"/>
                <w:sz w:val="20"/>
                <w:szCs w:val="20"/>
              </w:rPr>
              <w:t>03/01/2013 – 16/04/2013</w:t>
            </w:r>
          </w:p>
          <w:p w:rsidRPr="003210F5" w:rsidR="003A74F0" w:rsidP="003210F5" w:rsidRDefault="003A74F0" w14:paraId="7AE6844B"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8</w:t>
            </w:r>
          </w:p>
        </w:tc>
        <w:tc>
          <w:tcPr>
            <w:tcW w:w="1022" w:type="pct"/>
          </w:tcPr>
          <w:p w:rsidRPr="003210F5" w:rsidR="003A74F0" w:rsidP="003210F5" w:rsidRDefault="003A74F0" w14:paraId="786E392A" w14:textId="77777777">
            <w:pPr>
              <w:rPr>
                <w:rFonts w:asciiTheme="majorHAnsi" w:hAnsiTheme="majorHAnsi" w:cstheme="majorHAnsi"/>
                <w:sz w:val="20"/>
                <w:szCs w:val="20"/>
              </w:rPr>
            </w:pPr>
          </w:p>
          <w:p w:rsidRPr="003210F5" w:rsidR="003A74F0" w:rsidP="003210F5" w:rsidRDefault="003A74F0" w14:paraId="37940435" w14:textId="77777777">
            <w:pPr>
              <w:rPr>
                <w:rFonts w:asciiTheme="majorHAnsi" w:hAnsiTheme="majorHAnsi" w:cstheme="majorHAnsi"/>
                <w:sz w:val="20"/>
                <w:szCs w:val="20"/>
              </w:rPr>
            </w:pPr>
          </w:p>
        </w:tc>
        <w:tc>
          <w:tcPr>
            <w:tcW w:w="844" w:type="pct"/>
          </w:tcPr>
          <w:p w:rsidRPr="003210F5" w:rsidR="003A74F0" w:rsidP="003210F5" w:rsidRDefault="003A74F0" w14:paraId="44723A26" w14:textId="77777777">
            <w:pPr>
              <w:rPr>
                <w:rFonts w:asciiTheme="majorHAnsi" w:hAnsiTheme="majorHAnsi" w:cstheme="majorHAnsi"/>
                <w:sz w:val="20"/>
                <w:szCs w:val="20"/>
              </w:rPr>
            </w:pPr>
          </w:p>
        </w:tc>
      </w:tr>
      <w:tr w:rsidRPr="003210F5" w:rsidR="003A74F0" w:rsidTr="00FB534C" w14:paraId="253220A9" w14:textId="77777777">
        <w:tc>
          <w:tcPr>
            <w:tcW w:w="675" w:type="pct"/>
          </w:tcPr>
          <w:p w:rsidRPr="003210F5" w:rsidR="003A74F0" w:rsidP="003210F5" w:rsidRDefault="003A74F0" w14:paraId="08DD81F0" w14:textId="77777777">
            <w:pPr>
              <w:rPr>
                <w:rFonts w:asciiTheme="majorHAnsi" w:hAnsiTheme="majorHAnsi" w:cstheme="majorHAnsi"/>
                <w:sz w:val="20"/>
                <w:szCs w:val="20"/>
              </w:rPr>
            </w:pPr>
            <w:r w:rsidRPr="003210F5">
              <w:rPr>
                <w:rFonts w:asciiTheme="majorHAnsi" w:hAnsiTheme="majorHAnsi" w:cstheme="majorHAnsi"/>
                <w:sz w:val="20"/>
                <w:szCs w:val="20"/>
              </w:rPr>
              <w:t>9</w:t>
            </w:r>
          </w:p>
        </w:tc>
        <w:tc>
          <w:tcPr>
            <w:tcW w:w="1017" w:type="pct"/>
          </w:tcPr>
          <w:p w:rsidRPr="003210F5" w:rsidR="003A74F0" w:rsidP="003210F5" w:rsidRDefault="003A74F0" w14:paraId="34CE89C3" w14:textId="77777777">
            <w:pPr>
              <w:rPr>
                <w:rFonts w:asciiTheme="majorHAnsi" w:hAnsiTheme="majorHAnsi" w:cstheme="majorHAnsi"/>
                <w:sz w:val="20"/>
                <w:szCs w:val="20"/>
              </w:rPr>
            </w:pPr>
            <w:r w:rsidRPr="003210F5">
              <w:rPr>
                <w:rFonts w:asciiTheme="majorHAnsi" w:hAnsiTheme="majorHAnsi" w:cstheme="majorHAnsi"/>
                <w:sz w:val="20"/>
                <w:szCs w:val="20"/>
              </w:rPr>
              <w:t>18/12/2012 – 20/12/2012</w:t>
            </w:r>
          </w:p>
        </w:tc>
        <w:tc>
          <w:tcPr>
            <w:tcW w:w="1441" w:type="pct"/>
          </w:tcPr>
          <w:p w:rsidRPr="003210F5" w:rsidR="003A74F0" w:rsidP="003210F5" w:rsidRDefault="003A74F0" w14:paraId="7287D2CE" w14:textId="77777777">
            <w:pPr>
              <w:rPr>
                <w:rFonts w:asciiTheme="majorHAnsi" w:hAnsiTheme="majorHAnsi" w:cstheme="majorHAnsi"/>
                <w:sz w:val="20"/>
                <w:szCs w:val="20"/>
              </w:rPr>
            </w:pPr>
            <w:r w:rsidRPr="003210F5">
              <w:rPr>
                <w:rFonts w:asciiTheme="majorHAnsi" w:hAnsiTheme="majorHAnsi" w:cstheme="majorHAnsi"/>
                <w:sz w:val="20"/>
                <w:szCs w:val="20"/>
              </w:rPr>
              <w:t xml:space="preserve">21/12/2012 – </w:t>
            </w:r>
            <w:r w:rsidRPr="003210F5">
              <w:rPr>
                <w:rFonts w:asciiTheme="majorHAnsi" w:hAnsiTheme="majorHAnsi" w:cstheme="majorHAnsi"/>
                <w:sz w:val="20"/>
                <w:szCs w:val="20"/>
                <w:lang w:val="el-GR"/>
              </w:rPr>
              <w:t>0</w:t>
            </w:r>
            <w:r w:rsidRPr="003210F5">
              <w:rPr>
                <w:rFonts w:asciiTheme="majorHAnsi" w:hAnsiTheme="majorHAnsi" w:cstheme="majorHAnsi"/>
                <w:sz w:val="20"/>
                <w:szCs w:val="20"/>
              </w:rPr>
              <w:t>5/03/2013</w:t>
            </w:r>
          </w:p>
          <w:p w:rsidRPr="003210F5" w:rsidR="003A74F0" w:rsidP="003210F5" w:rsidRDefault="003A74F0" w14:paraId="5FAF284A"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6</w:t>
            </w:r>
          </w:p>
        </w:tc>
        <w:tc>
          <w:tcPr>
            <w:tcW w:w="1022" w:type="pct"/>
          </w:tcPr>
          <w:p w:rsidRPr="003210F5" w:rsidR="003A74F0" w:rsidP="003210F5" w:rsidRDefault="003A74F0" w14:paraId="5DA977AC" w14:textId="77777777">
            <w:pPr>
              <w:rPr>
                <w:rFonts w:asciiTheme="majorHAnsi" w:hAnsiTheme="majorHAnsi" w:cstheme="majorHAnsi"/>
                <w:sz w:val="20"/>
                <w:szCs w:val="20"/>
              </w:rPr>
            </w:pPr>
          </w:p>
        </w:tc>
        <w:tc>
          <w:tcPr>
            <w:tcW w:w="844" w:type="pct"/>
          </w:tcPr>
          <w:p w:rsidRPr="003210F5" w:rsidR="003A74F0" w:rsidP="003210F5" w:rsidRDefault="003A74F0" w14:paraId="4960E4B0" w14:textId="77777777">
            <w:pPr>
              <w:rPr>
                <w:rFonts w:asciiTheme="majorHAnsi" w:hAnsiTheme="majorHAnsi" w:cstheme="majorHAnsi"/>
                <w:sz w:val="20"/>
                <w:szCs w:val="20"/>
              </w:rPr>
            </w:pPr>
          </w:p>
        </w:tc>
      </w:tr>
      <w:tr w:rsidRPr="003210F5" w:rsidR="003A74F0" w:rsidTr="00FB534C" w14:paraId="49535F69" w14:textId="77777777">
        <w:tc>
          <w:tcPr>
            <w:tcW w:w="675" w:type="pct"/>
          </w:tcPr>
          <w:p w:rsidRPr="003210F5" w:rsidR="003A74F0" w:rsidP="003210F5" w:rsidRDefault="003A74F0" w14:paraId="0F1BBC61" w14:textId="77777777">
            <w:pPr>
              <w:rPr>
                <w:rFonts w:asciiTheme="majorHAnsi" w:hAnsiTheme="majorHAnsi" w:cstheme="majorHAnsi"/>
                <w:sz w:val="20"/>
                <w:szCs w:val="20"/>
              </w:rPr>
            </w:pPr>
            <w:r w:rsidRPr="003210F5">
              <w:rPr>
                <w:rFonts w:asciiTheme="majorHAnsi" w:hAnsiTheme="majorHAnsi" w:cstheme="majorHAnsi"/>
                <w:sz w:val="20"/>
                <w:szCs w:val="20"/>
              </w:rPr>
              <w:t>10</w:t>
            </w:r>
          </w:p>
        </w:tc>
        <w:tc>
          <w:tcPr>
            <w:tcW w:w="1017" w:type="pct"/>
          </w:tcPr>
          <w:p w:rsidRPr="003210F5" w:rsidR="003A74F0" w:rsidP="003210F5" w:rsidRDefault="003A74F0" w14:paraId="36168591" w14:textId="77777777">
            <w:pPr>
              <w:rPr>
                <w:rFonts w:asciiTheme="majorHAnsi" w:hAnsiTheme="majorHAnsi" w:cstheme="majorHAnsi"/>
                <w:sz w:val="20"/>
                <w:szCs w:val="20"/>
              </w:rPr>
            </w:pPr>
            <w:r w:rsidRPr="003210F5">
              <w:rPr>
                <w:rFonts w:asciiTheme="majorHAnsi" w:hAnsiTheme="majorHAnsi" w:cstheme="majorHAnsi"/>
                <w:sz w:val="20"/>
                <w:szCs w:val="20"/>
              </w:rPr>
              <w:t>12/11/2012 – 28/04/2013</w:t>
            </w:r>
          </w:p>
          <w:p w:rsidRPr="003210F5" w:rsidR="003A74F0" w:rsidP="003210F5" w:rsidRDefault="003A74F0" w14:paraId="190EEB96" w14:textId="77777777">
            <w:pPr>
              <w:rPr>
                <w:rFonts w:asciiTheme="majorHAnsi" w:hAnsiTheme="majorHAnsi" w:cstheme="majorHAnsi"/>
                <w:sz w:val="20"/>
                <w:szCs w:val="20"/>
              </w:rPr>
            </w:pPr>
          </w:p>
        </w:tc>
        <w:tc>
          <w:tcPr>
            <w:tcW w:w="1441" w:type="pct"/>
          </w:tcPr>
          <w:p w:rsidRPr="003210F5" w:rsidR="003A74F0" w:rsidP="003210F5" w:rsidRDefault="003A74F0" w14:paraId="6C70A026" w14:textId="77777777">
            <w:pPr>
              <w:rPr>
                <w:rFonts w:asciiTheme="majorHAnsi" w:hAnsiTheme="majorHAnsi" w:cstheme="majorHAnsi"/>
                <w:sz w:val="20"/>
                <w:szCs w:val="20"/>
              </w:rPr>
            </w:pPr>
          </w:p>
        </w:tc>
        <w:tc>
          <w:tcPr>
            <w:tcW w:w="1022" w:type="pct"/>
          </w:tcPr>
          <w:p w:rsidRPr="003210F5" w:rsidR="003A74F0" w:rsidP="003210F5" w:rsidRDefault="003A74F0" w14:paraId="37BCB6A9" w14:textId="77777777">
            <w:pPr>
              <w:rPr>
                <w:rFonts w:asciiTheme="majorHAnsi" w:hAnsiTheme="majorHAnsi" w:cstheme="majorHAnsi"/>
                <w:sz w:val="20"/>
                <w:szCs w:val="20"/>
              </w:rPr>
            </w:pPr>
            <w:r w:rsidRPr="003210F5">
              <w:rPr>
                <w:rFonts w:asciiTheme="majorHAnsi" w:hAnsiTheme="majorHAnsi" w:cstheme="majorHAnsi"/>
                <w:sz w:val="20"/>
                <w:szCs w:val="20"/>
              </w:rPr>
              <w:t>29/04/2013 –</w:t>
            </w:r>
          </w:p>
          <w:p w:rsidRPr="003210F5" w:rsidR="003A74F0" w:rsidP="003210F5" w:rsidRDefault="003A74F0" w14:paraId="5DB837C0" w14:textId="558F2F61">
            <w:pPr>
              <w:rPr>
                <w:rFonts w:asciiTheme="majorHAnsi" w:hAnsiTheme="majorHAnsi" w:cstheme="majorHAnsi"/>
                <w:sz w:val="20"/>
                <w:szCs w:val="20"/>
              </w:rPr>
            </w:pPr>
            <w:r w:rsidRPr="003210F5">
              <w:rPr>
                <w:rFonts w:asciiTheme="majorHAnsi" w:hAnsiTheme="majorHAnsi" w:cstheme="majorHAnsi"/>
                <w:sz w:val="20"/>
                <w:szCs w:val="20"/>
              </w:rPr>
              <w:t>au moins jusqu</w:t>
            </w:r>
            <w:r w:rsidRPr="003210F5" w:rsidR="003210F5">
              <w:rPr>
                <w:rFonts w:asciiTheme="majorHAnsi" w:hAnsiTheme="majorHAnsi" w:cstheme="majorHAnsi"/>
                <w:sz w:val="20"/>
                <w:szCs w:val="20"/>
              </w:rPr>
              <w:t>’</w:t>
            </w:r>
            <w:r w:rsidRPr="003210F5">
              <w:rPr>
                <w:rFonts w:asciiTheme="majorHAnsi" w:hAnsiTheme="majorHAnsi" w:cstheme="majorHAnsi"/>
                <w:sz w:val="20"/>
                <w:szCs w:val="20"/>
              </w:rPr>
              <w:t>à la date de rédaction des observations complémentaires</w:t>
            </w:r>
          </w:p>
        </w:tc>
        <w:tc>
          <w:tcPr>
            <w:tcW w:w="844" w:type="pct"/>
          </w:tcPr>
          <w:p w:rsidRPr="003210F5" w:rsidR="003A74F0" w:rsidP="003210F5" w:rsidRDefault="003A74F0" w14:paraId="7F3FB017" w14:textId="77777777">
            <w:pPr>
              <w:rPr>
                <w:rFonts w:asciiTheme="majorHAnsi" w:hAnsiTheme="majorHAnsi" w:cstheme="majorHAnsi"/>
                <w:sz w:val="20"/>
                <w:szCs w:val="20"/>
              </w:rPr>
            </w:pPr>
          </w:p>
        </w:tc>
      </w:tr>
      <w:tr w:rsidRPr="003210F5" w:rsidR="003A74F0" w:rsidTr="00FB534C" w14:paraId="4DFE5AF9" w14:textId="77777777">
        <w:tc>
          <w:tcPr>
            <w:tcW w:w="675" w:type="pct"/>
          </w:tcPr>
          <w:p w:rsidRPr="003210F5" w:rsidR="003A74F0" w:rsidP="003210F5" w:rsidRDefault="003A74F0" w14:paraId="1E801F21" w14:textId="77777777">
            <w:pPr>
              <w:rPr>
                <w:rFonts w:asciiTheme="majorHAnsi" w:hAnsiTheme="majorHAnsi" w:cstheme="majorHAnsi"/>
                <w:sz w:val="20"/>
                <w:szCs w:val="20"/>
              </w:rPr>
            </w:pPr>
            <w:r w:rsidRPr="003210F5">
              <w:rPr>
                <w:rFonts w:asciiTheme="majorHAnsi" w:hAnsiTheme="majorHAnsi" w:cstheme="majorHAnsi"/>
                <w:sz w:val="20"/>
                <w:szCs w:val="20"/>
              </w:rPr>
              <w:t>11</w:t>
            </w:r>
          </w:p>
        </w:tc>
        <w:tc>
          <w:tcPr>
            <w:tcW w:w="1017" w:type="pct"/>
          </w:tcPr>
          <w:p w:rsidRPr="003210F5" w:rsidR="003A74F0" w:rsidP="003210F5" w:rsidRDefault="003A74F0" w14:paraId="3437029D" w14:textId="77777777">
            <w:pPr>
              <w:rPr>
                <w:rFonts w:asciiTheme="majorHAnsi" w:hAnsiTheme="majorHAnsi" w:cstheme="majorHAnsi"/>
                <w:sz w:val="20"/>
                <w:szCs w:val="20"/>
              </w:rPr>
            </w:pPr>
            <w:r w:rsidRPr="003210F5">
              <w:rPr>
                <w:rFonts w:asciiTheme="majorHAnsi" w:hAnsiTheme="majorHAnsi" w:cstheme="majorHAnsi"/>
                <w:sz w:val="20"/>
                <w:szCs w:val="20"/>
              </w:rPr>
              <w:t>13/12/2012 – 20/12/2012</w:t>
            </w:r>
          </w:p>
          <w:p w:rsidRPr="003210F5" w:rsidR="003A74F0" w:rsidP="003210F5" w:rsidRDefault="003A74F0" w14:paraId="3D6C21C5" w14:textId="77777777">
            <w:pPr>
              <w:rPr>
                <w:rFonts w:asciiTheme="majorHAnsi" w:hAnsiTheme="majorHAnsi" w:cstheme="majorHAnsi"/>
                <w:sz w:val="20"/>
                <w:szCs w:val="20"/>
              </w:rPr>
            </w:pPr>
          </w:p>
        </w:tc>
        <w:tc>
          <w:tcPr>
            <w:tcW w:w="1441" w:type="pct"/>
          </w:tcPr>
          <w:p w:rsidRPr="003210F5" w:rsidR="003A74F0" w:rsidP="003210F5" w:rsidRDefault="003A74F0" w14:paraId="78584925" w14:textId="77777777">
            <w:pPr>
              <w:rPr>
                <w:rFonts w:asciiTheme="majorHAnsi" w:hAnsiTheme="majorHAnsi" w:cstheme="majorHAnsi"/>
                <w:sz w:val="20"/>
                <w:szCs w:val="20"/>
              </w:rPr>
            </w:pPr>
            <w:r w:rsidRPr="003210F5">
              <w:rPr>
                <w:rFonts w:asciiTheme="majorHAnsi" w:hAnsiTheme="majorHAnsi" w:cstheme="majorHAnsi"/>
                <w:sz w:val="20"/>
                <w:szCs w:val="20"/>
              </w:rPr>
              <w:t>21/12/2012 – 25/04/2013</w:t>
            </w:r>
          </w:p>
          <w:p w:rsidRPr="003210F5" w:rsidR="003A74F0" w:rsidP="003210F5" w:rsidRDefault="003A74F0" w14:paraId="6DFB14B0" w14:textId="77777777">
            <w:pPr>
              <w:rPr>
                <w:rFonts w:asciiTheme="majorHAnsi" w:hAnsiTheme="majorHAnsi" w:cstheme="majorHAnsi"/>
                <w:sz w:val="20"/>
                <w:szCs w:val="20"/>
              </w:rPr>
            </w:pPr>
            <w:r w:rsidRPr="003210F5">
              <w:rPr>
                <w:rFonts w:asciiTheme="majorHAnsi" w:hAnsiTheme="majorHAnsi" w:cstheme="majorHAnsi"/>
                <w:sz w:val="20"/>
                <w:szCs w:val="20"/>
              </w:rPr>
              <w:t xml:space="preserve">immeuble B, chambrée 6 </w:t>
            </w:r>
          </w:p>
        </w:tc>
        <w:tc>
          <w:tcPr>
            <w:tcW w:w="1022" w:type="pct"/>
          </w:tcPr>
          <w:p w:rsidRPr="003210F5" w:rsidR="003A74F0" w:rsidP="003210F5" w:rsidRDefault="003A74F0" w14:paraId="545594B4" w14:textId="77777777">
            <w:pPr>
              <w:rPr>
                <w:rFonts w:asciiTheme="majorHAnsi" w:hAnsiTheme="majorHAnsi" w:cstheme="majorHAnsi"/>
                <w:sz w:val="20"/>
                <w:szCs w:val="20"/>
              </w:rPr>
            </w:pPr>
            <w:r w:rsidRPr="003210F5">
              <w:rPr>
                <w:rFonts w:asciiTheme="majorHAnsi" w:hAnsiTheme="majorHAnsi" w:cstheme="majorHAnsi"/>
                <w:sz w:val="20"/>
                <w:szCs w:val="20"/>
              </w:rPr>
              <w:t>26/04/2013 – 07/10/2013</w:t>
            </w:r>
          </w:p>
          <w:p w:rsidRPr="003210F5" w:rsidR="003A74F0" w:rsidP="003210F5" w:rsidRDefault="003A74F0" w14:paraId="7236A577" w14:textId="77777777">
            <w:pPr>
              <w:rPr>
                <w:rFonts w:asciiTheme="majorHAnsi" w:hAnsiTheme="majorHAnsi" w:cstheme="majorHAnsi"/>
                <w:sz w:val="20"/>
                <w:szCs w:val="20"/>
              </w:rPr>
            </w:pPr>
          </w:p>
          <w:p w:rsidRPr="003210F5" w:rsidR="003A74F0" w:rsidP="003210F5" w:rsidRDefault="003A74F0" w14:paraId="3576AB89" w14:textId="77777777">
            <w:pPr>
              <w:rPr>
                <w:rFonts w:asciiTheme="majorHAnsi" w:hAnsiTheme="majorHAnsi" w:cstheme="majorHAnsi"/>
                <w:sz w:val="20"/>
                <w:szCs w:val="20"/>
              </w:rPr>
            </w:pPr>
          </w:p>
        </w:tc>
        <w:tc>
          <w:tcPr>
            <w:tcW w:w="844" w:type="pct"/>
          </w:tcPr>
          <w:p w:rsidRPr="003210F5" w:rsidR="003A74F0" w:rsidP="003210F5" w:rsidRDefault="003A74F0" w14:paraId="249F706D" w14:textId="77777777">
            <w:pPr>
              <w:rPr>
                <w:rFonts w:asciiTheme="majorHAnsi" w:hAnsiTheme="majorHAnsi" w:cstheme="majorHAnsi"/>
                <w:sz w:val="20"/>
                <w:szCs w:val="20"/>
              </w:rPr>
            </w:pPr>
            <w:r w:rsidRPr="003210F5">
              <w:rPr>
                <w:rFonts w:asciiTheme="majorHAnsi" w:hAnsiTheme="majorHAnsi" w:cstheme="majorHAnsi"/>
                <w:sz w:val="20"/>
                <w:szCs w:val="20"/>
              </w:rPr>
              <w:t>08/10/2013 – 29/10/2013</w:t>
            </w:r>
          </w:p>
          <w:p w:rsidRPr="003210F5" w:rsidR="003A74F0" w:rsidP="003210F5" w:rsidRDefault="003A74F0" w14:paraId="13A8CE48" w14:textId="77777777">
            <w:pPr>
              <w:rPr>
                <w:rFonts w:asciiTheme="majorHAnsi" w:hAnsiTheme="majorHAnsi" w:cstheme="majorHAnsi"/>
                <w:sz w:val="20"/>
                <w:szCs w:val="20"/>
              </w:rPr>
            </w:pPr>
          </w:p>
        </w:tc>
      </w:tr>
      <w:tr w:rsidRPr="003210F5" w:rsidR="003A74F0" w:rsidTr="00FB534C" w14:paraId="3A9C3A29" w14:textId="77777777">
        <w:tc>
          <w:tcPr>
            <w:tcW w:w="675" w:type="pct"/>
          </w:tcPr>
          <w:p w:rsidRPr="003210F5" w:rsidR="003A74F0" w:rsidP="003210F5" w:rsidRDefault="003A74F0" w14:paraId="31F4F2DA" w14:textId="77777777">
            <w:pPr>
              <w:rPr>
                <w:rFonts w:asciiTheme="majorHAnsi" w:hAnsiTheme="majorHAnsi" w:cstheme="majorHAnsi"/>
                <w:sz w:val="20"/>
                <w:szCs w:val="20"/>
              </w:rPr>
            </w:pPr>
            <w:r w:rsidRPr="003210F5">
              <w:rPr>
                <w:rFonts w:asciiTheme="majorHAnsi" w:hAnsiTheme="majorHAnsi" w:cstheme="majorHAnsi"/>
                <w:sz w:val="20"/>
                <w:szCs w:val="20"/>
              </w:rPr>
              <w:t>12</w:t>
            </w:r>
          </w:p>
        </w:tc>
        <w:tc>
          <w:tcPr>
            <w:tcW w:w="1017" w:type="pct"/>
          </w:tcPr>
          <w:p w:rsidRPr="003210F5" w:rsidR="003A74F0" w:rsidP="003210F5" w:rsidRDefault="003A74F0" w14:paraId="1D155A5B" w14:textId="77777777">
            <w:pPr>
              <w:rPr>
                <w:rFonts w:asciiTheme="majorHAnsi" w:hAnsiTheme="majorHAnsi" w:cstheme="majorHAnsi"/>
                <w:sz w:val="20"/>
                <w:szCs w:val="20"/>
              </w:rPr>
            </w:pPr>
            <w:r w:rsidRPr="003210F5">
              <w:rPr>
                <w:rFonts w:asciiTheme="majorHAnsi" w:hAnsiTheme="majorHAnsi" w:cstheme="majorHAnsi"/>
                <w:sz w:val="20"/>
                <w:szCs w:val="20"/>
              </w:rPr>
              <w:t>28/01/2013 – 28/06/2013</w:t>
            </w:r>
          </w:p>
          <w:p w:rsidRPr="003210F5" w:rsidR="003A74F0" w:rsidP="003210F5" w:rsidRDefault="003A74F0" w14:paraId="573821A2" w14:textId="77777777">
            <w:pPr>
              <w:rPr>
                <w:rFonts w:asciiTheme="majorHAnsi" w:hAnsiTheme="majorHAnsi" w:cstheme="majorHAnsi"/>
                <w:sz w:val="20"/>
                <w:szCs w:val="20"/>
              </w:rPr>
            </w:pPr>
          </w:p>
        </w:tc>
        <w:tc>
          <w:tcPr>
            <w:tcW w:w="1441" w:type="pct"/>
          </w:tcPr>
          <w:p w:rsidRPr="003210F5" w:rsidR="003A74F0" w:rsidP="003210F5" w:rsidRDefault="003A74F0" w14:paraId="1F6F361F" w14:textId="77777777">
            <w:pPr>
              <w:rPr>
                <w:rFonts w:asciiTheme="majorHAnsi" w:hAnsiTheme="majorHAnsi" w:cstheme="majorHAnsi"/>
                <w:sz w:val="20"/>
                <w:szCs w:val="20"/>
              </w:rPr>
            </w:pPr>
          </w:p>
        </w:tc>
        <w:tc>
          <w:tcPr>
            <w:tcW w:w="1022" w:type="pct"/>
          </w:tcPr>
          <w:p w:rsidRPr="003210F5" w:rsidR="003A74F0" w:rsidP="003210F5" w:rsidRDefault="003A74F0" w14:paraId="087BF6D1" w14:textId="77777777">
            <w:pPr>
              <w:rPr>
                <w:rFonts w:asciiTheme="majorHAnsi" w:hAnsiTheme="majorHAnsi" w:cstheme="majorHAnsi"/>
                <w:sz w:val="20"/>
                <w:szCs w:val="20"/>
              </w:rPr>
            </w:pPr>
          </w:p>
        </w:tc>
        <w:tc>
          <w:tcPr>
            <w:tcW w:w="844" w:type="pct"/>
          </w:tcPr>
          <w:p w:rsidRPr="003210F5" w:rsidR="003A74F0" w:rsidP="003210F5" w:rsidRDefault="003A74F0" w14:paraId="16B86235" w14:textId="77777777">
            <w:pPr>
              <w:rPr>
                <w:rFonts w:asciiTheme="majorHAnsi" w:hAnsiTheme="majorHAnsi" w:cstheme="majorHAnsi"/>
                <w:sz w:val="20"/>
                <w:szCs w:val="20"/>
              </w:rPr>
            </w:pPr>
          </w:p>
        </w:tc>
      </w:tr>
      <w:tr w:rsidRPr="003210F5" w:rsidR="003A74F0" w:rsidTr="00FB534C" w14:paraId="51B12888" w14:textId="77777777">
        <w:tc>
          <w:tcPr>
            <w:tcW w:w="675" w:type="pct"/>
          </w:tcPr>
          <w:p w:rsidRPr="003210F5" w:rsidR="003A74F0" w:rsidP="003210F5" w:rsidRDefault="003A74F0" w14:paraId="1670057F" w14:textId="77777777">
            <w:pPr>
              <w:rPr>
                <w:rFonts w:asciiTheme="majorHAnsi" w:hAnsiTheme="majorHAnsi" w:cstheme="majorHAnsi"/>
                <w:sz w:val="20"/>
                <w:szCs w:val="20"/>
              </w:rPr>
            </w:pPr>
            <w:r w:rsidRPr="003210F5">
              <w:rPr>
                <w:rFonts w:asciiTheme="majorHAnsi" w:hAnsiTheme="majorHAnsi" w:cstheme="majorHAnsi"/>
                <w:sz w:val="20"/>
                <w:szCs w:val="20"/>
              </w:rPr>
              <w:t>13</w:t>
            </w:r>
          </w:p>
        </w:tc>
        <w:tc>
          <w:tcPr>
            <w:tcW w:w="1017" w:type="pct"/>
          </w:tcPr>
          <w:p w:rsidRPr="003210F5" w:rsidR="003A74F0" w:rsidP="003210F5" w:rsidRDefault="003A74F0" w14:paraId="628FA15E" w14:textId="77777777">
            <w:pPr>
              <w:rPr>
                <w:rFonts w:asciiTheme="majorHAnsi" w:hAnsiTheme="majorHAnsi" w:cstheme="majorHAnsi"/>
                <w:sz w:val="20"/>
                <w:szCs w:val="20"/>
              </w:rPr>
            </w:pPr>
            <w:r w:rsidRPr="003210F5">
              <w:rPr>
                <w:rFonts w:asciiTheme="majorHAnsi" w:hAnsiTheme="majorHAnsi" w:cstheme="majorHAnsi"/>
                <w:sz w:val="20"/>
                <w:szCs w:val="20"/>
              </w:rPr>
              <w:t>21/12/2012 – 24/12/2012</w:t>
            </w:r>
          </w:p>
          <w:p w:rsidRPr="003210F5" w:rsidR="003A74F0" w:rsidP="003210F5" w:rsidRDefault="003A74F0" w14:paraId="3B2E70E2" w14:textId="77777777">
            <w:pPr>
              <w:rPr>
                <w:rFonts w:asciiTheme="majorHAnsi" w:hAnsiTheme="majorHAnsi" w:cstheme="majorHAnsi"/>
                <w:sz w:val="20"/>
                <w:szCs w:val="20"/>
              </w:rPr>
            </w:pPr>
          </w:p>
        </w:tc>
        <w:tc>
          <w:tcPr>
            <w:tcW w:w="1441" w:type="pct"/>
          </w:tcPr>
          <w:p w:rsidRPr="003210F5" w:rsidR="003A74F0" w:rsidP="003210F5" w:rsidRDefault="003A74F0" w14:paraId="7FAD70DA" w14:textId="77777777">
            <w:pPr>
              <w:rPr>
                <w:rFonts w:asciiTheme="majorHAnsi" w:hAnsiTheme="majorHAnsi" w:cstheme="majorHAnsi"/>
                <w:sz w:val="20"/>
                <w:szCs w:val="20"/>
              </w:rPr>
            </w:pPr>
            <w:r w:rsidRPr="003210F5">
              <w:rPr>
                <w:rFonts w:asciiTheme="majorHAnsi" w:hAnsiTheme="majorHAnsi" w:cstheme="majorHAnsi"/>
                <w:sz w:val="20"/>
                <w:szCs w:val="20"/>
              </w:rPr>
              <w:t>25/12/2012 – 22/05/2013</w:t>
            </w:r>
          </w:p>
          <w:p w:rsidRPr="003210F5" w:rsidR="003A74F0" w:rsidP="003210F5" w:rsidRDefault="003A74F0" w14:paraId="3BCF6AD5"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11</w:t>
            </w:r>
          </w:p>
        </w:tc>
        <w:tc>
          <w:tcPr>
            <w:tcW w:w="1022" w:type="pct"/>
          </w:tcPr>
          <w:p w:rsidRPr="003210F5" w:rsidR="003A74F0" w:rsidP="003210F5" w:rsidRDefault="003A74F0" w14:paraId="1F424F2A" w14:textId="77777777">
            <w:pPr>
              <w:rPr>
                <w:rFonts w:asciiTheme="majorHAnsi" w:hAnsiTheme="majorHAnsi" w:cstheme="majorHAnsi"/>
                <w:sz w:val="20"/>
                <w:szCs w:val="20"/>
              </w:rPr>
            </w:pPr>
          </w:p>
        </w:tc>
        <w:tc>
          <w:tcPr>
            <w:tcW w:w="844" w:type="pct"/>
          </w:tcPr>
          <w:p w:rsidRPr="003210F5" w:rsidR="003A74F0" w:rsidP="003210F5" w:rsidRDefault="003A74F0" w14:paraId="4DE3B34E" w14:textId="77777777">
            <w:pPr>
              <w:rPr>
                <w:rFonts w:asciiTheme="majorHAnsi" w:hAnsiTheme="majorHAnsi" w:cstheme="majorHAnsi"/>
                <w:sz w:val="20"/>
                <w:szCs w:val="20"/>
              </w:rPr>
            </w:pPr>
            <w:r w:rsidRPr="003210F5">
              <w:rPr>
                <w:rFonts w:asciiTheme="majorHAnsi" w:hAnsiTheme="majorHAnsi" w:cstheme="majorHAnsi"/>
                <w:sz w:val="20"/>
                <w:szCs w:val="20"/>
              </w:rPr>
              <w:t>23/05/2013 – 30/05/2013</w:t>
            </w:r>
          </w:p>
          <w:p w:rsidRPr="003210F5" w:rsidR="003A74F0" w:rsidP="003210F5" w:rsidRDefault="003A74F0" w14:paraId="3362A841" w14:textId="77777777">
            <w:pPr>
              <w:rPr>
                <w:rFonts w:asciiTheme="majorHAnsi" w:hAnsiTheme="majorHAnsi" w:cstheme="majorHAnsi"/>
                <w:sz w:val="20"/>
                <w:szCs w:val="20"/>
              </w:rPr>
            </w:pPr>
          </w:p>
          <w:p w:rsidRPr="003210F5" w:rsidR="003A74F0" w:rsidP="003210F5" w:rsidRDefault="003A74F0" w14:paraId="6ADD952F" w14:textId="77777777">
            <w:pPr>
              <w:rPr>
                <w:rFonts w:asciiTheme="majorHAnsi" w:hAnsiTheme="majorHAnsi" w:cstheme="majorHAnsi"/>
                <w:sz w:val="20"/>
                <w:szCs w:val="20"/>
              </w:rPr>
            </w:pPr>
          </w:p>
        </w:tc>
      </w:tr>
      <w:tr w:rsidRPr="003210F5" w:rsidR="003A74F0" w:rsidTr="00FB534C" w14:paraId="5905F096" w14:textId="77777777">
        <w:tc>
          <w:tcPr>
            <w:tcW w:w="675" w:type="pct"/>
          </w:tcPr>
          <w:p w:rsidRPr="003210F5" w:rsidR="003A74F0" w:rsidP="003210F5" w:rsidRDefault="003A74F0" w14:paraId="146CB802" w14:textId="77777777">
            <w:pPr>
              <w:rPr>
                <w:rFonts w:asciiTheme="majorHAnsi" w:hAnsiTheme="majorHAnsi" w:cstheme="majorHAnsi"/>
                <w:sz w:val="20"/>
                <w:szCs w:val="20"/>
              </w:rPr>
            </w:pPr>
            <w:r w:rsidRPr="003210F5">
              <w:rPr>
                <w:rFonts w:asciiTheme="majorHAnsi" w:hAnsiTheme="majorHAnsi" w:cstheme="majorHAnsi"/>
                <w:sz w:val="20"/>
                <w:szCs w:val="20"/>
              </w:rPr>
              <w:t>14</w:t>
            </w:r>
          </w:p>
        </w:tc>
        <w:tc>
          <w:tcPr>
            <w:tcW w:w="1017" w:type="pct"/>
          </w:tcPr>
          <w:p w:rsidRPr="003210F5" w:rsidR="003A74F0" w:rsidP="003210F5" w:rsidRDefault="003A74F0" w14:paraId="29DBECF6" w14:textId="77777777">
            <w:pPr>
              <w:rPr>
                <w:rFonts w:asciiTheme="majorHAnsi" w:hAnsiTheme="majorHAnsi" w:cstheme="majorHAnsi"/>
                <w:sz w:val="20"/>
                <w:szCs w:val="20"/>
              </w:rPr>
            </w:pPr>
            <w:r w:rsidRPr="003210F5">
              <w:rPr>
                <w:rFonts w:asciiTheme="majorHAnsi" w:hAnsiTheme="majorHAnsi" w:cstheme="majorHAnsi"/>
                <w:sz w:val="20"/>
                <w:szCs w:val="20"/>
              </w:rPr>
              <w:t>05/05/2011–11/05/2011</w:t>
            </w:r>
          </w:p>
          <w:p w:rsidRPr="003210F5" w:rsidR="003A74F0" w:rsidP="003210F5" w:rsidRDefault="003A74F0" w14:paraId="751E50BC" w14:textId="77777777">
            <w:pPr>
              <w:rPr>
                <w:rFonts w:asciiTheme="majorHAnsi" w:hAnsiTheme="majorHAnsi" w:cstheme="majorHAnsi"/>
                <w:sz w:val="20"/>
                <w:szCs w:val="20"/>
              </w:rPr>
            </w:pPr>
          </w:p>
        </w:tc>
        <w:tc>
          <w:tcPr>
            <w:tcW w:w="1441" w:type="pct"/>
          </w:tcPr>
          <w:p w:rsidRPr="003210F5" w:rsidR="003A74F0" w:rsidP="003210F5" w:rsidRDefault="003A74F0" w14:paraId="270C456B" w14:textId="77777777">
            <w:pPr>
              <w:rPr>
                <w:rFonts w:asciiTheme="majorHAnsi" w:hAnsiTheme="majorHAnsi" w:cstheme="majorHAnsi"/>
                <w:sz w:val="20"/>
                <w:szCs w:val="20"/>
              </w:rPr>
            </w:pPr>
            <w:r w:rsidRPr="003210F5">
              <w:rPr>
                <w:rFonts w:asciiTheme="majorHAnsi" w:hAnsiTheme="majorHAnsi" w:cstheme="majorHAnsi"/>
                <w:sz w:val="20"/>
                <w:szCs w:val="20"/>
              </w:rPr>
              <w:t>12/05/2011 – 19/06/2013</w:t>
            </w:r>
          </w:p>
          <w:p w:rsidRPr="003210F5" w:rsidR="003A74F0" w:rsidP="003210F5" w:rsidRDefault="003A74F0" w14:paraId="1CCFDCEF" w14:textId="77777777">
            <w:pPr>
              <w:rPr>
                <w:rFonts w:asciiTheme="majorHAnsi" w:hAnsiTheme="majorHAnsi" w:cstheme="majorHAnsi"/>
                <w:sz w:val="20"/>
                <w:szCs w:val="20"/>
              </w:rPr>
            </w:pPr>
            <w:r w:rsidRPr="003210F5">
              <w:rPr>
                <w:rFonts w:asciiTheme="majorHAnsi" w:hAnsiTheme="majorHAnsi" w:cstheme="majorHAnsi"/>
                <w:sz w:val="20"/>
                <w:szCs w:val="20"/>
              </w:rPr>
              <w:t xml:space="preserve">immeuble C, chambrée 9 </w:t>
            </w:r>
          </w:p>
        </w:tc>
        <w:tc>
          <w:tcPr>
            <w:tcW w:w="1022" w:type="pct"/>
          </w:tcPr>
          <w:p w:rsidRPr="003210F5" w:rsidR="003A74F0" w:rsidP="003210F5" w:rsidRDefault="003A74F0" w14:paraId="6D5B861A" w14:textId="77777777">
            <w:pPr>
              <w:rPr>
                <w:rFonts w:asciiTheme="majorHAnsi" w:hAnsiTheme="majorHAnsi" w:cstheme="majorHAnsi"/>
                <w:sz w:val="20"/>
                <w:szCs w:val="20"/>
              </w:rPr>
            </w:pPr>
          </w:p>
        </w:tc>
        <w:tc>
          <w:tcPr>
            <w:tcW w:w="844" w:type="pct"/>
          </w:tcPr>
          <w:p w:rsidRPr="003210F5" w:rsidR="003A74F0" w:rsidP="003210F5" w:rsidRDefault="003A74F0" w14:paraId="6B348602" w14:textId="77777777">
            <w:pPr>
              <w:rPr>
                <w:rFonts w:asciiTheme="majorHAnsi" w:hAnsiTheme="majorHAnsi" w:cstheme="majorHAnsi"/>
                <w:sz w:val="20"/>
                <w:szCs w:val="20"/>
              </w:rPr>
            </w:pPr>
          </w:p>
        </w:tc>
      </w:tr>
      <w:tr w:rsidRPr="003210F5" w:rsidR="003A74F0" w:rsidTr="00FB534C" w14:paraId="7C67FA06" w14:textId="77777777">
        <w:tc>
          <w:tcPr>
            <w:tcW w:w="675" w:type="pct"/>
          </w:tcPr>
          <w:p w:rsidRPr="003210F5" w:rsidR="003A74F0" w:rsidP="003210F5" w:rsidRDefault="003A74F0" w14:paraId="53EBA00E" w14:textId="77777777">
            <w:pPr>
              <w:rPr>
                <w:rFonts w:asciiTheme="majorHAnsi" w:hAnsiTheme="majorHAnsi" w:cstheme="majorHAnsi"/>
                <w:sz w:val="20"/>
                <w:szCs w:val="20"/>
              </w:rPr>
            </w:pPr>
            <w:r w:rsidRPr="003210F5">
              <w:rPr>
                <w:rFonts w:asciiTheme="majorHAnsi" w:hAnsiTheme="majorHAnsi" w:cstheme="majorHAnsi"/>
                <w:sz w:val="20"/>
                <w:szCs w:val="20"/>
              </w:rPr>
              <w:t>15</w:t>
            </w:r>
          </w:p>
        </w:tc>
        <w:tc>
          <w:tcPr>
            <w:tcW w:w="1017" w:type="pct"/>
          </w:tcPr>
          <w:p w:rsidRPr="003210F5" w:rsidR="003A74F0" w:rsidP="003210F5" w:rsidRDefault="003A74F0" w14:paraId="116812B4" w14:textId="77777777">
            <w:pPr>
              <w:rPr>
                <w:rFonts w:asciiTheme="majorHAnsi" w:hAnsiTheme="majorHAnsi" w:cstheme="majorHAnsi"/>
                <w:sz w:val="20"/>
                <w:szCs w:val="20"/>
              </w:rPr>
            </w:pPr>
            <w:r w:rsidRPr="003210F5">
              <w:rPr>
                <w:rFonts w:asciiTheme="majorHAnsi" w:hAnsiTheme="majorHAnsi" w:cstheme="majorHAnsi"/>
                <w:sz w:val="20"/>
                <w:szCs w:val="20"/>
              </w:rPr>
              <w:t>30/10/2012 – 01/11/2012</w:t>
            </w:r>
          </w:p>
          <w:p w:rsidRPr="003210F5" w:rsidR="003A74F0" w:rsidP="003210F5" w:rsidRDefault="003A74F0" w14:paraId="60A24028" w14:textId="77777777">
            <w:pPr>
              <w:jc w:val="both"/>
              <w:rPr>
                <w:rFonts w:asciiTheme="majorHAnsi" w:hAnsiTheme="majorHAnsi" w:cstheme="majorHAnsi"/>
                <w:sz w:val="20"/>
                <w:szCs w:val="20"/>
              </w:rPr>
            </w:pPr>
          </w:p>
        </w:tc>
        <w:tc>
          <w:tcPr>
            <w:tcW w:w="1441" w:type="pct"/>
          </w:tcPr>
          <w:p w:rsidRPr="003210F5" w:rsidR="003A74F0" w:rsidP="003210F5" w:rsidRDefault="003A74F0" w14:paraId="4B842449" w14:textId="77777777">
            <w:pPr>
              <w:rPr>
                <w:rFonts w:asciiTheme="majorHAnsi" w:hAnsiTheme="majorHAnsi" w:cstheme="majorHAnsi"/>
                <w:sz w:val="20"/>
                <w:szCs w:val="20"/>
              </w:rPr>
            </w:pPr>
            <w:r w:rsidRPr="003210F5">
              <w:rPr>
                <w:rFonts w:asciiTheme="majorHAnsi" w:hAnsiTheme="majorHAnsi" w:cstheme="majorHAnsi"/>
                <w:sz w:val="20"/>
                <w:szCs w:val="20"/>
              </w:rPr>
              <w:t>02/11/2012 – 02/01/2013</w:t>
            </w:r>
          </w:p>
          <w:p w:rsidRPr="003210F5" w:rsidR="003A74F0" w:rsidP="003210F5" w:rsidRDefault="003A74F0" w14:paraId="2770D19F"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11</w:t>
            </w:r>
          </w:p>
        </w:tc>
        <w:tc>
          <w:tcPr>
            <w:tcW w:w="1022" w:type="pct"/>
          </w:tcPr>
          <w:p w:rsidRPr="003210F5" w:rsidR="003A74F0" w:rsidP="003210F5" w:rsidRDefault="003A74F0" w14:paraId="2E269715" w14:textId="77777777">
            <w:pPr>
              <w:rPr>
                <w:rFonts w:asciiTheme="majorHAnsi" w:hAnsiTheme="majorHAnsi" w:cstheme="majorHAnsi"/>
                <w:sz w:val="20"/>
                <w:szCs w:val="20"/>
              </w:rPr>
            </w:pPr>
            <w:r w:rsidRPr="003210F5">
              <w:rPr>
                <w:rFonts w:asciiTheme="majorHAnsi" w:hAnsiTheme="majorHAnsi" w:cstheme="majorHAnsi"/>
                <w:sz w:val="20"/>
                <w:szCs w:val="20"/>
              </w:rPr>
              <w:t>03/01/2013 – 17/04/2013</w:t>
            </w:r>
          </w:p>
          <w:p w:rsidRPr="003210F5" w:rsidR="003A74F0" w:rsidP="003210F5" w:rsidRDefault="003A74F0" w14:paraId="197EBDB3" w14:textId="77777777">
            <w:pPr>
              <w:rPr>
                <w:rFonts w:asciiTheme="majorHAnsi" w:hAnsiTheme="majorHAnsi" w:cstheme="majorHAnsi"/>
                <w:sz w:val="20"/>
                <w:szCs w:val="20"/>
              </w:rPr>
            </w:pPr>
          </w:p>
          <w:p w:rsidRPr="003210F5" w:rsidR="003A74F0" w:rsidP="003210F5" w:rsidRDefault="003A74F0" w14:paraId="2E4030EE" w14:textId="77777777">
            <w:pPr>
              <w:rPr>
                <w:rFonts w:asciiTheme="majorHAnsi" w:hAnsiTheme="majorHAnsi" w:cstheme="majorHAnsi"/>
                <w:sz w:val="20"/>
                <w:szCs w:val="20"/>
              </w:rPr>
            </w:pPr>
          </w:p>
        </w:tc>
        <w:tc>
          <w:tcPr>
            <w:tcW w:w="844" w:type="pct"/>
          </w:tcPr>
          <w:p w:rsidRPr="003210F5" w:rsidR="003A74F0" w:rsidP="003210F5" w:rsidRDefault="003A74F0" w14:paraId="6FA1D713" w14:textId="77777777">
            <w:pPr>
              <w:rPr>
                <w:rFonts w:asciiTheme="majorHAnsi" w:hAnsiTheme="majorHAnsi" w:cstheme="majorHAnsi"/>
                <w:sz w:val="20"/>
                <w:szCs w:val="20"/>
              </w:rPr>
            </w:pPr>
            <w:r w:rsidRPr="003210F5">
              <w:rPr>
                <w:rFonts w:asciiTheme="majorHAnsi" w:hAnsiTheme="majorHAnsi" w:cstheme="majorHAnsi"/>
                <w:sz w:val="20"/>
                <w:szCs w:val="20"/>
              </w:rPr>
              <w:t>18/04/2013 – 25/04/2013</w:t>
            </w:r>
          </w:p>
          <w:p w:rsidRPr="003210F5" w:rsidR="003A74F0" w:rsidP="003210F5" w:rsidRDefault="003A74F0" w14:paraId="2EC4F215" w14:textId="77777777">
            <w:pPr>
              <w:rPr>
                <w:rFonts w:asciiTheme="majorHAnsi" w:hAnsiTheme="majorHAnsi" w:cstheme="majorHAnsi"/>
                <w:sz w:val="20"/>
                <w:szCs w:val="20"/>
              </w:rPr>
            </w:pPr>
          </w:p>
          <w:p w:rsidRPr="003210F5" w:rsidR="003A74F0" w:rsidP="003210F5" w:rsidRDefault="003A74F0" w14:paraId="5487E4F9" w14:textId="77777777">
            <w:pPr>
              <w:rPr>
                <w:rFonts w:asciiTheme="majorHAnsi" w:hAnsiTheme="majorHAnsi" w:cstheme="majorHAnsi"/>
                <w:sz w:val="20"/>
                <w:szCs w:val="20"/>
              </w:rPr>
            </w:pPr>
          </w:p>
        </w:tc>
      </w:tr>
      <w:tr w:rsidRPr="003210F5" w:rsidR="003A74F0" w:rsidTr="00FB534C" w14:paraId="17BF7383" w14:textId="77777777">
        <w:tc>
          <w:tcPr>
            <w:tcW w:w="675" w:type="pct"/>
          </w:tcPr>
          <w:p w:rsidRPr="003210F5" w:rsidR="003A74F0" w:rsidP="003210F5" w:rsidRDefault="003A74F0" w14:paraId="3BEFA2A7" w14:textId="77777777">
            <w:pPr>
              <w:rPr>
                <w:rFonts w:asciiTheme="majorHAnsi" w:hAnsiTheme="majorHAnsi" w:cstheme="majorHAnsi"/>
                <w:sz w:val="20"/>
                <w:szCs w:val="20"/>
              </w:rPr>
            </w:pPr>
            <w:r w:rsidRPr="003210F5">
              <w:rPr>
                <w:rFonts w:asciiTheme="majorHAnsi" w:hAnsiTheme="majorHAnsi" w:cstheme="majorHAnsi"/>
                <w:sz w:val="20"/>
                <w:szCs w:val="20"/>
              </w:rPr>
              <w:t>16</w:t>
            </w:r>
          </w:p>
        </w:tc>
        <w:tc>
          <w:tcPr>
            <w:tcW w:w="1017" w:type="pct"/>
          </w:tcPr>
          <w:p w:rsidRPr="003210F5" w:rsidR="003A74F0" w:rsidP="003210F5" w:rsidRDefault="003A74F0" w14:paraId="733FBEDA" w14:textId="77777777">
            <w:pPr>
              <w:rPr>
                <w:rFonts w:asciiTheme="majorHAnsi" w:hAnsiTheme="majorHAnsi" w:cstheme="majorHAnsi"/>
                <w:sz w:val="20"/>
                <w:szCs w:val="20"/>
              </w:rPr>
            </w:pPr>
            <w:r w:rsidRPr="003210F5">
              <w:rPr>
                <w:rFonts w:asciiTheme="majorHAnsi" w:hAnsiTheme="majorHAnsi" w:cstheme="majorHAnsi"/>
                <w:sz w:val="20"/>
                <w:szCs w:val="20"/>
              </w:rPr>
              <w:t>13/12/2012 – 20/12/2012</w:t>
            </w:r>
          </w:p>
          <w:p w:rsidRPr="003210F5" w:rsidR="003A74F0" w:rsidP="003210F5" w:rsidRDefault="003A74F0" w14:paraId="6F899765" w14:textId="77777777">
            <w:pPr>
              <w:rPr>
                <w:rFonts w:asciiTheme="majorHAnsi" w:hAnsiTheme="majorHAnsi" w:cstheme="majorHAnsi"/>
                <w:sz w:val="20"/>
                <w:szCs w:val="20"/>
              </w:rPr>
            </w:pPr>
          </w:p>
        </w:tc>
        <w:tc>
          <w:tcPr>
            <w:tcW w:w="1441" w:type="pct"/>
          </w:tcPr>
          <w:p w:rsidRPr="003210F5" w:rsidR="003A74F0" w:rsidP="003210F5" w:rsidRDefault="003A74F0" w14:paraId="0C81F49B" w14:textId="77777777">
            <w:pPr>
              <w:rPr>
                <w:rFonts w:asciiTheme="majorHAnsi" w:hAnsiTheme="majorHAnsi" w:cstheme="majorHAnsi"/>
                <w:sz w:val="20"/>
                <w:szCs w:val="20"/>
              </w:rPr>
            </w:pPr>
            <w:r w:rsidRPr="003210F5">
              <w:rPr>
                <w:rFonts w:asciiTheme="majorHAnsi" w:hAnsiTheme="majorHAnsi" w:cstheme="majorHAnsi"/>
                <w:sz w:val="20"/>
                <w:szCs w:val="20"/>
              </w:rPr>
              <w:t>21/12/2012 – 14/04/2013</w:t>
            </w:r>
          </w:p>
          <w:p w:rsidRPr="003210F5" w:rsidR="003A74F0" w:rsidP="003210F5" w:rsidRDefault="003A74F0" w14:paraId="70919BF9"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6</w:t>
            </w:r>
          </w:p>
        </w:tc>
        <w:tc>
          <w:tcPr>
            <w:tcW w:w="1022" w:type="pct"/>
          </w:tcPr>
          <w:p w:rsidRPr="003210F5" w:rsidR="003A74F0" w:rsidP="003210F5" w:rsidRDefault="003A74F0" w14:paraId="1D198C1B" w14:textId="77777777">
            <w:pPr>
              <w:rPr>
                <w:rFonts w:asciiTheme="majorHAnsi" w:hAnsiTheme="majorHAnsi" w:cstheme="majorHAnsi"/>
                <w:sz w:val="20"/>
                <w:szCs w:val="20"/>
              </w:rPr>
            </w:pPr>
            <w:r w:rsidRPr="003210F5">
              <w:rPr>
                <w:rFonts w:asciiTheme="majorHAnsi" w:hAnsiTheme="majorHAnsi" w:cstheme="majorHAnsi"/>
                <w:sz w:val="20"/>
                <w:szCs w:val="20"/>
              </w:rPr>
              <w:t>15/04/2013 – 03/11/2013</w:t>
            </w:r>
          </w:p>
          <w:p w:rsidRPr="003210F5" w:rsidR="003A74F0" w:rsidP="003210F5" w:rsidRDefault="003A74F0" w14:paraId="7820A9F8" w14:textId="77777777">
            <w:pPr>
              <w:rPr>
                <w:rFonts w:asciiTheme="majorHAnsi" w:hAnsiTheme="majorHAnsi" w:cstheme="majorHAnsi"/>
                <w:sz w:val="20"/>
                <w:szCs w:val="20"/>
              </w:rPr>
            </w:pPr>
          </w:p>
        </w:tc>
        <w:tc>
          <w:tcPr>
            <w:tcW w:w="844" w:type="pct"/>
          </w:tcPr>
          <w:p w:rsidRPr="003210F5" w:rsidR="003A74F0" w:rsidP="003210F5" w:rsidRDefault="003A74F0" w14:paraId="182577D9" w14:textId="77777777">
            <w:pPr>
              <w:rPr>
                <w:rFonts w:asciiTheme="majorHAnsi" w:hAnsiTheme="majorHAnsi" w:cstheme="majorHAnsi"/>
                <w:sz w:val="20"/>
                <w:szCs w:val="20"/>
              </w:rPr>
            </w:pPr>
            <w:r w:rsidRPr="003210F5">
              <w:rPr>
                <w:rFonts w:asciiTheme="majorHAnsi" w:hAnsiTheme="majorHAnsi" w:cstheme="majorHAnsi"/>
                <w:sz w:val="20"/>
                <w:szCs w:val="20"/>
              </w:rPr>
              <w:t>04/11/2013 – 21/02/2014</w:t>
            </w:r>
          </w:p>
          <w:p w:rsidRPr="003210F5" w:rsidR="003A74F0" w:rsidP="003210F5" w:rsidRDefault="003A74F0" w14:paraId="707370E8" w14:textId="77777777">
            <w:pPr>
              <w:rPr>
                <w:rFonts w:asciiTheme="majorHAnsi" w:hAnsiTheme="majorHAnsi" w:cstheme="majorHAnsi"/>
                <w:sz w:val="20"/>
                <w:szCs w:val="20"/>
              </w:rPr>
            </w:pPr>
          </w:p>
        </w:tc>
      </w:tr>
      <w:tr w:rsidRPr="003210F5" w:rsidR="003A74F0" w:rsidTr="00FB534C" w14:paraId="444514A0" w14:textId="77777777">
        <w:tc>
          <w:tcPr>
            <w:tcW w:w="675" w:type="pct"/>
          </w:tcPr>
          <w:p w:rsidRPr="003210F5" w:rsidR="003A74F0" w:rsidP="003210F5" w:rsidRDefault="003A74F0" w14:paraId="26BF2C8D" w14:textId="77777777">
            <w:pPr>
              <w:rPr>
                <w:rFonts w:asciiTheme="majorHAnsi" w:hAnsiTheme="majorHAnsi" w:cstheme="majorHAnsi"/>
                <w:sz w:val="20"/>
                <w:szCs w:val="20"/>
              </w:rPr>
            </w:pPr>
            <w:r w:rsidRPr="003210F5">
              <w:rPr>
                <w:rFonts w:asciiTheme="majorHAnsi" w:hAnsiTheme="majorHAnsi" w:cstheme="majorHAnsi"/>
                <w:sz w:val="20"/>
                <w:szCs w:val="20"/>
              </w:rPr>
              <w:t>17</w:t>
            </w:r>
          </w:p>
        </w:tc>
        <w:tc>
          <w:tcPr>
            <w:tcW w:w="1017" w:type="pct"/>
          </w:tcPr>
          <w:p w:rsidRPr="003210F5" w:rsidR="003A74F0" w:rsidP="003210F5" w:rsidRDefault="003A74F0" w14:paraId="0F1CED66" w14:textId="77777777">
            <w:pPr>
              <w:rPr>
                <w:rFonts w:asciiTheme="majorHAnsi" w:hAnsiTheme="majorHAnsi" w:cstheme="majorHAnsi"/>
                <w:sz w:val="20"/>
                <w:szCs w:val="20"/>
              </w:rPr>
            </w:pPr>
            <w:r w:rsidRPr="003210F5">
              <w:rPr>
                <w:rFonts w:asciiTheme="majorHAnsi" w:hAnsiTheme="majorHAnsi" w:cstheme="majorHAnsi"/>
                <w:sz w:val="20"/>
                <w:szCs w:val="20"/>
              </w:rPr>
              <w:t>21/11/2012 – 24/11/2012</w:t>
            </w:r>
          </w:p>
          <w:p w:rsidRPr="003210F5" w:rsidR="003A74F0" w:rsidP="003210F5" w:rsidRDefault="003A74F0" w14:paraId="63CC232A" w14:textId="77777777">
            <w:pPr>
              <w:jc w:val="both"/>
              <w:rPr>
                <w:rFonts w:asciiTheme="majorHAnsi" w:hAnsiTheme="majorHAnsi" w:cstheme="majorHAnsi"/>
                <w:sz w:val="20"/>
                <w:szCs w:val="20"/>
              </w:rPr>
            </w:pPr>
          </w:p>
        </w:tc>
        <w:tc>
          <w:tcPr>
            <w:tcW w:w="1441" w:type="pct"/>
          </w:tcPr>
          <w:p w:rsidRPr="003210F5" w:rsidR="003A74F0" w:rsidP="003210F5" w:rsidRDefault="003A74F0" w14:paraId="296DFC8B" w14:textId="77777777">
            <w:pPr>
              <w:rPr>
                <w:rFonts w:asciiTheme="majorHAnsi" w:hAnsiTheme="majorHAnsi" w:cstheme="majorHAnsi"/>
                <w:sz w:val="20"/>
                <w:szCs w:val="20"/>
              </w:rPr>
            </w:pPr>
            <w:r w:rsidRPr="003210F5">
              <w:rPr>
                <w:rFonts w:asciiTheme="majorHAnsi" w:hAnsiTheme="majorHAnsi" w:cstheme="majorHAnsi"/>
                <w:sz w:val="20"/>
                <w:szCs w:val="20"/>
              </w:rPr>
              <w:t>25/11/2012 – 26/09/2013</w:t>
            </w:r>
          </w:p>
          <w:p w:rsidRPr="003210F5" w:rsidR="003A74F0" w:rsidP="003210F5" w:rsidRDefault="003A74F0" w14:paraId="7B7E24C1" w14:textId="77777777">
            <w:pPr>
              <w:rPr>
                <w:rFonts w:asciiTheme="majorHAnsi" w:hAnsiTheme="majorHAnsi" w:cstheme="majorHAnsi"/>
                <w:sz w:val="20"/>
                <w:szCs w:val="20"/>
              </w:rPr>
            </w:pPr>
            <w:r w:rsidRPr="003210F5">
              <w:rPr>
                <w:rFonts w:asciiTheme="majorHAnsi" w:hAnsiTheme="majorHAnsi" w:cstheme="majorHAnsi"/>
                <w:sz w:val="20"/>
                <w:szCs w:val="20"/>
              </w:rPr>
              <w:t xml:space="preserve">immeuble C, chambrée 12 </w:t>
            </w:r>
          </w:p>
        </w:tc>
        <w:tc>
          <w:tcPr>
            <w:tcW w:w="1022" w:type="pct"/>
          </w:tcPr>
          <w:p w:rsidRPr="003210F5" w:rsidR="003A74F0" w:rsidP="003210F5" w:rsidRDefault="003A74F0" w14:paraId="3154EC29" w14:textId="77777777">
            <w:pPr>
              <w:rPr>
                <w:rFonts w:asciiTheme="majorHAnsi" w:hAnsiTheme="majorHAnsi" w:cstheme="majorHAnsi"/>
                <w:sz w:val="20"/>
                <w:szCs w:val="20"/>
              </w:rPr>
            </w:pPr>
          </w:p>
        </w:tc>
        <w:tc>
          <w:tcPr>
            <w:tcW w:w="844" w:type="pct"/>
          </w:tcPr>
          <w:p w:rsidRPr="003210F5" w:rsidR="003A74F0" w:rsidP="003210F5" w:rsidRDefault="003A74F0" w14:paraId="21F4B80A" w14:textId="77777777">
            <w:pPr>
              <w:rPr>
                <w:rFonts w:asciiTheme="majorHAnsi" w:hAnsiTheme="majorHAnsi" w:cstheme="majorHAnsi"/>
                <w:sz w:val="20"/>
                <w:szCs w:val="20"/>
              </w:rPr>
            </w:pPr>
          </w:p>
        </w:tc>
      </w:tr>
      <w:tr w:rsidRPr="003210F5" w:rsidR="003A74F0" w:rsidTr="00FB534C" w14:paraId="01622048" w14:textId="77777777">
        <w:tc>
          <w:tcPr>
            <w:tcW w:w="675" w:type="pct"/>
          </w:tcPr>
          <w:p w:rsidRPr="003210F5" w:rsidR="003A74F0" w:rsidP="003210F5" w:rsidRDefault="003A74F0" w14:paraId="2935126C" w14:textId="77777777">
            <w:pPr>
              <w:rPr>
                <w:rFonts w:asciiTheme="majorHAnsi" w:hAnsiTheme="majorHAnsi" w:cstheme="majorHAnsi"/>
                <w:sz w:val="20"/>
                <w:szCs w:val="20"/>
              </w:rPr>
            </w:pPr>
            <w:r w:rsidRPr="003210F5">
              <w:rPr>
                <w:rFonts w:asciiTheme="majorHAnsi" w:hAnsiTheme="majorHAnsi" w:cstheme="majorHAnsi"/>
                <w:sz w:val="20"/>
                <w:szCs w:val="20"/>
              </w:rPr>
              <w:t>18</w:t>
            </w:r>
          </w:p>
        </w:tc>
        <w:tc>
          <w:tcPr>
            <w:tcW w:w="1017" w:type="pct"/>
          </w:tcPr>
          <w:p w:rsidRPr="003210F5" w:rsidR="003A74F0" w:rsidP="003210F5" w:rsidRDefault="003A74F0" w14:paraId="741079F8" w14:textId="77777777">
            <w:pPr>
              <w:rPr>
                <w:rFonts w:asciiTheme="majorHAnsi" w:hAnsiTheme="majorHAnsi" w:cstheme="majorHAnsi"/>
                <w:sz w:val="20"/>
                <w:szCs w:val="20"/>
              </w:rPr>
            </w:pPr>
            <w:r w:rsidRPr="003210F5">
              <w:rPr>
                <w:rFonts w:asciiTheme="majorHAnsi" w:hAnsiTheme="majorHAnsi" w:cstheme="majorHAnsi"/>
                <w:sz w:val="20"/>
                <w:szCs w:val="20"/>
              </w:rPr>
              <w:t>16/07/2012 – 20/07/2012</w:t>
            </w:r>
          </w:p>
          <w:p w:rsidRPr="003210F5" w:rsidR="003A74F0" w:rsidP="003210F5" w:rsidRDefault="003A74F0" w14:paraId="37241CE6" w14:textId="77777777">
            <w:pPr>
              <w:rPr>
                <w:rFonts w:asciiTheme="majorHAnsi" w:hAnsiTheme="majorHAnsi" w:cstheme="majorHAnsi"/>
                <w:sz w:val="20"/>
                <w:szCs w:val="20"/>
              </w:rPr>
            </w:pPr>
          </w:p>
        </w:tc>
        <w:tc>
          <w:tcPr>
            <w:tcW w:w="1441" w:type="pct"/>
          </w:tcPr>
          <w:p w:rsidRPr="003210F5" w:rsidR="003A74F0" w:rsidP="003210F5" w:rsidRDefault="003A74F0" w14:paraId="7F757C7E" w14:textId="77777777">
            <w:pPr>
              <w:rPr>
                <w:rFonts w:asciiTheme="majorHAnsi" w:hAnsiTheme="majorHAnsi" w:cstheme="majorHAnsi"/>
                <w:sz w:val="20"/>
                <w:szCs w:val="20"/>
              </w:rPr>
            </w:pPr>
            <w:r w:rsidRPr="003210F5">
              <w:rPr>
                <w:rFonts w:asciiTheme="majorHAnsi" w:hAnsiTheme="majorHAnsi" w:cstheme="majorHAnsi"/>
                <w:sz w:val="20"/>
                <w:szCs w:val="20"/>
              </w:rPr>
              <w:t>21/07/2012 – 19/03/2013</w:t>
            </w:r>
          </w:p>
          <w:p w:rsidRPr="003210F5" w:rsidR="003A74F0" w:rsidP="003210F5" w:rsidRDefault="003A74F0" w14:paraId="5935DEEA"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6</w:t>
            </w:r>
          </w:p>
          <w:p w:rsidRPr="003210F5" w:rsidR="003A74F0" w:rsidP="003210F5" w:rsidRDefault="003A74F0" w14:paraId="02B59BA4" w14:textId="77777777">
            <w:pPr>
              <w:rPr>
                <w:rFonts w:asciiTheme="majorHAnsi" w:hAnsiTheme="majorHAnsi" w:cstheme="majorHAnsi"/>
                <w:sz w:val="20"/>
                <w:szCs w:val="20"/>
              </w:rPr>
            </w:pPr>
          </w:p>
        </w:tc>
        <w:tc>
          <w:tcPr>
            <w:tcW w:w="1022" w:type="pct"/>
          </w:tcPr>
          <w:p w:rsidRPr="003210F5" w:rsidR="003A74F0" w:rsidP="003210F5" w:rsidRDefault="003A74F0" w14:paraId="0C2093E2" w14:textId="77777777">
            <w:pPr>
              <w:rPr>
                <w:rFonts w:asciiTheme="majorHAnsi" w:hAnsiTheme="majorHAnsi" w:cstheme="majorHAnsi"/>
                <w:sz w:val="20"/>
                <w:szCs w:val="20"/>
              </w:rPr>
            </w:pPr>
            <w:r w:rsidRPr="003210F5">
              <w:rPr>
                <w:rFonts w:asciiTheme="majorHAnsi" w:hAnsiTheme="majorHAnsi" w:cstheme="majorHAnsi"/>
                <w:sz w:val="20"/>
                <w:szCs w:val="20"/>
              </w:rPr>
              <w:t xml:space="preserve"> </w:t>
            </w:r>
          </w:p>
        </w:tc>
        <w:tc>
          <w:tcPr>
            <w:tcW w:w="844" w:type="pct"/>
          </w:tcPr>
          <w:p w:rsidRPr="003210F5" w:rsidR="003A74F0" w:rsidP="003210F5" w:rsidRDefault="003A74F0" w14:paraId="58D60C82" w14:textId="77777777">
            <w:pPr>
              <w:rPr>
                <w:rFonts w:asciiTheme="majorHAnsi" w:hAnsiTheme="majorHAnsi" w:cstheme="majorHAnsi"/>
                <w:sz w:val="20"/>
                <w:szCs w:val="20"/>
              </w:rPr>
            </w:pPr>
            <w:r w:rsidRPr="003210F5">
              <w:rPr>
                <w:rFonts w:asciiTheme="majorHAnsi" w:hAnsiTheme="majorHAnsi" w:cstheme="majorHAnsi"/>
                <w:sz w:val="20"/>
                <w:szCs w:val="20"/>
              </w:rPr>
              <w:t>20/03/2013 – 28/03/2013</w:t>
            </w:r>
          </w:p>
          <w:p w:rsidRPr="003210F5" w:rsidR="003A74F0" w:rsidP="003210F5" w:rsidRDefault="003A74F0" w14:paraId="26AACC08" w14:textId="77777777">
            <w:pPr>
              <w:rPr>
                <w:rFonts w:asciiTheme="majorHAnsi" w:hAnsiTheme="majorHAnsi" w:cstheme="majorHAnsi"/>
                <w:sz w:val="20"/>
                <w:szCs w:val="20"/>
              </w:rPr>
            </w:pPr>
          </w:p>
        </w:tc>
      </w:tr>
      <w:tr w:rsidRPr="003210F5" w:rsidR="003A74F0" w:rsidTr="00FB534C" w14:paraId="23069B49" w14:textId="77777777">
        <w:tc>
          <w:tcPr>
            <w:tcW w:w="675" w:type="pct"/>
          </w:tcPr>
          <w:p w:rsidRPr="003210F5" w:rsidR="003A74F0" w:rsidP="003210F5" w:rsidRDefault="003A74F0" w14:paraId="2C7D27AD" w14:textId="77777777">
            <w:pPr>
              <w:rPr>
                <w:rFonts w:asciiTheme="majorHAnsi" w:hAnsiTheme="majorHAnsi" w:cstheme="majorHAnsi"/>
                <w:sz w:val="20"/>
                <w:szCs w:val="20"/>
              </w:rPr>
            </w:pPr>
            <w:r w:rsidRPr="003210F5">
              <w:rPr>
                <w:rFonts w:asciiTheme="majorHAnsi" w:hAnsiTheme="majorHAnsi" w:cstheme="majorHAnsi"/>
                <w:sz w:val="20"/>
                <w:szCs w:val="20"/>
              </w:rPr>
              <w:t>19</w:t>
            </w:r>
          </w:p>
        </w:tc>
        <w:tc>
          <w:tcPr>
            <w:tcW w:w="1017" w:type="pct"/>
          </w:tcPr>
          <w:p w:rsidRPr="003210F5" w:rsidR="003A74F0" w:rsidP="003210F5" w:rsidRDefault="003A74F0" w14:paraId="5867D032" w14:textId="77777777">
            <w:pPr>
              <w:rPr>
                <w:rFonts w:asciiTheme="majorHAnsi" w:hAnsiTheme="majorHAnsi" w:cstheme="majorHAnsi"/>
                <w:sz w:val="20"/>
                <w:szCs w:val="20"/>
              </w:rPr>
            </w:pPr>
            <w:r w:rsidRPr="003210F5">
              <w:rPr>
                <w:rFonts w:asciiTheme="majorHAnsi" w:hAnsiTheme="majorHAnsi" w:cstheme="majorHAnsi"/>
                <w:sz w:val="20"/>
                <w:szCs w:val="20"/>
              </w:rPr>
              <w:t>21/12/2012 – 02/01/2013</w:t>
            </w:r>
          </w:p>
          <w:p w:rsidRPr="003210F5" w:rsidR="003A74F0" w:rsidP="003210F5" w:rsidRDefault="003A74F0" w14:paraId="21AAE3EC" w14:textId="77777777">
            <w:pPr>
              <w:rPr>
                <w:rFonts w:asciiTheme="majorHAnsi" w:hAnsiTheme="majorHAnsi" w:cstheme="majorHAnsi"/>
                <w:sz w:val="20"/>
                <w:szCs w:val="20"/>
              </w:rPr>
            </w:pPr>
          </w:p>
          <w:p w:rsidRPr="003210F5" w:rsidR="003A74F0" w:rsidP="003210F5" w:rsidRDefault="003A74F0" w14:paraId="33F6971F" w14:textId="77777777">
            <w:pPr>
              <w:rPr>
                <w:rFonts w:asciiTheme="majorHAnsi" w:hAnsiTheme="majorHAnsi" w:cstheme="majorHAnsi"/>
                <w:sz w:val="20"/>
                <w:szCs w:val="20"/>
              </w:rPr>
            </w:pPr>
          </w:p>
          <w:p w:rsidRPr="003210F5" w:rsidR="003A74F0" w:rsidP="003210F5" w:rsidRDefault="003A74F0" w14:paraId="1610578E" w14:textId="77777777">
            <w:pPr>
              <w:rPr>
                <w:rFonts w:asciiTheme="majorHAnsi" w:hAnsiTheme="majorHAnsi" w:cstheme="majorHAnsi"/>
                <w:sz w:val="20"/>
                <w:szCs w:val="20"/>
              </w:rPr>
            </w:pPr>
            <w:r w:rsidRPr="003210F5">
              <w:rPr>
                <w:rFonts w:asciiTheme="majorHAnsi" w:hAnsiTheme="majorHAnsi" w:cstheme="majorHAnsi"/>
                <w:sz w:val="20"/>
                <w:szCs w:val="20"/>
              </w:rPr>
              <w:t>24/10/2013 –</w:t>
            </w:r>
          </w:p>
          <w:p w:rsidRPr="003210F5" w:rsidR="003A74F0" w:rsidP="003210F5" w:rsidRDefault="003A74F0" w14:paraId="0BFBAD85" w14:textId="77777777">
            <w:pPr>
              <w:rPr>
                <w:rFonts w:asciiTheme="majorHAnsi" w:hAnsiTheme="majorHAnsi" w:cstheme="majorHAnsi"/>
                <w:sz w:val="20"/>
                <w:szCs w:val="20"/>
              </w:rPr>
            </w:pPr>
            <w:r w:rsidRPr="003210F5">
              <w:rPr>
                <w:rFonts w:asciiTheme="majorHAnsi" w:hAnsiTheme="majorHAnsi" w:cstheme="majorHAnsi"/>
                <w:sz w:val="20"/>
                <w:szCs w:val="20"/>
              </w:rPr>
              <w:t>24/02/2014</w:t>
            </w:r>
          </w:p>
          <w:p w:rsidRPr="003210F5" w:rsidR="003A74F0" w:rsidP="003210F5" w:rsidRDefault="003A74F0" w14:paraId="513C6D01" w14:textId="77777777">
            <w:pPr>
              <w:rPr>
                <w:rFonts w:asciiTheme="majorHAnsi" w:hAnsiTheme="majorHAnsi" w:cstheme="majorHAnsi"/>
                <w:sz w:val="20"/>
                <w:szCs w:val="20"/>
              </w:rPr>
            </w:pPr>
          </w:p>
        </w:tc>
        <w:tc>
          <w:tcPr>
            <w:tcW w:w="1441" w:type="pct"/>
          </w:tcPr>
          <w:p w:rsidRPr="003210F5" w:rsidR="003A74F0" w:rsidP="003210F5" w:rsidRDefault="003A74F0" w14:paraId="162EA737" w14:textId="77777777">
            <w:pPr>
              <w:rPr>
                <w:rFonts w:asciiTheme="majorHAnsi" w:hAnsiTheme="majorHAnsi" w:cstheme="majorHAnsi"/>
                <w:sz w:val="20"/>
                <w:szCs w:val="20"/>
              </w:rPr>
            </w:pPr>
            <w:r w:rsidRPr="003210F5">
              <w:rPr>
                <w:rFonts w:asciiTheme="majorHAnsi" w:hAnsiTheme="majorHAnsi" w:cstheme="majorHAnsi"/>
                <w:sz w:val="20"/>
                <w:szCs w:val="20"/>
              </w:rPr>
              <w:t>03/01/2013 – 03/03/2013</w:t>
            </w:r>
          </w:p>
          <w:p w:rsidRPr="003210F5" w:rsidR="003A74F0" w:rsidP="003210F5" w:rsidRDefault="003A74F0" w14:paraId="16D1B962"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10</w:t>
            </w:r>
          </w:p>
        </w:tc>
        <w:tc>
          <w:tcPr>
            <w:tcW w:w="1022" w:type="pct"/>
          </w:tcPr>
          <w:p w:rsidRPr="003210F5" w:rsidR="003A74F0" w:rsidP="003210F5" w:rsidRDefault="003A74F0" w14:paraId="06C19443" w14:textId="77777777">
            <w:pPr>
              <w:rPr>
                <w:rFonts w:asciiTheme="majorHAnsi" w:hAnsiTheme="majorHAnsi" w:cstheme="majorHAnsi"/>
                <w:sz w:val="20"/>
                <w:szCs w:val="20"/>
              </w:rPr>
            </w:pPr>
            <w:r w:rsidRPr="003210F5">
              <w:rPr>
                <w:rFonts w:asciiTheme="majorHAnsi" w:hAnsiTheme="majorHAnsi" w:cstheme="majorHAnsi"/>
                <w:sz w:val="20"/>
                <w:szCs w:val="20"/>
              </w:rPr>
              <w:t>04/03/2013 – 23/10/2013</w:t>
            </w:r>
          </w:p>
          <w:p w:rsidRPr="003210F5" w:rsidR="003A74F0" w:rsidP="003210F5" w:rsidRDefault="003A74F0" w14:paraId="4B616F88" w14:textId="77777777">
            <w:pPr>
              <w:rPr>
                <w:rFonts w:asciiTheme="majorHAnsi" w:hAnsiTheme="majorHAnsi" w:cstheme="majorHAnsi"/>
                <w:sz w:val="20"/>
                <w:szCs w:val="20"/>
              </w:rPr>
            </w:pPr>
          </w:p>
          <w:p w:rsidRPr="003210F5" w:rsidR="003A74F0" w:rsidP="003210F5" w:rsidRDefault="003A74F0" w14:paraId="7400A026" w14:textId="77777777">
            <w:pPr>
              <w:rPr>
                <w:rFonts w:asciiTheme="majorHAnsi" w:hAnsiTheme="majorHAnsi" w:cstheme="majorHAnsi"/>
                <w:sz w:val="20"/>
                <w:szCs w:val="20"/>
              </w:rPr>
            </w:pPr>
          </w:p>
        </w:tc>
        <w:tc>
          <w:tcPr>
            <w:tcW w:w="844" w:type="pct"/>
          </w:tcPr>
          <w:p w:rsidRPr="003210F5" w:rsidR="003A74F0" w:rsidP="003210F5" w:rsidRDefault="003A74F0" w14:paraId="570CD9A6" w14:textId="77777777">
            <w:pPr>
              <w:rPr>
                <w:rFonts w:asciiTheme="majorHAnsi" w:hAnsiTheme="majorHAnsi" w:cstheme="majorHAnsi"/>
                <w:sz w:val="20"/>
                <w:szCs w:val="20"/>
              </w:rPr>
            </w:pPr>
          </w:p>
        </w:tc>
      </w:tr>
      <w:tr w:rsidRPr="003210F5" w:rsidR="003A74F0" w:rsidTr="00FB534C" w14:paraId="266CD6C6" w14:textId="77777777">
        <w:tc>
          <w:tcPr>
            <w:tcW w:w="675" w:type="pct"/>
          </w:tcPr>
          <w:p w:rsidRPr="003210F5" w:rsidR="003A74F0" w:rsidP="003210F5" w:rsidRDefault="003A74F0" w14:paraId="4F7FFB29" w14:textId="77777777">
            <w:pPr>
              <w:rPr>
                <w:rFonts w:asciiTheme="majorHAnsi" w:hAnsiTheme="majorHAnsi" w:cstheme="majorHAnsi"/>
                <w:sz w:val="20"/>
                <w:szCs w:val="20"/>
              </w:rPr>
            </w:pPr>
            <w:r w:rsidRPr="003210F5">
              <w:rPr>
                <w:rFonts w:asciiTheme="majorHAnsi" w:hAnsiTheme="majorHAnsi" w:cstheme="majorHAnsi"/>
                <w:sz w:val="20"/>
                <w:szCs w:val="20"/>
              </w:rPr>
              <w:t>20</w:t>
            </w:r>
          </w:p>
        </w:tc>
        <w:tc>
          <w:tcPr>
            <w:tcW w:w="1017" w:type="pct"/>
          </w:tcPr>
          <w:p w:rsidRPr="003210F5" w:rsidR="003A74F0" w:rsidP="003210F5" w:rsidRDefault="003A74F0" w14:paraId="7BD34435" w14:textId="77777777">
            <w:pPr>
              <w:rPr>
                <w:rFonts w:asciiTheme="majorHAnsi" w:hAnsiTheme="majorHAnsi" w:cstheme="majorHAnsi"/>
                <w:sz w:val="20"/>
                <w:szCs w:val="20"/>
              </w:rPr>
            </w:pPr>
            <w:r w:rsidRPr="003210F5">
              <w:rPr>
                <w:rFonts w:asciiTheme="majorHAnsi" w:hAnsiTheme="majorHAnsi" w:cstheme="majorHAnsi"/>
                <w:sz w:val="20"/>
                <w:szCs w:val="20"/>
              </w:rPr>
              <w:t>18/12/2012 – 20/12/2012</w:t>
            </w:r>
          </w:p>
          <w:p w:rsidRPr="003210F5" w:rsidR="003A74F0" w:rsidP="003210F5" w:rsidRDefault="003A74F0" w14:paraId="72ECB02B" w14:textId="77777777">
            <w:pPr>
              <w:rPr>
                <w:rFonts w:asciiTheme="majorHAnsi" w:hAnsiTheme="majorHAnsi" w:cstheme="majorHAnsi"/>
                <w:sz w:val="20"/>
                <w:szCs w:val="20"/>
              </w:rPr>
            </w:pPr>
          </w:p>
        </w:tc>
        <w:tc>
          <w:tcPr>
            <w:tcW w:w="1441" w:type="pct"/>
          </w:tcPr>
          <w:p w:rsidRPr="003210F5" w:rsidR="003A74F0" w:rsidP="003210F5" w:rsidRDefault="003A74F0" w14:paraId="7D2F58D4" w14:textId="77777777">
            <w:pPr>
              <w:rPr>
                <w:rFonts w:asciiTheme="majorHAnsi" w:hAnsiTheme="majorHAnsi" w:cstheme="majorHAnsi"/>
                <w:sz w:val="20"/>
                <w:szCs w:val="20"/>
              </w:rPr>
            </w:pPr>
            <w:r w:rsidRPr="003210F5">
              <w:rPr>
                <w:rFonts w:asciiTheme="majorHAnsi" w:hAnsiTheme="majorHAnsi" w:cstheme="majorHAnsi"/>
                <w:sz w:val="20"/>
                <w:szCs w:val="20"/>
              </w:rPr>
              <w:t>21/12/2012 – 04/06/2013</w:t>
            </w:r>
          </w:p>
          <w:p w:rsidRPr="003210F5" w:rsidR="003A74F0" w:rsidP="003210F5" w:rsidRDefault="003A74F0" w14:paraId="1C6FBCEC"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6</w:t>
            </w:r>
          </w:p>
        </w:tc>
        <w:tc>
          <w:tcPr>
            <w:tcW w:w="1022" w:type="pct"/>
          </w:tcPr>
          <w:p w:rsidRPr="003210F5" w:rsidR="003A74F0" w:rsidP="003210F5" w:rsidRDefault="003A74F0" w14:paraId="05AF5F9D" w14:textId="77777777">
            <w:pPr>
              <w:rPr>
                <w:rFonts w:asciiTheme="majorHAnsi" w:hAnsiTheme="majorHAnsi" w:cstheme="majorHAnsi"/>
                <w:sz w:val="20"/>
                <w:szCs w:val="20"/>
              </w:rPr>
            </w:pPr>
            <w:r w:rsidRPr="003210F5">
              <w:rPr>
                <w:rFonts w:asciiTheme="majorHAnsi" w:hAnsiTheme="majorHAnsi" w:cstheme="majorHAnsi"/>
                <w:sz w:val="20"/>
                <w:szCs w:val="20"/>
              </w:rPr>
              <w:t>05/06/2013 – 04/12/2013</w:t>
            </w:r>
          </w:p>
        </w:tc>
        <w:tc>
          <w:tcPr>
            <w:tcW w:w="844" w:type="pct"/>
          </w:tcPr>
          <w:p w:rsidRPr="003210F5" w:rsidR="003A74F0" w:rsidP="003210F5" w:rsidRDefault="003A74F0" w14:paraId="33F3AE27" w14:textId="77777777">
            <w:pPr>
              <w:rPr>
                <w:rFonts w:asciiTheme="majorHAnsi" w:hAnsiTheme="majorHAnsi" w:cstheme="majorHAnsi"/>
                <w:sz w:val="20"/>
                <w:szCs w:val="20"/>
              </w:rPr>
            </w:pPr>
            <w:r w:rsidRPr="003210F5">
              <w:rPr>
                <w:rFonts w:asciiTheme="majorHAnsi" w:hAnsiTheme="majorHAnsi" w:cstheme="majorHAnsi"/>
                <w:sz w:val="20"/>
                <w:szCs w:val="20"/>
              </w:rPr>
              <w:t xml:space="preserve">05/12/2013 – 20/12/2013 </w:t>
            </w:r>
          </w:p>
        </w:tc>
      </w:tr>
      <w:tr w:rsidRPr="003210F5" w:rsidR="003A74F0" w:rsidTr="00FB534C" w14:paraId="6CBFE28D" w14:textId="77777777">
        <w:tc>
          <w:tcPr>
            <w:tcW w:w="675" w:type="pct"/>
          </w:tcPr>
          <w:p w:rsidRPr="003210F5" w:rsidR="003A74F0" w:rsidP="003210F5" w:rsidRDefault="003A74F0" w14:paraId="38784425" w14:textId="77777777">
            <w:pPr>
              <w:rPr>
                <w:rFonts w:asciiTheme="majorHAnsi" w:hAnsiTheme="majorHAnsi" w:cstheme="majorHAnsi"/>
                <w:sz w:val="20"/>
                <w:szCs w:val="20"/>
              </w:rPr>
            </w:pPr>
            <w:r w:rsidRPr="003210F5">
              <w:rPr>
                <w:rFonts w:asciiTheme="majorHAnsi" w:hAnsiTheme="majorHAnsi" w:cstheme="majorHAnsi"/>
                <w:sz w:val="20"/>
                <w:szCs w:val="20"/>
              </w:rPr>
              <w:t>21</w:t>
            </w:r>
          </w:p>
        </w:tc>
        <w:tc>
          <w:tcPr>
            <w:tcW w:w="1017" w:type="pct"/>
          </w:tcPr>
          <w:p w:rsidRPr="003210F5" w:rsidR="003A74F0" w:rsidP="003210F5" w:rsidRDefault="003A74F0" w14:paraId="78DB0D97" w14:textId="77777777">
            <w:pPr>
              <w:rPr>
                <w:rFonts w:asciiTheme="majorHAnsi" w:hAnsiTheme="majorHAnsi" w:cstheme="majorHAnsi"/>
                <w:sz w:val="20"/>
                <w:szCs w:val="20"/>
              </w:rPr>
            </w:pPr>
            <w:r w:rsidRPr="003210F5">
              <w:rPr>
                <w:rFonts w:asciiTheme="majorHAnsi" w:hAnsiTheme="majorHAnsi" w:cstheme="majorHAnsi"/>
                <w:sz w:val="20"/>
                <w:szCs w:val="20"/>
              </w:rPr>
              <w:t>11/06/2012 – 20/06/2012</w:t>
            </w:r>
          </w:p>
          <w:p w:rsidRPr="003210F5" w:rsidR="003A74F0" w:rsidP="003210F5" w:rsidRDefault="003A74F0" w14:paraId="06A54502" w14:textId="77777777">
            <w:pPr>
              <w:rPr>
                <w:rFonts w:asciiTheme="majorHAnsi" w:hAnsiTheme="majorHAnsi" w:cstheme="majorHAnsi"/>
                <w:sz w:val="20"/>
                <w:szCs w:val="20"/>
              </w:rPr>
            </w:pPr>
          </w:p>
        </w:tc>
        <w:tc>
          <w:tcPr>
            <w:tcW w:w="1441" w:type="pct"/>
          </w:tcPr>
          <w:p w:rsidRPr="003210F5" w:rsidR="003A74F0" w:rsidP="003210F5" w:rsidRDefault="003A74F0" w14:paraId="0D55079D" w14:textId="77777777">
            <w:pPr>
              <w:rPr>
                <w:rFonts w:asciiTheme="majorHAnsi" w:hAnsiTheme="majorHAnsi" w:cstheme="majorHAnsi"/>
                <w:sz w:val="20"/>
                <w:szCs w:val="20"/>
              </w:rPr>
            </w:pPr>
            <w:r w:rsidRPr="003210F5">
              <w:rPr>
                <w:rFonts w:asciiTheme="majorHAnsi" w:hAnsiTheme="majorHAnsi" w:cstheme="majorHAnsi"/>
                <w:sz w:val="20"/>
                <w:szCs w:val="20"/>
              </w:rPr>
              <w:t>21/06/2012 – 15/08/2012</w:t>
            </w:r>
          </w:p>
          <w:p w:rsidRPr="003210F5" w:rsidR="003A74F0" w:rsidP="003210F5" w:rsidRDefault="003A74F0" w14:paraId="1211DA1F" w14:textId="77777777">
            <w:pPr>
              <w:rPr>
                <w:rFonts w:asciiTheme="majorHAnsi" w:hAnsiTheme="majorHAnsi" w:cstheme="majorHAnsi"/>
                <w:sz w:val="20"/>
                <w:szCs w:val="20"/>
              </w:rPr>
            </w:pPr>
            <w:r w:rsidRPr="003210F5">
              <w:rPr>
                <w:rFonts w:asciiTheme="majorHAnsi" w:hAnsiTheme="majorHAnsi" w:cstheme="majorHAnsi"/>
                <w:sz w:val="20"/>
                <w:szCs w:val="20"/>
              </w:rPr>
              <w:t xml:space="preserve">immeuble C, chambrée 12 </w:t>
            </w:r>
          </w:p>
        </w:tc>
        <w:tc>
          <w:tcPr>
            <w:tcW w:w="1022" w:type="pct"/>
          </w:tcPr>
          <w:p w:rsidRPr="003210F5" w:rsidR="003A74F0" w:rsidP="003210F5" w:rsidRDefault="003A74F0" w14:paraId="51E980B2" w14:textId="77777777">
            <w:pPr>
              <w:rPr>
                <w:rFonts w:asciiTheme="majorHAnsi" w:hAnsiTheme="majorHAnsi" w:cstheme="majorHAnsi"/>
                <w:sz w:val="20"/>
                <w:szCs w:val="20"/>
              </w:rPr>
            </w:pPr>
            <w:r w:rsidRPr="003210F5">
              <w:rPr>
                <w:rFonts w:asciiTheme="majorHAnsi" w:hAnsiTheme="majorHAnsi" w:cstheme="majorHAnsi"/>
                <w:sz w:val="20"/>
                <w:szCs w:val="20"/>
              </w:rPr>
              <w:t>16/08/2012 – 23/04/2013</w:t>
            </w:r>
          </w:p>
          <w:p w:rsidRPr="003210F5" w:rsidR="003A74F0" w:rsidP="003210F5" w:rsidRDefault="003A74F0" w14:paraId="05FB17AA" w14:textId="77777777">
            <w:pPr>
              <w:rPr>
                <w:rFonts w:asciiTheme="majorHAnsi" w:hAnsiTheme="majorHAnsi" w:cstheme="majorHAnsi"/>
                <w:sz w:val="20"/>
                <w:szCs w:val="20"/>
              </w:rPr>
            </w:pPr>
          </w:p>
          <w:p w:rsidRPr="003210F5" w:rsidR="003A74F0" w:rsidP="003210F5" w:rsidRDefault="003A74F0" w14:paraId="0CC796EC" w14:textId="77777777">
            <w:pPr>
              <w:rPr>
                <w:rFonts w:asciiTheme="majorHAnsi" w:hAnsiTheme="majorHAnsi" w:cstheme="majorHAnsi"/>
                <w:sz w:val="20"/>
                <w:szCs w:val="20"/>
              </w:rPr>
            </w:pPr>
          </w:p>
        </w:tc>
        <w:tc>
          <w:tcPr>
            <w:tcW w:w="844" w:type="pct"/>
          </w:tcPr>
          <w:p w:rsidRPr="003210F5" w:rsidR="003A74F0" w:rsidP="003210F5" w:rsidRDefault="003A74F0" w14:paraId="5FF59E1F" w14:textId="77777777">
            <w:pPr>
              <w:rPr>
                <w:rFonts w:asciiTheme="majorHAnsi" w:hAnsiTheme="majorHAnsi" w:cstheme="majorHAnsi"/>
                <w:sz w:val="20"/>
                <w:szCs w:val="20"/>
              </w:rPr>
            </w:pPr>
          </w:p>
        </w:tc>
      </w:tr>
      <w:tr w:rsidRPr="003210F5" w:rsidR="003A74F0" w:rsidTr="00FB534C" w14:paraId="4F0794DA" w14:textId="77777777">
        <w:tc>
          <w:tcPr>
            <w:tcW w:w="675" w:type="pct"/>
          </w:tcPr>
          <w:p w:rsidRPr="003210F5" w:rsidR="003A74F0" w:rsidP="003210F5" w:rsidRDefault="003A74F0" w14:paraId="18632C84" w14:textId="77777777">
            <w:pPr>
              <w:rPr>
                <w:rFonts w:asciiTheme="majorHAnsi" w:hAnsiTheme="majorHAnsi" w:cstheme="majorHAnsi"/>
                <w:sz w:val="20"/>
                <w:szCs w:val="20"/>
              </w:rPr>
            </w:pPr>
            <w:r w:rsidRPr="003210F5">
              <w:rPr>
                <w:rFonts w:asciiTheme="majorHAnsi" w:hAnsiTheme="majorHAnsi" w:cstheme="majorHAnsi"/>
                <w:sz w:val="20"/>
                <w:szCs w:val="20"/>
              </w:rPr>
              <w:t>22</w:t>
            </w:r>
          </w:p>
        </w:tc>
        <w:tc>
          <w:tcPr>
            <w:tcW w:w="1017" w:type="pct"/>
          </w:tcPr>
          <w:p w:rsidRPr="003210F5" w:rsidR="003A74F0" w:rsidP="003210F5" w:rsidRDefault="003A74F0" w14:paraId="2FAF9002" w14:textId="77777777">
            <w:pPr>
              <w:rPr>
                <w:rFonts w:asciiTheme="majorHAnsi" w:hAnsiTheme="majorHAnsi" w:cstheme="majorHAnsi"/>
                <w:sz w:val="20"/>
                <w:szCs w:val="20"/>
              </w:rPr>
            </w:pPr>
            <w:r w:rsidRPr="003210F5">
              <w:rPr>
                <w:rFonts w:asciiTheme="majorHAnsi" w:hAnsiTheme="majorHAnsi" w:cstheme="majorHAnsi"/>
                <w:sz w:val="20"/>
                <w:szCs w:val="20"/>
              </w:rPr>
              <w:t>21/11/2012 – 24/11/2012</w:t>
            </w:r>
          </w:p>
        </w:tc>
        <w:tc>
          <w:tcPr>
            <w:tcW w:w="1441" w:type="pct"/>
          </w:tcPr>
          <w:p w:rsidRPr="003210F5" w:rsidR="003A74F0" w:rsidP="003210F5" w:rsidRDefault="003A74F0" w14:paraId="7D345E36" w14:textId="77777777">
            <w:pPr>
              <w:rPr>
                <w:rFonts w:asciiTheme="majorHAnsi" w:hAnsiTheme="majorHAnsi" w:cstheme="majorHAnsi"/>
                <w:sz w:val="20"/>
                <w:szCs w:val="20"/>
              </w:rPr>
            </w:pPr>
            <w:r w:rsidRPr="003210F5">
              <w:rPr>
                <w:rFonts w:asciiTheme="majorHAnsi" w:hAnsiTheme="majorHAnsi" w:cstheme="majorHAnsi"/>
                <w:sz w:val="20"/>
                <w:szCs w:val="20"/>
              </w:rPr>
              <w:t>25/11/2012 – 19/04/2013</w:t>
            </w:r>
          </w:p>
          <w:p w:rsidRPr="003210F5" w:rsidR="003A74F0" w:rsidP="003210F5" w:rsidRDefault="003A74F0" w14:paraId="5D0F3461"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8</w:t>
            </w:r>
          </w:p>
        </w:tc>
        <w:tc>
          <w:tcPr>
            <w:tcW w:w="1022" w:type="pct"/>
          </w:tcPr>
          <w:p w:rsidRPr="003210F5" w:rsidR="003A74F0" w:rsidP="003210F5" w:rsidRDefault="003A74F0" w14:paraId="2B594355" w14:textId="77777777">
            <w:pPr>
              <w:rPr>
                <w:rFonts w:asciiTheme="majorHAnsi" w:hAnsiTheme="majorHAnsi" w:cstheme="majorHAnsi"/>
                <w:sz w:val="20"/>
                <w:szCs w:val="20"/>
              </w:rPr>
            </w:pPr>
          </w:p>
          <w:p w:rsidRPr="003210F5" w:rsidR="003A74F0" w:rsidP="003210F5" w:rsidRDefault="003A74F0" w14:paraId="1A78E268" w14:textId="77777777">
            <w:pPr>
              <w:rPr>
                <w:rFonts w:asciiTheme="majorHAnsi" w:hAnsiTheme="majorHAnsi" w:cstheme="majorHAnsi"/>
                <w:sz w:val="20"/>
                <w:szCs w:val="20"/>
              </w:rPr>
            </w:pPr>
          </w:p>
        </w:tc>
        <w:tc>
          <w:tcPr>
            <w:tcW w:w="844" w:type="pct"/>
          </w:tcPr>
          <w:p w:rsidRPr="003210F5" w:rsidR="003A74F0" w:rsidP="003210F5" w:rsidRDefault="003A74F0" w14:paraId="2A92710C" w14:textId="77777777">
            <w:pPr>
              <w:rPr>
                <w:rFonts w:asciiTheme="majorHAnsi" w:hAnsiTheme="majorHAnsi" w:cstheme="majorHAnsi"/>
                <w:sz w:val="20"/>
                <w:szCs w:val="20"/>
              </w:rPr>
            </w:pPr>
          </w:p>
        </w:tc>
      </w:tr>
      <w:tr w:rsidRPr="003210F5" w:rsidR="003A74F0" w:rsidTr="00FB534C" w14:paraId="0FD8F362" w14:textId="77777777">
        <w:tc>
          <w:tcPr>
            <w:tcW w:w="675" w:type="pct"/>
          </w:tcPr>
          <w:p w:rsidRPr="003210F5" w:rsidR="003A74F0" w:rsidP="003210F5" w:rsidRDefault="003A74F0" w14:paraId="70E65193" w14:textId="77777777">
            <w:pPr>
              <w:rPr>
                <w:rFonts w:asciiTheme="majorHAnsi" w:hAnsiTheme="majorHAnsi" w:cstheme="majorHAnsi"/>
                <w:sz w:val="20"/>
                <w:szCs w:val="20"/>
              </w:rPr>
            </w:pPr>
            <w:r w:rsidRPr="003210F5">
              <w:rPr>
                <w:rFonts w:asciiTheme="majorHAnsi" w:hAnsiTheme="majorHAnsi" w:cstheme="majorHAnsi"/>
                <w:sz w:val="20"/>
                <w:szCs w:val="20"/>
              </w:rPr>
              <w:t>23</w:t>
            </w:r>
          </w:p>
        </w:tc>
        <w:tc>
          <w:tcPr>
            <w:tcW w:w="1017" w:type="pct"/>
          </w:tcPr>
          <w:p w:rsidRPr="003210F5" w:rsidR="003A74F0" w:rsidP="003210F5" w:rsidRDefault="003A74F0" w14:paraId="4ED46133" w14:textId="77777777">
            <w:pPr>
              <w:rPr>
                <w:rFonts w:asciiTheme="majorHAnsi" w:hAnsiTheme="majorHAnsi" w:cstheme="majorHAnsi"/>
                <w:sz w:val="20"/>
                <w:szCs w:val="20"/>
              </w:rPr>
            </w:pPr>
            <w:r w:rsidRPr="003210F5">
              <w:rPr>
                <w:rFonts w:asciiTheme="majorHAnsi" w:hAnsiTheme="majorHAnsi" w:cstheme="majorHAnsi"/>
                <w:sz w:val="20"/>
                <w:szCs w:val="20"/>
              </w:rPr>
              <w:t>21/12/2012 – 02/01/2013</w:t>
            </w:r>
          </w:p>
        </w:tc>
        <w:tc>
          <w:tcPr>
            <w:tcW w:w="1441" w:type="pct"/>
          </w:tcPr>
          <w:p w:rsidRPr="003210F5" w:rsidR="003A74F0" w:rsidP="003210F5" w:rsidRDefault="003A74F0" w14:paraId="44A1B17A" w14:textId="77777777">
            <w:pPr>
              <w:rPr>
                <w:rFonts w:asciiTheme="majorHAnsi" w:hAnsiTheme="majorHAnsi" w:cstheme="majorHAnsi"/>
                <w:sz w:val="20"/>
                <w:szCs w:val="20"/>
              </w:rPr>
            </w:pPr>
            <w:r w:rsidRPr="003210F5">
              <w:rPr>
                <w:rFonts w:asciiTheme="majorHAnsi" w:hAnsiTheme="majorHAnsi" w:cstheme="majorHAnsi"/>
                <w:sz w:val="20"/>
                <w:szCs w:val="20"/>
              </w:rPr>
              <w:t>03/01/2013 – 28/02/2013</w:t>
            </w:r>
          </w:p>
          <w:p w:rsidRPr="003210F5" w:rsidR="003A74F0" w:rsidP="003210F5" w:rsidRDefault="003A74F0" w14:paraId="0A2267E5"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10</w:t>
            </w:r>
          </w:p>
          <w:p w:rsidRPr="003210F5" w:rsidR="003A74F0" w:rsidP="003210F5" w:rsidRDefault="003A74F0" w14:paraId="64F8761C" w14:textId="77777777">
            <w:pPr>
              <w:rPr>
                <w:rFonts w:asciiTheme="majorHAnsi" w:hAnsiTheme="majorHAnsi" w:cstheme="majorHAnsi"/>
                <w:sz w:val="20"/>
                <w:szCs w:val="20"/>
              </w:rPr>
            </w:pPr>
          </w:p>
        </w:tc>
        <w:tc>
          <w:tcPr>
            <w:tcW w:w="1022" w:type="pct"/>
          </w:tcPr>
          <w:p w:rsidRPr="003210F5" w:rsidR="003A74F0" w:rsidP="003210F5" w:rsidRDefault="003A74F0" w14:paraId="2AD7F9AC" w14:textId="77777777">
            <w:pPr>
              <w:rPr>
                <w:rFonts w:asciiTheme="majorHAnsi" w:hAnsiTheme="majorHAnsi" w:cstheme="majorHAnsi"/>
                <w:sz w:val="20"/>
                <w:szCs w:val="20"/>
              </w:rPr>
            </w:pPr>
          </w:p>
        </w:tc>
        <w:tc>
          <w:tcPr>
            <w:tcW w:w="844" w:type="pct"/>
          </w:tcPr>
          <w:p w:rsidRPr="003210F5" w:rsidR="003A74F0" w:rsidP="003210F5" w:rsidRDefault="003A74F0" w14:paraId="3A920BBC" w14:textId="77777777">
            <w:pPr>
              <w:rPr>
                <w:rFonts w:asciiTheme="majorHAnsi" w:hAnsiTheme="majorHAnsi" w:cstheme="majorHAnsi"/>
                <w:sz w:val="20"/>
                <w:szCs w:val="20"/>
              </w:rPr>
            </w:pPr>
          </w:p>
        </w:tc>
      </w:tr>
      <w:tr w:rsidRPr="003210F5" w:rsidR="003A74F0" w:rsidTr="00FB534C" w14:paraId="39CD9500" w14:textId="77777777">
        <w:tc>
          <w:tcPr>
            <w:tcW w:w="675" w:type="pct"/>
          </w:tcPr>
          <w:p w:rsidRPr="003210F5" w:rsidR="003A74F0" w:rsidP="003210F5" w:rsidRDefault="003A74F0" w14:paraId="10FDA00A" w14:textId="77777777">
            <w:pPr>
              <w:rPr>
                <w:rFonts w:asciiTheme="majorHAnsi" w:hAnsiTheme="majorHAnsi" w:cstheme="majorHAnsi"/>
                <w:sz w:val="20"/>
                <w:szCs w:val="20"/>
              </w:rPr>
            </w:pPr>
            <w:r w:rsidRPr="003210F5">
              <w:rPr>
                <w:rFonts w:asciiTheme="majorHAnsi" w:hAnsiTheme="majorHAnsi" w:cstheme="majorHAnsi"/>
                <w:sz w:val="20"/>
                <w:szCs w:val="20"/>
              </w:rPr>
              <w:t>24</w:t>
            </w:r>
          </w:p>
        </w:tc>
        <w:tc>
          <w:tcPr>
            <w:tcW w:w="1017" w:type="pct"/>
          </w:tcPr>
          <w:p w:rsidRPr="003210F5" w:rsidR="003A74F0" w:rsidP="003210F5" w:rsidRDefault="003A74F0" w14:paraId="6CF16444" w14:textId="77777777">
            <w:pPr>
              <w:rPr>
                <w:rFonts w:asciiTheme="majorHAnsi" w:hAnsiTheme="majorHAnsi" w:cstheme="majorHAnsi"/>
                <w:sz w:val="20"/>
                <w:szCs w:val="20"/>
              </w:rPr>
            </w:pPr>
            <w:r w:rsidRPr="003210F5">
              <w:rPr>
                <w:rFonts w:asciiTheme="majorHAnsi" w:hAnsiTheme="majorHAnsi" w:cstheme="majorHAnsi"/>
                <w:sz w:val="20"/>
                <w:szCs w:val="20"/>
              </w:rPr>
              <w:t>03/09/2012 – 05/09/2012</w:t>
            </w:r>
          </w:p>
          <w:p w:rsidRPr="003210F5" w:rsidR="003A74F0" w:rsidP="003210F5" w:rsidRDefault="003A74F0" w14:paraId="03A06D3B" w14:textId="77777777">
            <w:pPr>
              <w:rPr>
                <w:rFonts w:asciiTheme="majorHAnsi" w:hAnsiTheme="majorHAnsi" w:cstheme="majorHAnsi"/>
                <w:sz w:val="20"/>
                <w:szCs w:val="20"/>
              </w:rPr>
            </w:pPr>
          </w:p>
        </w:tc>
        <w:tc>
          <w:tcPr>
            <w:tcW w:w="1441" w:type="pct"/>
          </w:tcPr>
          <w:p w:rsidRPr="003210F5" w:rsidR="003A74F0" w:rsidP="003210F5" w:rsidRDefault="003A74F0" w14:paraId="3C8B32E5" w14:textId="77777777">
            <w:pPr>
              <w:rPr>
                <w:rFonts w:asciiTheme="majorHAnsi" w:hAnsiTheme="majorHAnsi" w:cstheme="majorHAnsi"/>
                <w:sz w:val="20"/>
                <w:szCs w:val="20"/>
              </w:rPr>
            </w:pPr>
            <w:r w:rsidRPr="003210F5">
              <w:rPr>
                <w:rFonts w:asciiTheme="majorHAnsi" w:hAnsiTheme="majorHAnsi" w:cstheme="majorHAnsi"/>
                <w:sz w:val="20"/>
                <w:szCs w:val="20"/>
              </w:rPr>
              <w:t>06/09/2012 – 22/01/2013</w:t>
            </w:r>
          </w:p>
          <w:p w:rsidRPr="003210F5" w:rsidR="003A74F0" w:rsidP="003210F5" w:rsidRDefault="003A74F0" w14:paraId="432C5974"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8</w:t>
            </w:r>
          </w:p>
        </w:tc>
        <w:tc>
          <w:tcPr>
            <w:tcW w:w="1022" w:type="pct"/>
          </w:tcPr>
          <w:p w:rsidRPr="003210F5" w:rsidR="003A74F0" w:rsidP="003210F5" w:rsidRDefault="003A74F0" w14:paraId="17707DF3" w14:textId="77777777">
            <w:pPr>
              <w:rPr>
                <w:rFonts w:asciiTheme="majorHAnsi" w:hAnsiTheme="majorHAnsi" w:cstheme="majorHAnsi"/>
                <w:sz w:val="20"/>
                <w:szCs w:val="20"/>
              </w:rPr>
            </w:pPr>
            <w:r w:rsidRPr="003210F5">
              <w:rPr>
                <w:rFonts w:asciiTheme="majorHAnsi" w:hAnsiTheme="majorHAnsi" w:cstheme="majorHAnsi"/>
                <w:sz w:val="20"/>
                <w:szCs w:val="20"/>
              </w:rPr>
              <w:t xml:space="preserve"> </w:t>
            </w:r>
          </w:p>
        </w:tc>
        <w:tc>
          <w:tcPr>
            <w:tcW w:w="844" w:type="pct"/>
          </w:tcPr>
          <w:p w:rsidRPr="003210F5" w:rsidR="003A74F0" w:rsidP="003210F5" w:rsidRDefault="003A74F0" w14:paraId="519C9FB4" w14:textId="77777777">
            <w:pPr>
              <w:rPr>
                <w:rFonts w:asciiTheme="majorHAnsi" w:hAnsiTheme="majorHAnsi" w:cstheme="majorHAnsi"/>
                <w:sz w:val="20"/>
                <w:szCs w:val="20"/>
              </w:rPr>
            </w:pPr>
            <w:r w:rsidRPr="003210F5">
              <w:rPr>
                <w:rFonts w:asciiTheme="majorHAnsi" w:hAnsiTheme="majorHAnsi" w:cstheme="majorHAnsi"/>
                <w:sz w:val="20"/>
                <w:szCs w:val="20"/>
              </w:rPr>
              <w:t>23/01/2013 – 24/01/2013</w:t>
            </w:r>
          </w:p>
          <w:p w:rsidRPr="003210F5" w:rsidR="003A74F0" w:rsidP="003210F5" w:rsidRDefault="003A74F0" w14:paraId="00A7A0B9" w14:textId="77777777">
            <w:pPr>
              <w:rPr>
                <w:rFonts w:asciiTheme="majorHAnsi" w:hAnsiTheme="majorHAnsi" w:cstheme="majorHAnsi"/>
                <w:sz w:val="20"/>
                <w:szCs w:val="20"/>
              </w:rPr>
            </w:pPr>
          </w:p>
        </w:tc>
      </w:tr>
      <w:tr w:rsidRPr="003210F5" w:rsidR="003A74F0" w:rsidTr="00FB534C" w14:paraId="708961AC" w14:textId="77777777">
        <w:tc>
          <w:tcPr>
            <w:tcW w:w="675" w:type="pct"/>
          </w:tcPr>
          <w:p w:rsidRPr="003210F5" w:rsidR="003A74F0" w:rsidP="003210F5" w:rsidRDefault="003A74F0" w14:paraId="1ED9F8E5" w14:textId="77777777">
            <w:pPr>
              <w:rPr>
                <w:rFonts w:asciiTheme="majorHAnsi" w:hAnsiTheme="majorHAnsi" w:cstheme="majorHAnsi"/>
                <w:sz w:val="20"/>
                <w:szCs w:val="20"/>
              </w:rPr>
            </w:pPr>
            <w:r w:rsidRPr="003210F5">
              <w:rPr>
                <w:rFonts w:asciiTheme="majorHAnsi" w:hAnsiTheme="majorHAnsi" w:cstheme="majorHAnsi"/>
                <w:sz w:val="20"/>
                <w:szCs w:val="20"/>
              </w:rPr>
              <w:t>25</w:t>
            </w:r>
          </w:p>
        </w:tc>
        <w:tc>
          <w:tcPr>
            <w:tcW w:w="1017" w:type="pct"/>
          </w:tcPr>
          <w:p w:rsidRPr="003210F5" w:rsidR="003A74F0" w:rsidP="003210F5" w:rsidRDefault="003A74F0" w14:paraId="2B2E2A9B" w14:textId="77777777">
            <w:pPr>
              <w:rPr>
                <w:rFonts w:asciiTheme="majorHAnsi" w:hAnsiTheme="majorHAnsi" w:cstheme="majorHAnsi"/>
                <w:sz w:val="20"/>
                <w:szCs w:val="20"/>
              </w:rPr>
            </w:pPr>
            <w:r w:rsidRPr="003210F5">
              <w:rPr>
                <w:rFonts w:asciiTheme="majorHAnsi" w:hAnsiTheme="majorHAnsi" w:cstheme="majorHAnsi"/>
                <w:sz w:val="20"/>
                <w:szCs w:val="20"/>
              </w:rPr>
              <w:t>21/12/2012 – 23/12/2012</w:t>
            </w:r>
          </w:p>
          <w:p w:rsidRPr="003210F5" w:rsidR="003A74F0" w:rsidP="003210F5" w:rsidRDefault="003A74F0" w14:paraId="252545BE" w14:textId="77777777">
            <w:pPr>
              <w:rPr>
                <w:rFonts w:asciiTheme="majorHAnsi" w:hAnsiTheme="majorHAnsi" w:cstheme="majorHAnsi"/>
                <w:sz w:val="20"/>
                <w:szCs w:val="20"/>
              </w:rPr>
            </w:pPr>
          </w:p>
        </w:tc>
        <w:tc>
          <w:tcPr>
            <w:tcW w:w="1441" w:type="pct"/>
          </w:tcPr>
          <w:p w:rsidRPr="003210F5" w:rsidR="003A74F0" w:rsidP="003210F5" w:rsidRDefault="003A74F0" w14:paraId="21F13DCD" w14:textId="77777777">
            <w:pPr>
              <w:rPr>
                <w:rFonts w:asciiTheme="majorHAnsi" w:hAnsiTheme="majorHAnsi" w:cstheme="majorHAnsi"/>
                <w:sz w:val="20"/>
                <w:szCs w:val="20"/>
              </w:rPr>
            </w:pPr>
            <w:r w:rsidRPr="003210F5">
              <w:rPr>
                <w:rFonts w:asciiTheme="majorHAnsi" w:hAnsiTheme="majorHAnsi" w:cstheme="majorHAnsi"/>
                <w:sz w:val="20"/>
                <w:szCs w:val="20"/>
              </w:rPr>
              <w:t>24/12/2012 – 18/04/2013</w:t>
            </w:r>
          </w:p>
          <w:p w:rsidRPr="003210F5" w:rsidR="003A74F0" w:rsidP="003210F5" w:rsidRDefault="003A74F0" w14:paraId="3EDCA8A8"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7</w:t>
            </w:r>
          </w:p>
        </w:tc>
        <w:tc>
          <w:tcPr>
            <w:tcW w:w="1022" w:type="pct"/>
          </w:tcPr>
          <w:p w:rsidRPr="003210F5" w:rsidR="003A74F0" w:rsidP="003210F5" w:rsidRDefault="003A74F0" w14:paraId="323EFDF0" w14:textId="77777777">
            <w:pPr>
              <w:rPr>
                <w:rFonts w:asciiTheme="majorHAnsi" w:hAnsiTheme="majorHAnsi" w:cstheme="majorHAnsi"/>
                <w:sz w:val="20"/>
                <w:szCs w:val="20"/>
              </w:rPr>
            </w:pPr>
          </w:p>
        </w:tc>
        <w:tc>
          <w:tcPr>
            <w:tcW w:w="844" w:type="pct"/>
          </w:tcPr>
          <w:p w:rsidRPr="003210F5" w:rsidR="003A74F0" w:rsidP="003210F5" w:rsidRDefault="003A74F0" w14:paraId="35A0AFEA" w14:textId="77777777">
            <w:pPr>
              <w:rPr>
                <w:rFonts w:asciiTheme="majorHAnsi" w:hAnsiTheme="majorHAnsi" w:cstheme="majorHAnsi"/>
                <w:sz w:val="20"/>
                <w:szCs w:val="20"/>
              </w:rPr>
            </w:pPr>
          </w:p>
        </w:tc>
      </w:tr>
      <w:tr w:rsidRPr="003210F5" w:rsidR="003A74F0" w:rsidTr="00FB534C" w14:paraId="796583F3" w14:textId="77777777">
        <w:tc>
          <w:tcPr>
            <w:tcW w:w="675" w:type="pct"/>
          </w:tcPr>
          <w:p w:rsidRPr="003210F5" w:rsidR="003A74F0" w:rsidP="003210F5" w:rsidRDefault="003A74F0" w14:paraId="6174F021" w14:textId="77777777">
            <w:pPr>
              <w:rPr>
                <w:rFonts w:asciiTheme="majorHAnsi" w:hAnsiTheme="majorHAnsi" w:cstheme="majorHAnsi"/>
                <w:sz w:val="20"/>
                <w:szCs w:val="20"/>
              </w:rPr>
            </w:pPr>
            <w:r w:rsidRPr="003210F5">
              <w:rPr>
                <w:rFonts w:asciiTheme="majorHAnsi" w:hAnsiTheme="majorHAnsi" w:cstheme="majorHAnsi"/>
                <w:sz w:val="20"/>
                <w:szCs w:val="20"/>
              </w:rPr>
              <w:t>26</w:t>
            </w:r>
          </w:p>
        </w:tc>
        <w:tc>
          <w:tcPr>
            <w:tcW w:w="1017" w:type="pct"/>
          </w:tcPr>
          <w:p w:rsidRPr="003210F5" w:rsidR="003A74F0" w:rsidP="003210F5" w:rsidRDefault="003A74F0" w14:paraId="5E2D0A83" w14:textId="77777777">
            <w:pPr>
              <w:rPr>
                <w:rFonts w:asciiTheme="majorHAnsi" w:hAnsiTheme="majorHAnsi" w:cstheme="majorHAnsi"/>
                <w:sz w:val="20"/>
                <w:szCs w:val="20"/>
              </w:rPr>
            </w:pPr>
            <w:r w:rsidRPr="003210F5">
              <w:rPr>
                <w:rFonts w:asciiTheme="majorHAnsi" w:hAnsiTheme="majorHAnsi" w:cstheme="majorHAnsi"/>
                <w:sz w:val="20"/>
                <w:szCs w:val="20"/>
              </w:rPr>
              <w:t>17/09/2012 – 19/09/2012</w:t>
            </w:r>
          </w:p>
          <w:p w:rsidRPr="003210F5" w:rsidR="003A74F0" w:rsidP="003210F5" w:rsidRDefault="003A74F0" w14:paraId="00F92C58" w14:textId="77777777">
            <w:pPr>
              <w:rPr>
                <w:rFonts w:asciiTheme="majorHAnsi" w:hAnsiTheme="majorHAnsi" w:cstheme="majorHAnsi"/>
                <w:sz w:val="20"/>
                <w:szCs w:val="20"/>
              </w:rPr>
            </w:pPr>
          </w:p>
        </w:tc>
        <w:tc>
          <w:tcPr>
            <w:tcW w:w="1441" w:type="pct"/>
          </w:tcPr>
          <w:p w:rsidRPr="003210F5" w:rsidR="003A74F0" w:rsidP="003210F5" w:rsidRDefault="003A74F0" w14:paraId="7226DCE5" w14:textId="77777777">
            <w:pPr>
              <w:rPr>
                <w:rFonts w:asciiTheme="majorHAnsi" w:hAnsiTheme="majorHAnsi" w:cstheme="majorHAnsi"/>
                <w:sz w:val="20"/>
                <w:szCs w:val="20"/>
              </w:rPr>
            </w:pPr>
            <w:r w:rsidRPr="003210F5">
              <w:rPr>
                <w:rFonts w:asciiTheme="majorHAnsi" w:hAnsiTheme="majorHAnsi" w:cstheme="majorHAnsi"/>
                <w:sz w:val="20"/>
                <w:szCs w:val="20"/>
              </w:rPr>
              <w:t>20/09/2012 – 14/10/2012</w:t>
            </w:r>
          </w:p>
          <w:p w:rsidRPr="003210F5" w:rsidR="003A74F0" w:rsidP="003210F5" w:rsidRDefault="003A74F0" w14:paraId="57F52E7C"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12</w:t>
            </w:r>
          </w:p>
        </w:tc>
        <w:tc>
          <w:tcPr>
            <w:tcW w:w="1022" w:type="pct"/>
          </w:tcPr>
          <w:p w:rsidRPr="003210F5" w:rsidR="003A74F0" w:rsidP="003210F5" w:rsidRDefault="003A74F0" w14:paraId="740522A3" w14:textId="77777777">
            <w:pPr>
              <w:rPr>
                <w:rFonts w:asciiTheme="majorHAnsi" w:hAnsiTheme="majorHAnsi" w:cstheme="majorHAnsi"/>
                <w:sz w:val="20"/>
                <w:szCs w:val="20"/>
              </w:rPr>
            </w:pPr>
            <w:r w:rsidRPr="003210F5">
              <w:rPr>
                <w:rFonts w:asciiTheme="majorHAnsi" w:hAnsiTheme="majorHAnsi" w:cstheme="majorHAnsi"/>
                <w:sz w:val="20"/>
                <w:szCs w:val="20"/>
              </w:rPr>
              <w:t>15/10/2012 – 22/08/2013</w:t>
            </w:r>
          </w:p>
          <w:p w:rsidRPr="003210F5" w:rsidR="003A74F0" w:rsidP="003210F5" w:rsidRDefault="003A74F0" w14:paraId="040EAE05" w14:textId="77777777">
            <w:pPr>
              <w:rPr>
                <w:rFonts w:asciiTheme="majorHAnsi" w:hAnsiTheme="majorHAnsi" w:cstheme="majorHAnsi"/>
                <w:sz w:val="20"/>
                <w:szCs w:val="20"/>
              </w:rPr>
            </w:pPr>
          </w:p>
        </w:tc>
        <w:tc>
          <w:tcPr>
            <w:tcW w:w="844" w:type="pct"/>
          </w:tcPr>
          <w:p w:rsidRPr="003210F5" w:rsidR="003A74F0" w:rsidP="003210F5" w:rsidRDefault="003A74F0" w14:paraId="4236B162" w14:textId="77777777">
            <w:pPr>
              <w:rPr>
                <w:rFonts w:asciiTheme="majorHAnsi" w:hAnsiTheme="majorHAnsi" w:cstheme="majorHAnsi"/>
                <w:sz w:val="20"/>
                <w:szCs w:val="20"/>
              </w:rPr>
            </w:pPr>
            <w:r w:rsidRPr="003210F5">
              <w:rPr>
                <w:rFonts w:asciiTheme="majorHAnsi" w:hAnsiTheme="majorHAnsi" w:cstheme="majorHAnsi"/>
                <w:sz w:val="20"/>
                <w:szCs w:val="20"/>
              </w:rPr>
              <w:t>23/08/2013 – 23/09/2013</w:t>
            </w:r>
          </w:p>
          <w:p w:rsidRPr="003210F5" w:rsidR="003A74F0" w:rsidP="003210F5" w:rsidRDefault="003A74F0" w14:paraId="473FE5F3" w14:textId="77777777">
            <w:pPr>
              <w:rPr>
                <w:rFonts w:asciiTheme="majorHAnsi" w:hAnsiTheme="majorHAnsi" w:cstheme="majorHAnsi"/>
                <w:sz w:val="20"/>
                <w:szCs w:val="20"/>
              </w:rPr>
            </w:pPr>
          </w:p>
        </w:tc>
      </w:tr>
      <w:tr w:rsidRPr="003210F5" w:rsidR="003A74F0" w:rsidTr="00FB534C" w14:paraId="163EC878" w14:textId="77777777">
        <w:tc>
          <w:tcPr>
            <w:tcW w:w="675" w:type="pct"/>
          </w:tcPr>
          <w:p w:rsidRPr="003210F5" w:rsidR="003A74F0" w:rsidP="003210F5" w:rsidRDefault="003A74F0" w14:paraId="4683F7F7" w14:textId="77777777">
            <w:pPr>
              <w:rPr>
                <w:rFonts w:asciiTheme="majorHAnsi" w:hAnsiTheme="majorHAnsi" w:cstheme="majorHAnsi"/>
                <w:sz w:val="20"/>
                <w:szCs w:val="20"/>
              </w:rPr>
            </w:pPr>
            <w:r w:rsidRPr="003210F5">
              <w:rPr>
                <w:rFonts w:asciiTheme="majorHAnsi" w:hAnsiTheme="majorHAnsi" w:cstheme="majorHAnsi"/>
                <w:sz w:val="20"/>
                <w:szCs w:val="20"/>
              </w:rPr>
              <w:t>27</w:t>
            </w:r>
          </w:p>
        </w:tc>
        <w:tc>
          <w:tcPr>
            <w:tcW w:w="1017" w:type="pct"/>
          </w:tcPr>
          <w:p w:rsidRPr="003210F5" w:rsidR="003A74F0" w:rsidP="003210F5" w:rsidRDefault="003A74F0" w14:paraId="4FCC8DC7" w14:textId="77777777">
            <w:pPr>
              <w:rPr>
                <w:rFonts w:asciiTheme="majorHAnsi" w:hAnsiTheme="majorHAnsi" w:cstheme="majorHAnsi"/>
                <w:sz w:val="20"/>
                <w:szCs w:val="20"/>
              </w:rPr>
            </w:pPr>
            <w:r w:rsidRPr="003210F5">
              <w:rPr>
                <w:rFonts w:asciiTheme="majorHAnsi" w:hAnsiTheme="majorHAnsi" w:cstheme="majorHAnsi"/>
                <w:sz w:val="20"/>
                <w:szCs w:val="20"/>
              </w:rPr>
              <w:t>03/08/2012 – 07/08/2012</w:t>
            </w:r>
          </w:p>
          <w:p w:rsidRPr="003210F5" w:rsidR="003A74F0" w:rsidP="003210F5" w:rsidRDefault="003A74F0" w14:paraId="7567FD55" w14:textId="77777777">
            <w:pPr>
              <w:rPr>
                <w:rFonts w:asciiTheme="majorHAnsi" w:hAnsiTheme="majorHAnsi" w:cstheme="majorHAnsi"/>
                <w:sz w:val="20"/>
                <w:szCs w:val="20"/>
              </w:rPr>
            </w:pPr>
          </w:p>
        </w:tc>
        <w:tc>
          <w:tcPr>
            <w:tcW w:w="1441" w:type="pct"/>
          </w:tcPr>
          <w:p w:rsidRPr="003210F5" w:rsidR="003A74F0" w:rsidP="003210F5" w:rsidRDefault="003A74F0" w14:paraId="316E9141" w14:textId="77777777">
            <w:pPr>
              <w:rPr>
                <w:rFonts w:asciiTheme="majorHAnsi" w:hAnsiTheme="majorHAnsi" w:cstheme="majorHAnsi"/>
                <w:sz w:val="20"/>
                <w:szCs w:val="20"/>
              </w:rPr>
            </w:pPr>
            <w:r w:rsidRPr="003210F5">
              <w:rPr>
                <w:rFonts w:asciiTheme="majorHAnsi" w:hAnsiTheme="majorHAnsi" w:cstheme="majorHAnsi"/>
                <w:sz w:val="20"/>
                <w:szCs w:val="20"/>
              </w:rPr>
              <w:t>08/08/2012 – 24/05/2013</w:t>
            </w:r>
          </w:p>
          <w:p w:rsidRPr="003210F5" w:rsidR="003A74F0" w:rsidP="003210F5" w:rsidRDefault="003A74F0" w14:paraId="79C72953" w14:textId="77777777">
            <w:pPr>
              <w:rPr>
                <w:rFonts w:asciiTheme="majorHAnsi" w:hAnsiTheme="majorHAnsi" w:cstheme="majorHAnsi"/>
                <w:sz w:val="20"/>
                <w:szCs w:val="20"/>
              </w:rPr>
            </w:pPr>
            <w:r w:rsidRPr="003210F5">
              <w:rPr>
                <w:rFonts w:asciiTheme="majorHAnsi" w:hAnsiTheme="majorHAnsi" w:cstheme="majorHAnsi"/>
                <w:sz w:val="20"/>
                <w:szCs w:val="20"/>
              </w:rPr>
              <w:t xml:space="preserve">immeuble C, chambrée 12 </w:t>
            </w:r>
          </w:p>
        </w:tc>
        <w:tc>
          <w:tcPr>
            <w:tcW w:w="1022" w:type="pct"/>
          </w:tcPr>
          <w:p w:rsidRPr="003210F5" w:rsidR="003A74F0" w:rsidP="003210F5" w:rsidRDefault="003A74F0" w14:paraId="688956A0" w14:textId="77777777">
            <w:pPr>
              <w:rPr>
                <w:rFonts w:asciiTheme="majorHAnsi" w:hAnsiTheme="majorHAnsi" w:cstheme="majorHAnsi"/>
                <w:sz w:val="20"/>
                <w:szCs w:val="20"/>
              </w:rPr>
            </w:pPr>
          </w:p>
        </w:tc>
        <w:tc>
          <w:tcPr>
            <w:tcW w:w="844" w:type="pct"/>
          </w:tcPr>
          <w:p w:rsidRPr="003210F5" w:rsidR="003A74F0" w:rsidP="003210F5" w:rsidRDefault="003A74F0" w14:paraId="77CD3387" w14:textId="77777777">
            <w:pPr>
              <w:rPr>
                <w:rFonts w:asciiTheme="majorHAnsi" w:hAnsiTheme="majorHAnsi" w:cstheme="majorHAnsi"/>
                <w:sz w:val="20"/>
                <w:szCs w:val="20"/>
              </w:rPr>
            </w:pPr>
          </w:p>
        </w:tc>
      </w:tr>
      <w:tr w:rsidRPr="003210F5" w:rsidR="003A74F0" w:rsidTr="00FB534C" w14:paraId="0B3A426D" w14:textId="77777777">
        <w:tc>
          <w:tcPr>
            <w:tcW w:w="675" w:type="pct"/>
          </w:tcPr>
          <w:p w:rsidRPr="003210F5" w:rsidR="003A74F0" w:rsidP="003210F5" w:rsidRDefault="003A74F0" w14:paraId="019D51FA" w14:textId="77777777">
            <w:pPr>
              <w:rPr>
                <w:rFonts w:asciiTheme="majorHAnsi" w:hAnsiTheme="majorHAnsi" w:cstheme="majorHAnsi"/>
                <w:sz w:val="20"/>
                <w:szCs w:val="20"/>
              </w:rPr>
            </w:pPr>
            <w:r w:rsidRPr="003210F5">
              <w:rPr>
                <w:rFonts w:asciiTheme="majorHAnsi" w:hAnsiTheme="majorHAnsi" w:cstheme="majorHAnsi"/>
                <w:sz w:val="20"/>
                <w:szCs w:val="20"/>
              </w:rPr>
              <w:t>28</w:t>
            </w:r>
          </w:p>
        </w:tc>
        <w:tc>
          <w:tcPr>
            <w:tcW w:w="1017" w:type="pct"/>
          </w:tcPr>
          <w:p w:rsidRPr="003210F5" w:rsidR="003A74F0" w:rsidP="003210F5" w:rsidRDefault="003A74F0" w14:paraId="0B5EA802" w14:textId="77777777">
            <w:pPr>
              <w:rPr>
                <w:rFonts w:asciiTheme="majorHAnsi" w:hAnsiTheme="majorHAnsi" w:cstheme="majorHAnsi"/>
                <w:sz w:val="20"/>
                <w:szCs w:val="20"/>
              </w:rPr>
            </w:pPr>
            <w:r w:rsidRPr="003210F5">
              <w:rPr>
                <w:rFonts w:asciiTheme="majorHAnsi" w:hAnsiTheme="majorHAnsi" w:cstheme="majorHAnsi"/>
                <w:sz w:val="20"/>
                <w:szCs w:val="20"/>
              </w:rPr>
              <w:t>26/10/2012 – 29/10/2012</w:t>
            </w:r>
          </w:p>
          <w:p w:rsidRPr="003210F5" w:rsidR="003A74F0" w:rsidP="003210F5" w:rsidRDefault="003A74F0" w14:paraId="49601371" w14:textId="77777777">
            <w:pPr>
              <w:rPr>
                <w:rFonts w:asciiTheme="majorHAnsi" w:hAnsiTheme="majorHAnsi" w:cstheme="majorHAnsi"/>
                <w:sz w:val="20"/>
                <w:szCs w:val="20"/>
              </w:rPr>
            </w:pPr>
          </w:p>
          <w:p w:rsidRPr="003210F5" w:rsidR="003A74F0" w:rsidP="003210F5" w:rsidRDefault="003A74F0" w14:paraId="05D6BCAB" w14:textId="77777777">
            <w:pPr>
              <w:rPr>
                <w:rFonts w:asciiTheme="majorHAnsi" w:hAnsiTheme="majorHAnsi" w:cstheme="majorHAnsi"/>
                <w:sz w:val="20"/>
                <w:szCs w:val="20"/>
              </w:rPr>
            </w:pPr>
            <w:r w:rsidRPr="003210F5">
              <w:rPr>
                <w:rFonts w:asciiTheme="majorHAnsi" w:hAnsiTheme="majorHAnsi" w:cstheme="majorHAnsi"/>
                <w:sz w:val="20"/>
                <w:szCs w:val="20"/>
              </w:rPr>
              <w:t>11/11/2013 –</w:t>
            </w:r>
          </w:p>
          <w:p w:rsidRPr="003210F5" w:rsidR="003A74F0" w:rsidP="003210F5" w:rsidRDefault="003A74F0" w14:paraId="1A10A96A" w14:textId="77777777">
            <w:pPr>
              <w:rPr>
                <w:rFonts w:asciiTheme="majorHAnsi" w:hAnsiTheme="majorHAnsi" w:cstheme="majorHAnsi"/>
                <w:sz w:val="20"/>
                <w:szCs w:val="20"/>
              </w:rPr>
            </w:pPr>
            <w:r w:rsidRPr="003210F5">
              <w:rPr>
                <w:rFonts w:asciiTheme="majorHAnsi" w:hAnsiTheme="majorHAnsi" w:cstheme="majorHAnsi"/>
                <w:sz w:val="20"/>
                <w:szCs w:val="20"/>
              </w:rPr>
              <w:t>29/11/2013</w:t>
            </w:r>
          </w:p>
        </w:tc>
        <w:tc>
          <w:tcPr>
            <w:tcW w:w="1441" w:type="pct"/>
          </w:tcPr>
          <w:p w:rsidRPr="003210F5" w:rsidR="003A74F0" w:rsidP="003210F5" w:rsidRDefault="003A74F0" w14:paraId="0C401151" w14:textId="77777777">
            <w:pPr>
              <w:rPr>
                <w:rFonts w:asciiTheme="majorHAnsi" w:hAnsiTheme="majorHAnsi" w:cstheme="majorHAnsi"/>
                <w:sz w:val="20"/>
                <w:szCs w:val="20"/>
              </w:rPr>
            </w:pPr>
            <w:r w:rsidRPr="003210F5">
              <w:rPr>
                <w:rFonts w:asciiTheme="majorHAnsi" w:hAnsiTheme="majorHAnsi" w:cstheme="majorHAnsi"/>
                <w:sz w:val="20"/>
                <w:szCs w:val="20"/>
              </w:rPr>
              <w:t>30/10/2012 – 05/05/2013, immeuble B, chambrée 7</w:t>
            </w:r>
          </w:p>
          <w:p w:rsidRPr="003210F5" w:rsidR="003A74F0" w:rsidP="003210F5" w:rsidRDefault="003A74F0" w14:paraId="10E500AF" w14:textId="77777777">
            <w:pPr>
              <w:rPr>
                <w:rFonts w:asciiTheme="majorHAnsi" w:hAnsiTheme="majorHAnsi" w:cstheme="majorHAnsi"/>
                <w:sz w:val="20"/>
                <w:szCs w:val="20"/>
              </w:rPr>
            </w:pPr>
          </w:p>
          <w:p w:rsidRPr="003210F5" w:rsidR="003A74F0" w:rsidP="003210F5" w:rsidRDefault="003A74F0" w14:paraId="3C57EC27" w14:textId="77777777">
            <w:pPr>
              <w:rPr>
                <w:rFonts w:asciiTheme="majorHAnsi" w:hAnsiTheme="majorHAnsi" w:cstheme="majorHAnsi"/>
                <w:sz w:val="20"/>
                <w:szCs w:val="20"/>
              </w:rPr>
            </w:pPr>
            <w:r w:rsidRPr="003210F5">
              <w:rPr>
                <w:rFonts w:asciiTheme="majorHAnsi" w:hAnsiTheme="majorHAnsi" w:cstheme="majorHAnsi"/>
                <w:sz w:val="20"/>
                <w:szCs w:val="20"/>
              </w:rPr>
              <w:t xml:space="preserve">Il a enfreint la permission de sortie </w:t>
            </w:r>
          </w:p>
        </w:tc>
        <w:tc>
          <w:tcPr>
            <w:tcW w:w="1022" w:type="pct"/>
          </w:tcPr>
          <w:p w:rsidRPr="003210F5" w:rsidR="003A74F0" w:rsidP="003210F5" w:rsidRDefault="003A74F0" w14:paraId="140B5EF3" w14:textId="77777777">
            <w:pPr>
              <w:jc w:val="both"/>
              <w:rPr>
                <w:rFonts w:asciiTheme="majorHAnsi" w:hAnsiTheme="majorHAnsi" w:cstheme="majorHAnsi"/>
                <w:sz w:val="20"/>
                <w:szCs w:val="20"/>
              </w:rPr>
            </w:pPr>
          </w:p>
        </w:tc>
        <w:tc>
          <w:tcPr>
            <w:tcW w:w="844" w:type="pct"/>
          </w:tcPr>
          <w:p w:rsidRPr="003210F5" w:rsidR="003A74F0" w:rsidP="003210F5" w:rsidRDefault="003A74F0" w14:paraId="13464E65" w14:textId="77777777">
            <w:pPr>
              <w:jc w:val="both"/>
              <w:rPr>
                <w:rFonts w:asciiTheme="majorHAnsi" w:hAnsiTheme="majorHAnsi" w:cstheme="majorHAnsi"/>
                <w:sz w:val="20"/>
                <w:szCs w:val="20"/>
              </w:rPr>
            </w:pPr>
          </w:p>
        </w:tc>
      </w:tr>
      <w:tr w:rsidRPr="003210F5" w:rsidR="003A74F0" w:rsidTr="00FB534C" w14:paraId="669E6D6C" w14:textId="77777777">
        <w:tc>
          <w:tcPr>
            <w:tcW w:w="675" w:type="pct"/>
          </w:tcPr>
          <w:p w:rsidRPr="003210F5" w:rsidR="003A74F0" w:rsidP="003210F5" w:rsidRDefault="003A74F0" w14:paraId="5512F8E2" w14:textId="77777777">
            <w:pPr>
              <w:rPr>
                <w:rFonts w:asciiTheme="majorHAnsi" w:hAnsiTheme="majorHAnsi" w:cstheme="majorHAnsi"/>
                <w:sz w:val="20"/>
                <w:szCs w:val="20"/>
              </w:rPr>
            </w:pPr>
            <w:r w:rsidRPr="003210F5">
              <w:rPr>
                <w:rFonts w:asciiTheme="majorHAnsi" w:hAnsiTheme="majorHAnsi" w:cstheme="majorHAnsi"/>
                <w:sz w:val="20"/>
                <w:szCs w:val="20"/>
              </w:rPr>
              <w:t>29</w:t>
            </w:r>
          </w:p>
        </w:tc>
        <w:tc>
          <w:tcPr>
            <w:tcW w:w="1017" w:type="pct"/>
          </w:tcPr>
          <w:p w:rsidRPr="003210F5" w:rsidR="003A74F0" w:rsidP="003210F5" w:rsidRDefault="003A74F0" w14:paraId="53E2D329" w14:textId="77777777">
            <w:pPr>
              <w:rPr>
                <w:rFonts w:asciiTheme="majorHAnsi" w:hAnsiTheme="majorHAnsi" w:cstheme="majorHAnsi"/>
                <w:sz w:val="20"/>
                <w:szCs w:val="20"/>
              </w:rPr>
            </w:pPr>
            <w:r w:rsidRPr="003210F5">
              <w:rPr>
                <w:rFonts w:asciiTheme="majorHAnsi" w:hAnsiTheme="majorHAnsi" w:cstheme="majorHAnsi"/>
                <w:sz w:val="20"/>
                <w:szCs w:val="20"/>
              </w:rPr>
              <w:t>11/04/2012 – 18/04/2012</w:t>
            </w:r>
          </w:p>
          <w:p w:rsidRPr="003210F5" w:rsidR="003A74F0" w:rsidP="003210F5" w:rsidRDefault="003A74F0" w14:paraId="3FCBBCA9" w14:textId="77777777">
            <w:pPr>
              <w:rPr>
                <w:rFonts w:asciiTheme="majorHAnsi" w:hAnsiTheme="majorHAnsi" w:cstheme="majorHAnsi"/>
                <w:sz w:val="20"/>
                <w:szCs w:val="20"/>
              </w:rPr>
            </w:pPr>
          </w:p>
        </w:tc>
        <w:tc>
          <w:tcPr>
            <w:tcW w:w="1441" w:type="pct"/>
          </w:tcPr>
          <w:p w:rsidRPr="003210F5" w:rsidR="003A74F0" w:rsidP="003210F5" w:rsidRDefault="003A74F0" w14:paraId="06118766" w14:textId="77777777">
            <w:pPr>
              <w:rPr>
                <w:rFonts w:asciiTheme="majorHAnsi" w:hAnsiTheme="majorHAnsi" w:cstheme="majorHAnsi"/>
                <w:sz w:val="20"/>
                <w:szCs w:val="20"/>
              </w:rPr>
            </w:pPr>
            <w:r w:rsidRPr="003210F5">
              <w:rPr>
                <w:rFonts w:asciiTheme="majorHAnsi" w:hAnsiTheme="majorHAnsi" w:cstheme="majorHAnsi"/>
                <w:sz w:val="20"/>
                <w:szCs w:val="20"/>
              </w:rPr>
              <w:t>19/04/2012 – 26/03/2013</w:t>
            </w:r>
          </w:p>
          <w:p w:rsidRPr="003210F5" w:rsidR="003A74F0" w:rsidP="003210F5" w:rsidRDefault="003A74F0" w14:paraId="69840C06"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10</w:t>
            </w:r>
          </w:p>
        </w:tc>
        <w:tc>
          <w:tcPr>
            <w:tcW w:w="1022" w:type="pct"/>
          </w:tcPr>
          <w:p w:rsidRPr="003210F5" w:rsidR="003A74F0" w:rsidP="003210F5" w:rsidRDefault="003A74F0" w14:paraId="09CE3652" w14:textId="77777777">
            <w:pPr>
              <w:rPr>
                <w:rFonts w:asciiTheme="majorHAnsi" w:hAnsiTheme="majorHAnsi" w:cstheme="majorHAnsi"/>
                <w:sz w:val="20"/>
                <w:szCs w:val="20"/>
              </w:rPr>
            </w:pPr>
          </w:p>
        </w:tc>
        <w:tc>
          <w:tcPr>
            <w:tcW w:w="844" w:type="pct"/>
          </w:tcPr>
          <w:p w:rsidRPr="003210F5" w:rsidR="003A74F0" w:rsidP="003210F5" w:rsidRDefault="003A74F0" w14:paraId="4706B018" w14:textId="77777777">
            <w:pPr>
              <w:rPr>
                <w:rFonts w:asciiTheme="majorHAnsi" w:hAnsiTheme="majorHAnsi" w:cstheme="majorHAnsi"/>
                <w:sz w:val="20"/>
                <w:szCs w:val="20"/>
              </w:rPr>
            </w:pPr>
          </w:p>
        </w:tc>
      </w:tr>
      <w:tr w:rsidRPr="003210F5" w:rsidR="003A74F0" w:rsidTr="00FB534C" w14:paraId="7C2A50C8" w14:textId="77777777">
        <w:tc>
          <w:tcPr>
            <w:tcW w:w="675" w:type="pct"/>
          </w:tcPr>
          <w:p w:rsidRPr="003210F5" w:rsidR="003A74F0" w:rsidP="003210F5" w:rsidRDefault="003A74F0" w14:paraId="66D8A6DE" w14:textId="77777777">
            <w:pPr>
              <w:rPr>
                <w:rFonts w:asciiTheme="majorHAnsi" w:hAnsiTheme="majorHAnsi" w:cstheme="majorHAnsi"/>
                <w:sz w:val="20"/>
                <w:szCs w:val="20"/>
              </w:rPr>
            </w:pPr>
            <w:r w:rsidRPr="003210F5">
              <w:rPr>
                <w:rFonts w:asciiTheme="majorHAnsi" w:hAnsiTheme="majorHAnsi" w:cstheme="majorHAnsi"/>
                <w:sz w:val="20"/>
                <w:szCs w:val="20"/>
              </w:rPr>
              <w:t>30</w:t>
            </w:r>
          </w:p>
        </w:tc>
        <w:tc>
          <w:tcPr>
            <w:tcW w:w="1017" w:type="pct"/>
          </w:tcPr>
          <w:p w:rsidRPr="003210F5" w:rsidR="003A74F0" w:rsidP="003210F5" w:rsidRDefault="003A74F0" w14:paraId="1F12AE77" w14:textId="77777777">
            <w:pPr>
              <w:rPr>
                <w:rFonts w:asciiTheme="majorHAnsi" w:hAnsiTheme="majorHAnsi" w:cstheme="majorHAnsi"/>
                <w:sz w:val="20"/>
                <w:szCs w:val="20"/>
              </w:rPr>
            </w:pPr>
            <w:r w:rsidRPr="003210F5">
              <w:rPr>
                <w:rFonts w:asciiTheme="majorHAnsi" w:hAnsiTheme="majorHAnsi" w:cstheme="majorHAnsi"/>
                <w:sz w:val="20"/>
                <w:szCs w:val="20"/>
              </w:rPr>
              <w:t>17/08/2012 – 24/08/2012</w:t>
            </w:r>
          </w:p>
          <w:p w:rsidRPr="003210F5" w:rsidR="003A74F0" w:rsidP="003210F5" w:rsidRDefault="003A74F0" w14:paraId="625B4DCB" w14:textId="544CBD9A">
            <w:pPr>
              <w:rPr>
                <w:rFonts w:asciiTheme="majorHAnsi" w:hAnsiTheme="majorHAnsi" w:cstheme="majorHAnsi"/>
                <w:sz w:val="20"/>
                <w:szCs w:val="20"/>
              </w:rPr>
            </w:pPr>
          </w:p>
        </w:tc>
        <w:tc>
          <w:tcPr>
            <w:tcW w:w="1441" w:type="pct"/>
          </w:tcPr>
          <w:p w:rsidRPr="003210F5" w:rsidR="003A74F0" w:rsidP="003210F5" w:rsidRDefault="003A74F0" w14:paraId="63C44AF2" w14:textId="77777777">
            <w:pPr>
              <w:rPr>
                <w:rFonts w:asciiTheme="majorHAnsi" w:hAnsiTheme="majorHAnsi" w:cstheme="majorHAnsi"/>
                <w:sz w:val="20"/>
                <w:szCs w:val="20"/>
              </w:rPr>
            </w:pPr>
            <w:r w:rsidRPr="003210F5">
              <w:rPr>
                <w:rFonts w:asciiTheme="majorHAnsi" w:hAnsiTheme="majorHAnsi" w:cstheme="majorHAnsi"/>
                <w:sz w:val="20"/>
                <w:szCs w:val="20"/>
              </w:rPr>
              <w:t>25/08/2012 – 07/05/2013</w:t>
            </w:r>
          </w:p>
          <w:p w:rsidRPr="003210F5" w:rsidR="003A74F0" w:rsidP="003210F5" w:rsidRDefault="003A74F0" w14:paraId="7C7C1CD2"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12</w:t>
            </w:r>
          </w:p>
        </w:tc>
        <w:tc>
          <w:tcPr>
            <w:tcW w:w="1022" w:type="pct"/>
          </w:tcPr>
          <w:p w:rsidRPr="003210F5" w:rsidR="003A74F0" w:rsidP="003210F5" w:rsidRDefault="003A74F0" w14:paraId="406AAE9B" w14:textId="77777777">
            <w:pPr>
              <w:rPr>
                <w:rFonts w:asciiTheme="majorHAnsi" w:hAnsiTheme="majorHAnsi" w:cstheme="majorHAnsi"/>
                <w:sz w:val="20"/>
                <w:szCs w:val="20"/>
              </w:rPr>
            </w:pPr>
            <w:r w:rsidRPr="003210F5">
              <w:rPr>
                <w:rFonts w:asciiTheme="majorHAnsi" w:hAnsiTheme="majorHAnsi" w:cstheme="majorHAnsi"/>
                <w:sz w:val="20"/>
                <w:szCs w:val="20"/>
              </w:rPr>
              <w:t>08/05/2013 – 07/08/2013</w:t>
            </w:r>
          </w:p>
        </w:tc>
        <w:tc>
          <w:tcPr>
            <w:tcW w:w="844" w:type="pct"/>
          </w:tcPr>
          <w:p w:rsidRPr="003210F5" w:rsidR="003A74F0" w:rsidP="003210F5" w:rsidRDefault="003A74F0" w14:paraId="57B95623" w14:textId="77777777">
            <w:pPr>
              <w:rPr>
                <w:rFonts w:asciiTheme="majorHAnsi" w:hAnsiTheme="majorHAnsi" w:cstheme="majorHAnsi"/>
                <w:sz w:val="20"/>
                <w:szCs w:val="20"/>
              </w:rPr>
            </w:pPr>
          </w:p>
        </w:tc>
      </w:tr>
      <w:tr w:rsidRPr="003210F5" w:rsidR="003A74F0" w:rsidTr="00FB534C" w14:paraId="5A6F3066" w14:textId="77777777">
        <w:tc>
          <w:tcPr>
            <w:tcW w:w="675" w:type="pct"/>
          </w:tcPr>
          <w:p w:rsidRPr="003210F5" w:rsidR="003A74F0" w:rsidP="003210F5" w:rsidRDefault="003A74F0" w14:paraId="7E6A0136" w14:textId="77777777">
            <w:pPr>
              <w:rPr>
                <w:rFonts w:asciiTheme="majorHAnsi" w:hAnsiTheme="majorHAnsi" w:cstheme="majorHAnsi"/>
                <w:sz w:val="20"/>
                <w:szCs w:val="20"/>
              </w:rPr>
            </w:pPr>
            <w:r w:rsidRPr="003210F5">
              <w:rPr>
                <w:rFonts w:asciiTheme="majorHAnsi" w:hAnsiTheme="majorHAnsi" w:cstheme="majorHAnsi"/>
                <w:sz w:val="20"/>
                <w:szCs w:val="20"/>
              </w:rPr>
              <w:t>31</w:t>
            </w:r>
          </w:p>
        </w:tc>
        <w:tc>
          <w:tcPr>
            <w:tcW w:w="1017" w:type="pct"/>
          </w:tcPr>
          <w:p w:rsidRPr="003210F5" w:rsidR="003A74F0" w:rsidP="003210F5" w:rsidRDefault="003A74F0" w14:paraId="43BD7EDC" w14:textId="77777777">
            <w:pPr>
              <w:rPr>
                <w:rFonts w:asciiTheme="majorHAnsi" w:hAnsiTheme="majorHAnsi" w:cstheme="majorHAnsi"/>
                <w:sz w:val="20"/>
                <w:szCs w:val="20"/>
              </w:rPr>
            </w:pPr>
            <w:r w:rsidRPr="003210F5">
              <w:rPr>
                <w:rFonts w:asciiTheme="majorHAnsi" w:hAnsiTheme="majorHAnsi" w:cstheme="majorHAnsi"/>
                <w:sz w:val="20"/>
                <w:szCs w:val="20"/>
              </w:rPr>
              <w:t>03/09/2012 – 25/01/2013</w:t>
            </w:r>
          </w:p>
          <w:p w:rsidRPr="003210F5" w:rsidR="003A74F0" w:rsidP="003210F5" w:rsidRDefault="003A74F0" w14:paraId="57B89CB4" w14:textId="77777777">
            <w:pPr>
              <w:rPr>
                <w:rFonts w:asciiTheme="majorHAnsi" w:hAnsiTheme="majorHAnsi" w:cstheme="majorHAnsi"/>
                <w:sz w:val="20"/>
                <w:szCs w:val="20"/>
              </w:rPr>
            </w:pPr>
          </w:p>
        </w:tc>
        <w:tc>
          <w:tcPr>
            <w:tcW w:w="1441" w:type="pct"/>
          </w:tcPr>
          <w:p w:rsidRPr="003210F5" w:rsidR="003A74F0" w:rsidP="003210F5" w:rsidRDefault="003A74F0" w14:paraId="60609CF9" w14:textId="77777777">
            <w:pPr>
              <w:rPr>
                <w:rFonts w:asciiTheme="majorHAnsi" w:hAnsiTheme="majorHAnsi" w:cstheme="majorHAnsi"/>
                <w:sz w:val="20"/>
                <w:szCs w:val="20"/>
              </w:rPr>
            </w:pPr>
          </w:p>
        </w:tc>
        <w:tc>
          <w:tcPr>
            <w:tcW w:w="1022" w:type="pct"/>
          </w:tcPr>
          <w:p w:rsidRPr="003210F5" w:rsidR="003A74F0" w:rsidP="003210F5" w:rsidRDefault="003A74F0" w14:paraId="7572F8C3" w14:textId="77777777">
            <w:pPr>
              <w:rPr>
                <w:rFonts w:asciiTheme="majorHAnsi" w:hAnsiTheme="majorHAnsi" w:cstheme="majorHAnsi"/>
                <w:sz w:val="20"/>
                <w:szCs w:val="20"/>
              </w:rPr>
            </w:pPr>
          </w:p>
        </w:tc>
        <w:tc>
          <w:tcPr>
            <w:tcW w:w="844" w:type="pct"/>
          </w:tcPr>
          <w:p w:rsidRPr="003210F5" w:rsidR="003A74F0" w:rsidP="003210F5" w:rsidRDefault="003A74F0" w14:paraId="56BE37CA" w14:textId="77777777">
            <w:pPr>
              <w:rPr>
                <w:rFonts w:asciiTheme="majorHAnsi" w:hAnsiTheme="majorHAnsi" w:cstheme="majorHAnsi"/>
                <w:sz w:val="20"/>
                <w:szCs w:val="20"/>
              </w:rPr>
            </w:pPr>
          </w:p>
        </w:tc>
      </w:tr>
      <w:tr w:rsidRPr="003210F5" w:rsidR="003A74F0" w:rsidTr="00FB534C" w14:paraId="308DFCE8" w14:textId="77777777">
        <w:tc>
          <w:tcPr>
            <w:tcW w:w="675" w:type="pct"/>
          </w:tcPr>
          <w:p w:rsidRPr="003210F5" w:rsidR="003A74F0" w:rsidP="003210F5" w:rsidRDefault="003A74F0" w14:paraId="76A0A818" w14:textId="77777777">
            <w:pPr>
              <w:rPr>
                <w:rFonts w:asciiTheme="majorHAnsi" w:hAnsiTheme="majorHAnsi" w:cstheme="majorHAnsi"/>
                <w:sz w:val="20"/>
                <w:szCs w:val="20"/>
              </w:rPr>
            </w:pPr>
            <w:r w:rsidRPr="003210F5">
              <w:rPr>
                <w:rFonts w:asciiTheme="majorHAnsi" w:hAnsiTheme="majorHAnsi" w:cstheme="majorHAnsi"/>
                <w:sz w:val="20"/>
                <w:szCs w:val="20"/>
              </w:rPr>
              <w:t>32</w:t>
            </w:r>
          </w:p>
        </w:tc>
        <w:tc>
          <w:tcPr>
            <w:tcW w:w="1017" w:type="pct"/>
          </w:tcPr>
          <w:p w:rsidRPr="003210F5" w:rsidR="003A74F0" w:rsidP="003210F5" w:rsidRDefault="003A74F0" w14:paraId="0C5DA844" w14:textId="77777777">
            <w:pPr>
              <w:rPr>
                <w:rFonts w:asciiTheme="majorHAnsi" w:hAnsiTheme="majorHAnsi" w:cstheme="majorHAnsi"/>
                <w:sz w:val="20"/>
                <w:szCs w:val="20"/>
              </w:rPr>
            </w:pPr>
            <w:bookmarkStart w:name="_Hlk62823995" w:id="9"/>
            <w:r w:rsidRPr="003210F5">
              <w:rPr>
                <w:rFonts w:asciiTheme="majorHAnsi" w:hAnsiTheme="majorHAnsi" w:cstheme="majorHAnsi"/>
                <w:sz w:val="20"/>
                <w:szCs w:val="20"/>
              </w:rPr>
              <w:t>Période antérieure non précisée</w:t>
            </w:r>
          </w:p>
          <w:p w:rsidRPr="003210F5" w:rsidR="003A74F0" w:rsidP="003210F5" w:rsidRDefault="003A74F0" w14:paraId="000D02D0" w14:textId="77777777">
            <w:pPr>
              <w:rPr>
                <w:rFonts w:asciiTheme="majorHAnsi" w:hAnsiTheme="majorHAnsi" w:cstheme="majorHAnsi"/>
                <w:sz w:val="20"/>
                <w:szCs w:val="20"/>
              </w:rPr>
            </w:pPr>
            <w:r w:rsidRPr="003210F5">
              <w:rPr>
                <w:rFonts w:asciiTheme="majorHAnsi" w:hAnsiTheme="majorHAnsi" w:cstheme="majorHAnsi"/>
                <w:sz w:val="20"/>
                <w:szCs w:val="20"/>
              </w:rPr>
              <w:t>11/10/2013 – 20/11/2013</w:t>
            </w:r>
          </w:p>
          <w:bookmarkEnd w:id="9"/>
          <w:p w:rsidRPr="003210F5" w:rsidR="003A74F0" w:rsidP="003210F5" w:rsidRDefault="003A74F0" w14:paraId="0E318B54" w14:textId="77777777">
            <w:pPr>
              <w:rPr>
                <w:rFonts w:asciiTheme="majorHAnsi" w:hAnsiTheme="majorHAnsi" w:cstheme="majorHAnsi"/>
                <w:color w:val="000000" w:themeColor="text1"/>
                <w:sz w:val="20"/>
                <w:szCs w:val="20"/>
              </w:rPr>
            </w:pPr>
          </w:p>
        </w:tc>
        <w:tc>
          <w:tcPr>
            <w:tcW w:w="1441" w:type="pct"/>
          </w:tcPr>
          <w:p w:rsidRPr="003210F5" w:rsidR="003A74F0" w:rsidP="003210F5" w:rsidRDefault="003A74F0" w14:paraId="1DBADDFA" w14:textId="77777777">
            <w:pPr>
              <w:rPr>
                <w:rFonts w:asciiTheme="majorHAnsi" w:hAnsiTheme="majorHAnsi" w:cstheme="majorHAnsi"/>
                <w:sz w:val="20"/>
                <w:szCs w:val="20"/>
              </w:rPr>
            </w:pPr>
            <w:r w:rsidRPr="003210F5">
              <w:rPr>
                <w:rFonts w:asciiTheme="majorHAnsi" w:hAnsiTheme="majorHAnsi" w:cstheme="majorHAnsi"/>
                <w:sz w:val="20"/>
                <w:szCs w:val="20"/>
              </w:rPr>
              <w:t>21/11/2013 –</w:t>
            </w:r>
          </w:p>
          <w:p w:rsidRPr="003210F5" w:rsidR="003A74F0" w:rsidP="003210F5" w:rsidRDefault="003A74F0" w14:paraId="24E27364" w14:textId="77777777">
            <w:pPr>
              <w:rPr>
                <w:rFonts w:asciiTheme="majorHAnsi" w:hAnsiTheme="majorHAnsi" w:cstheme="majorHAnsi"/>
                <w:sz w:val="20"/>
                <w:szCs w:val="20"/>
              </w:rPr>
            </w:pPr>
            <w:r w:rsidRPr="003210F5">
              <w:rPr>
                <w:rFonts w:asciiTheme="majorHAnsi" w:hAnsiTheme="majorHAnsi" w:cstheme="majorHAnsi"/>
                <w:sz w:val="20"/>
                <w:szCs w:val="20"/>
              </w:rPr>
              <w:t>date non précisée</w:t>
            </w:r>
          </w:p>
          <w:p w:rsidRPr="003210F5" w:rsidR="003A74F0" w:rsidP="003210F5" w:rsidRDefault="003A74F0" w14:paraId="1E71941A" w14:textId="77777777">
            <w:pPr>
              <w:rPr>
                <w:rFonts w:asciiTheme="majorHAnsi" w:hAnsiTheme="majorHAnsi" w:cstheme="majorHAnsi"/>
                <w:sz w:val="20"/>
                <w:szCs w:val="20"/>
              </w:rPr>
            </w:pPr>
            <w:r w:rsidRPr="003210F5">
              <w:rPr>
                <w:rFonts w:asciiTheme="majorHAnsi" w:hAnsiTheme="majorHAnsi" w:cstheme="majorHAnsi"/>
                <w:sz w:val="20"/>
                <w:szCs w:val="20"/>
              </w:rPr>
              <w:t>immeuble B, chambrée 8</w:t>
            </w:r>
          </w:p>
        </w:tc>
        <w:tc>
          <w:tcPr>
            <w:tcW w:w="1022" w:type="pct"/>
          </w:tcPr>
          <w:p w:rsidRPr="003210F5" w:rsidR="003A74F0" w:rsidP="003210F5" w:rsidRDefault="003A74F0" w14:paraId="064B7BF2" w14:textId="77777777">
            <w:pPr>
              <w:rPr>
                <w:rFonts w:asciiTheme="majorHAnsi" w:hAnsiTheme="majorHAnsi" w:cstheme="majorHAnsi"/>
                <w:sz w:val="20"/>
                <w:szCs w:val="20"/>
              </w:rPr>
            </w:pPr>
          </w:p>
        </w:tc>
        <w:tc>
          <w:tcPr>
            <w:tcW w:w="844" w:type="pct"/>
          </w:tcPr>
          <w:p w:rsidRPr="003210F5" w:rsidR="003A74F0" w:rsidP="003210F5" w:rsidRDefault="003A74F0" w14:paraId="18DEA5DE" w14:textId="77777777">
            <w:pPr>
              <w:rPr>
                <w:rFonts w:asciiTheme="majorHAnsi" w:hAnsiTheme="majorHAnsi" w:cstheme="majorHAnsi"/>
                <w:sz w:val="20"/>
                <w:szCs w:val="20"/>
              </w:rPr>
            </w:pPr>
          </w:p>
        </w:tc>
      </w:tr>
      <w:tr w:rsidRPr="003210F5" w:rsidR="003A74F0" w:rsidTr="00FB534C" w14:paraId="346E8A6D" w14:textId="77777777">
        <w:tc>
          <w:tcPr>
            <w:tcW w:w="675" w:type="pct"/>
          </w:tcPr>
          <w:p w:rsidRPr="003210F5" w:rsidR="003A74F0" w:rsidP="003210F5" w:rsidRDefault="003A74F0" w14:paraId="522C2027" w14:textId="77777777">
            <w:pPr>
              <w:rPr>
                <w:rFonts w:asciiTheme="majorHAnsi" w:hAnsiTheme="majorHAnsi" w:cstheme="majorHAnsi"/>
                <w:sz w:val="20"/>
                <w:szCs w:val="20"/>
              </w:rPr>
            </w:pPr>
            <w:r w:rsidRPr="003210F5">
              <w:rPr>
                <w:rFonts w:asciiTheme="majorHAnsi" w:hAnsiTheme="majorHAnsi" w:cstheme="majorHAnsi"/>
                <w:sz w:val="20"/>
                <w:szCs w:val="20"/>
              </w:rPr>
              <w:t>33</w:t>
            </w:r>
          </w:p>
        </w:tc>
        <w:tc>
          <w:tcPr>
            <w:tcW w:w="1017" w:type="pct"/>
          </w:tcPr>
          <w:p w:rsidRPr="003210F5" w:rsidR="003A74F0" w:rsidP="003210F5" w:rsidRDefault="003A74F0" w14:paraId="01DA6A23" w14:textId="77777777">
            <w:pPr>
              <w:rPr>
                <w:rFonts w:asciiTheme="majorHAnsi" w:hAnsiTheme="majorHAnsi" w:cstheme="majorHAnsi"/>
                <w:sz w:val="20"/>
                <w:szCs w:val="20"/>
              </w:rPr>
            </w:pPr>
            <w:r w:rsidRPr="003210F5">
              <w:rPr>
                <w:rFonts w:asciiTheme="majorHAnsi" w:hAnsiTheme="majorHAnsi" w:cstheme="majorHAnsi"/>
                <w:sz w:val="20"/>
                <w:szCs w:val="20"/>
              </w:rPr>
              <w:t>16/01/2013 – 24/01/2013</w:t>
            </w:r>
          </w:p>
          <w:p w:rsidRPr="003210F5" w:rsidR="003A74F0" w:rsidP="003210F5" w:rsidRDefault="003A74F0" w14:paraId="33267EC2" w14:textId="77777777">
            <w:pPr>
              <w:rPr>
                <w:rFonts w:asciiTheme="majorHAnsi" w:hAnsiTheme="majorHAnsi" w:cstheme="majorHAnsi"/>
                <w:sz w:val="20"/>
                <w:szCs w:val="20"/>
              </w:rPr>
            </w:pPr>
          </w:p>
        </w:tc>
        <w:tc>
          <w:tcPr>
            <w:tcW w:w="1441" w:type="pct"/>
          </w:tcPr>
          <w:p w:rsidRPr="003210F5" w:rsidR="003A74F0" w:rsidP="003210F5" w:rsidRDefault="003A74F0" w14:paraId="66D99B3D" w14:textId="77777777">
            <w:pPr>
              <w:rPr>
                <w:rFonts w:asciiTheme="majorHAnsi" w:hAnsiTheme="majorHAnsi" w:cstheme="majorHAnsi"/>
                <w:sz w:val="20"/>
                <w:szCs w:val="20"/>
              </w:rPr>
            </w:pPr>
            <w:r w:rsidRPr="003210F5">
              <w:rPr>
                <w:rFonts w:asciiTheme="majorHAnsi" w:hAnsiTheme="majorHAnsi" w:cstheme="majorHAnsi"/>
                <w:sz w:val="20"/>
                <w:szCs w:val="20"/>
              </w:rPr>
              <w:t>25/01/2013 – 26/08/2013</w:t>
            </w:r>
          </w:p>
          <w:p w:rsidRPr="003210F5" w:rsidR="003A74F0" w:rsidP="003210F5" w:rsidRDefault="003A74F0" w14:paraId="45255DEF"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12</w:t>
            </w:r>
          </w:p>
        </w:tc>
        <w:tc>
          <w:tcPr>
            <w:tcW w:w="1022" w:type="pct"/>
          </w:tcPr>
          <w:p w:rsidRPr="003210F5" w:rsidR="003A74F0" w:rsidP="003210F5" w:rsidRDefault="003A74F0" w14:paraId="45916D72" w14:textId="77777777">
            <w:pPr>
              <w:rPr>
                <w:rFonts w:asciiTheme="majorHAnsi" w:hAnsiTheme="majorHAnsi" w:cstheme="majorHAnsi"/>
                <w:sz w:val="20"/>
                <w:szCs w:val="20"/>
              </w:rPr>
            </w:pPr>
          </w:p>
        </w:tc>
        <w:tc>
          <w:tcPr>
            <w:tcW w:w="844" w:type="pct"/>
          </w:tcPr>
          <w:p w:rsidRPr="003210F5" w:rsidR="003A74F0" w:rsidP="003210F5" w:rsidRDefault="003A74F0" w14:paraId="77207D29" w14:textId="77777777">
            <w:pPr>
              <w:rPr>
                <w:rFonts w:asciiTheme="majorHAnsi" w:hAnsiTheme="majorHAnsi" w:cstheme="majorHAnsi"/>
                <w:sz w:val="20"/>
                <w:szCs w:val="20"/>
              </w:rPr>
            </w:pPr>
          </w:p>
        </w:tc>
      </w:tr>
      <w:tr w:rsidRPr="003210F5" w:rsidR="003A74F0" w:rsidTr="00FB534C" w14:paraId="69DE2912" w14:textId="77777777">
        <w:tc>
          <w:tcPr>
            <w:tcW w:w="675" w:type="pct"/>
          </w:tcPr>
          <w:p w:rsidRPr="003210F5" w:rsidR="003A74F0" w:rsidP="003210F5" w:rsidRDefault="003A74F0" w14:paraId="0FC14D3E" w14:textId="77777777">
            <w:pPr>
              <w:rPr>
                <w:rFonts w:asciiTheme="majorHAnsi" w:hAnsiTheme="majorHAnsi" w:cstheme="majorHAnsi"/>
                <w:sz w:val="20"/>
                <w:szCs w:val="20"/>
              </w:rPr>
            </w:pPr>
            <w:r w:rsidRPr="003210F5">
              <w:rPr>
                <w:rFonts w:asciiTheme="majorHAnsi" w:hAnsiTheme="majorHAnsi" w:cstheme="majorHAnsi"/>
                <w:sz w:val="20"/>
                <w:szCs w:val="20"/>
              </w:rPr>
              <w:t>34</w:t>
            </w:r>
          </w:p>
        </w:tc>
        <w:tc>
          <w:tcPr>
            <w:tcW w:w="1017" w:type="pct"/>
          </w:tcPr>
          <w:p w:rsidRPr="003210F5" w:rsidR="003A74F0" w:rsidP="003210F5" w:rsidRDefault="003A74F0" w14:paraId="05BD0E9B" w14:textId="77777777">
            <w:pPr>
              <w:rPr>
                <w:rFonts w:asciiTheme="majorHAnsi" w:hAnsiTheme="majorHAnsi" w:cstheme="majorHAnsi"/>
                <w:sz w:val="20"/>
                <w:szCs w:val="20"/>
              </w:rPr>
            </w:pPr>
            <w:r w:rsidRPr="003210F5">
              <w:rPr>
                <w:rFonts w:asciiTheme="majorHAnsi" w:hAnsiTheme="majorHAnsi" w:cstheme="majorHAnsi"/>
                <w:sz w:val="20"/>
                <w:szCs w:val="20"/>
              </w:rPr>
              <w:t>17/10/2012 – 29/10/2012</w:t>
            </w:r>
          </w:p>
          <w:p w:rsidRPr="003210F5" w:rsidR="003A74F0" w:rsidP="003210F5" w:rsidRDefault="003A74F0" w14:paraId="40E603EF" w14:textId="77777777">
            <w:pPr>
              <w:rPr>
                <w:rFonts w:asciiTheme="majorHAnsi" w:hAnsiTheme="majorHAnsi" w:cstheme="majorHAnsi"/>
                <w:color w:val="C00000" w:themeColor="accent2"/>
                <w:sz w:val="20"/>
                <w:szCs w:val="20"/>
              </w:rPr>
            </w:pPr>
          </w:p>
          <w:p w:rsidRPr="003210F5" w:rsidR="003A74F0" w:rsidP="003210F5" w:rsidRDefault="003A74F0" w14:paraId="5331C76F" w14:textId="77777777">
            <w:pPr>
              <w:rPr>
                <w:rFonts w:asciiTheme="majorHAnsi" w:hAnsiTheme="majorHAnsi" w:cstheme="majorHAnsi"/>
                <w:sz w:val="20"/>
                <w:szCs w:val="20"/>
              </w:rPr>
            </w:pPr>
            <w:r w:rsidRPr="003210F5">
              <w:rPr>
                <w:rFonts w:asciiTheme="majorHAnsi" w:hAnsiTheme="majorHAnsi" w:cstheme="majorHAnsi"/>
                <w:sz w:val="20"/>
                <w:szCs w:val="20"/>
              </w:rPr>
              <w:t>09/02/2013 – 23/01/2014</w:t>
            </w:r>
          </w:p>
          <w:p w:rsidRPr="003210F5" w:rsidR="003A74F0" w:rsidP="003210F5" w:rsidRDefault="003A74F0" w14:paraId="37BCBE79" w14:textId="77777777">
            <w:pPr>
              <w:rPr>
                <w:rFonts w:asciiTheme="majorHAnsi" w:hAnsiTheme="majorHAnsi" w:cstheme="majorHAnsi"/>
                <w:sz w:val="20"/>
                <w:szCs w:val="20"/>
              </w:rPr>
            </w:pPr>
            <w:r w:rsidRPr="003210F5">
              <w:rPr>
                <w:rFonts w:asciiTheme="majorHAnsi" w:hAnsiTheme="majorHAnsi" w:cstheme="majorHAnsi"/>
                <w:sz w:val="20"/>
                <w:szCs w:val="20"/>
              </w:rPr>
              <w:t xml:space="preserve">lieu de détention non précisé </w:t>
            </w:r>
          </w:p>
        </w:tc>
        <w:tc>
          <w:tcPr>
            <w:tcW w:w="1441" w:type="pct"/>
          </w:tcPr>
          <w:p w:rsidRPr="003210F5" w:rsidR="003A74F0" w:rsidP="003210F5" w:rsidRDefault="003A74F0" w14:paraId="5EE3F6EE" w14:textId="77777777">
            <w:pPr>
              <w:rPr>
                <w:rFonts w:asciiTheme="majorHAnsi" w:hAnsiTheme="majorHAnsi" w:cstheme="majorHAnsi"/>
                <w:sz w:val="20"/>
                <w:szCs w:val="20"/>
              </w:rPr>
            </w:pPr>
            <w:r w:rsidRPr="003210F5">
              <w:rPr>
                <w:rFonts w:asciiTheme="majorHAnsi" w:hAnsiTheme="majorHAnsi" w:cstheme="majorHAnsi"/>
                <w:sz w:val="20"/>
                <w:szCs w:val="20"/>
              </w:rPr>
              <w:t>30/10/2012 – 06/02/2013,</w:t>
            </w:r>
          </w:p>
          <w:p w:rsidRPr="003210F5" w:rsidR="003A74F0" w:rsidP="003210F5" w:rsidRDefault="003A74F0" w14:paraId="6A84F388" w14:textId="77777777">
            <w:pPr>
              <w:rPr>
                <w:rFonts w:asciiTheme="majorHAnsi" w:hAnsiTheme="majorHAnsi" w:cstheme="majorHAnsi"/>
                <w:sz w:val="20"/>
                <w:szCs w:val="20"/>
              </w:rPr>
            </w:pPr>
            <w:r w:rsidRPr="003210F5">
              <w:rPr>
                <w:rFonts w:asciiTheme="majorHAnsi" w:hAnsiTheme="majorHAnsi" w:cstheme="majorHAnsi"/>
                <w:sz w:val="20"/>
                <w:szCs w:val="20"/>
              </w:rPr>
              <w:t>immeuble C, chambrée 11</w:t>
            </w:r>
          </w:p>
          <w:p w:rsidRPr="003210F5" w:rsidR="003A74F0" w:rsidP="003210F5" w:rsidRDefault="003A74F0" w14:paraId="097F97E7" w14:textId="77777777">
            <w:pPr>
              <w:rPr>
                <w:rFonts w:asciiTheme="majorHAnsi" w:hAnsiTheme="majorHAnsi" w:cstheme="majorHAnsi"/>
                <w:sz w:val="20"/>
                <w:szCs w:val="20"/>
              </w:rPr>
            </w:pPr>
            <w:r w:rsidRPr="003210F5">
              <w:rPr>
                <w:rFonts w:asciiTheme="majorHAnsi" w:hAnsiTheme="majorHAnsi" w:cstheme="majorHAnsi"/>
                <w:sz w:val="20"/>
                <w:szCs w:val="20"/>
              </w:rPr>
              <w:t>[06/02/2013 –</w:t>
            </w:r>
          </w:p>
          <w:p w:rsidRPr="003210F5" w:rsidR="003A74F0" w:rsidP="003210F5" w:rsidRDefault="003A74F0" w14:paraId="7EF3372E" w14:textId="77777777">
            <w:pPr>
              <w:rPr>
                <w:rFonts w:asciiTheme="majorHAnsi" w:hAnsiTheme="majorHAnsi" w:cstheme="majorHAnsi"/>
                <w:sz w:val="20"/>
                <w:szCs w:val="20"/>
              </w:rPr>
            </w:pPr>
            <w:r w:rsidRPr="003210F5">
              <w:rPr>
                <w:rFonts w:asciiTheme="majorHAnsi" w:hAnsiTheme="majorHAnsi" w:cstheme="majorHAnsi"/>
                <w:sz w:val="20"/>
                <w:szCs w:val="20"/>
              </w:rPr>
              <w:t>09/02/2013</w:t>
            </w:r>
          </w:p>
          <w:p w:rsidRPr="003210F5" w:rsidR="003A74F0" w:rsidP="003210F5" w:rsidRDefault="003A74F0" w14:paraId="5398DDBD" w14:textId="77777777">
            <w:pPr>
              <w:rPr>
                <w:rFonts w:asciiTheme="majorHAnsi" w:hAnsiTheme="majorHAnsi" w:cstheme="majorHAnsi"/>
                <w:sz w:val="20"/>
                <w:szCs w:val="20"/>
              </w:rPr>
            </w:pPr>
            <w:r w:rsidRPr="003210F5">
              <w:rPr>
                <w:rFonts w:asciiTheme="majorHAnsi" w:hAnsiTheme="majorHAnsi" w:cstheme="majorHAnsi"/>
                <w:sz w:val="20"/>
                <w:szCs w:val="20"/>
              </w:rPr>
              <w:t>Il a enfreint la permission de sortie]</w:t>
            </w:r>
          </w:p>
        </w:tc>
        <w:tc>
          <w:tcPr>
            <w:tcW w:w="1022" w:type="pct"/>
          </w:tcPr>
          <w:p w:rsidRPr="003210F5" w:rsidR="003A74F0" w:rsidP="003210F5" w:rsidRDefault="003A74F0" w14:paraId="2A7F8995" w14:textId="77777777">
            <w:pPr>
              <w:rPr>
                <w:rFonts w:asciiTheme="majorHAnsi" w:hAnsiTheme="majorHAnsi" w:cstheme="majorHAnsi"/>
                <w:sz w:val="20"/>
                <w:szCs w:val="20"/>
              </w:rPr>
            </w:pPr>
          </w:p>
        </w:tc>
        <w:tc>
          <w:tcPr>
            <w:tcW w:w="844" w:type="pct"/>
          </w:tcPr>
          <w:p w:rsidRPr="003210F5" w:rsidR="003A74F0" w:rsidP="003210F5" w:rsidRDefault="003A74F0" w14:paraId="79CDDE82" w14:textId="77777777">
            <w:pPr>
              <w:rPr>
                <w:rFonts w:asciiTheme="majorHAnsi" w:hAnsiTheme="majorHAnsi" w:cstheme="majorHAnsi"/>
                <w:sz w:val="20"/>
                <w:szCs w:val="20"/>
              </w:rPr>
            </w:pPr>
          </w:p>
        </w:tc>
      </w:tr>
    </w:tbl>
    <w:p w:rsidRPr="003210F5" w:rsidR="003A74F0" w:rsidP="003210F5" w:rsidRDefault="003A74F0" w14:paraId="0ADA7D85" w14:textId="77777777">
      <w:pPr>
        <w:jc w:val="both"/>
      </w:pPr>
    </w:p>
    <w:bookmarkStart w:name="five" w:id="10"/>
    <w:p w:rsidRPr="003210F5" w:rsidR="003A74F0" w:rsidP="003210F5" w:rsidRDefault="003A74F0" w14:paraId="7B0E12F5" w14:textId="70A18388">
      <w:pPr>
        <w:pStyle w:val="JuPara"/>
        <w:rPr>
          <w:rStyle w:val="JuParaChar"/>
        </w:rPr>
      </w:pPr>
      <w:r w:rsidRPr="003210F5">
        <w:fldChar w:fldCharType="begin"/>
      </w:r>
      <w:r w:rsidRPr="003210F5">
        <w:instrText xml:space="preserve"> SEQ level0 \*arabic </w:instrText>
      </w:r>
      <w:r w:rsidRPr="003210F5">
        <w:fldChar w:fldCharType="separate"/>
      </w:r>
      <w:r w:rsidRPr="003210F5" w:rsidR="003210F5">
        <w:rPr>
          <w:noProof/>
        </w:rPr>
        <w:t>5</w:t>
      </w:r>
      <w:r w:rsidRPr="003210F5">
        <w:fldChar w:fldCharType="end"/>
      </w:r>
      <w:bookmarkEnd w:id="10"/>
      <w:r w:rsidRPr="003210F5">
        <w:t>.  </w:t>
      </w:r>
      <w:r w:rsidRPr="003210F5">
        <w:rPr>
          <w:rStyle w:val="JuParaChar"/>
        </w:rPr>
        <w:t>Le 15 mars 2013, les requérants désignés sous les nos 1, 2, 4 à 8, 10 à 20, 22, 25 à 30 et 32 à 34, ainsi que trois autres codétenus, ont adressé une requête, fondée sur l</w:t>
      </w:r>
      <w:r w:rsidRPr="003210F5" w:rsidR="003210F5">
        <w:rPr>
          <w:rStyle w:val="JuParaChar"/>
        </w:rPr>
        <w:t>’</w:t>
      </w:r>
      <w:r w:rsidRPr="003210F5">
        <w:rPr>
          <w:rStyle w:val="JuParaChar"/>
        </w:rPr>
        <w:t>article 572 du code de procédure pénale, au procureur près le tribunal correctionnel de Polygyros (Εισαγγελέας Πλημμελειοδικών) qui était le procureur superviseur compétent pour la prison de Kassandra. Ils se plaignaient de leurs conditions de détention. Invoquant plusieurs dispositions de la Convention, ils demandaient la prise de mesures immédiates de nature à améliorer les conditions de détention. Les requérants allèguent qu</w:t>
      </w:r>
      <w:r w:rsidRPr="003210F5" w:rsidR="003210F5">
        <w:rPr>
          <w:rStyle w:val="JuParaChar"/>
        </w:rPr>
        <w:t>’</w:t>
      </w:r>
      <w:r w:rsidRPr="003210F5">
        <w:rPr>
          <w:rStyle w:val="JuParaChar"/>
        </w:rPr>
        <w:t>ils n</w:t>
      </w:r>
      <w:r w:rsidRPr="003210F5" w:rsidR="003210F5">
        <w:rPr>
          <w:rStyle w:val="JuParaChar"/>
        </w:rPr>
        <w:t>’</w:t>
      </w:r>
      <w:r w:rsidRPr="003210F5">
        <w:rPr>
          <w:rStyle w:val="JuParaChar"/>
        </w:rPr>
        <w:t>ont reçu aucune réponse du procureur superviseur et qu</w:t>
      </w:r>
      <w:r w:rsidRPr="003210F5" w:rsidR="003210F5">
        <w:rPr>
          <w:rStyle w:val="JuParaChar"/>
        </w:rPr>
        <w:t>’</w:t>
      </w:r>
      <w:r w:rsidRPr="003210F5">
        <w:rPr>
          <w:rStyle w:val="JuParaChar"/>
        </w:rPr>
        <w:t>il n</w:t>
      </w:r>
      <w:r w:rsidRPr="003210F5" w:rsidR="003210F5">
        <w:rPr>
          <w:rStyle w:val="JuParaChar"/>
        </w:rPr>
        <w:t>’</w:t>
      </w:r>
      <w:r w:rsidRPr="003210F5">
        <w:rPr>
          <w:rStyle w:val="JuParaChar"/>
        </w:rPr>
        <w:t>y a eu aucune amélioration des conditions de détention.</w:t>
      </w:r>
    </w:p>
    <w:p w:rsidRPr="003210F5" w:rsidR="003A74F0" w:rsidP="003210F5" w:rsidRDefault="003A74F0" w14:paraId="65FA3152" w14:textId="77777777">
      <w:pPr>
        <w:pStyle w:val="JuHA"/>
      </w:pPr>
      <w:bookmarkStart w:name="_Hlk62486137" w:id="11"/>
      <w:r w:rsidRPr="003210F5">
        <w:t>La version des requérants concernant leurs conditions de détention</w:t>
      </w:r>
    </w:p>
    <w:bookmarkStart w:name="six" w:id="12"/>
    <w:bookmarkEnd w:id="11"/>
    <w:p w:rsidRPr="003210F5" w:rsidR="003A74F0" w:rsidP="003210F5" w:rsidRDefault="003A74F0" w14:paraId="4A42FB6B" w14:textId="012A4FC9">
      <w:pPr>
        <w:pStyle w:val="JuPara"/>
        <w:rPr>
          <w:rFonts w:cs="Times New Roman" w:eastAsiaTheme="minorEastAsia"/>
          <w:szCs w:val="22"/>
        </w:rPr>
      </w:pPr>
      <w:r w:rsidRPr="003210F5">
        <w:fldChar w:fldCharType="begin"/>
      </w:r>
      <w:r w:rsidRPr="003210F5">
        <w:instrText xml:space="preserve"> SEQ level0 \*arabic </w:instrText>
      </w:r>
      <w:r w:rsidRPr="003210F5">
        <w:fldChar w:fldCharType="separate"/>
      </w:r>
      <w:r w:rsidRPr="003210F5" w:rsidR="003210F5">
        <w:rPr>
          <w:noProof/>
        </w:rPr>
        <w:t>6</w:t>
      </w:r>
      <w:r w:rsidRPr="003210F5">
        <w:fldChar w:fldCharType="end"/>
      </w:r>
      <w:bookmarkEnd w:id="12"/>
      <w:r w:rsidRPr="003210F5">
        <w:t>.  Les requérants soutiennent qu</w:t>
      </w:r>
      <w:r w:rsidRPr="003210F5" w:rsidR="003210F5">
        <w:t>’</w:t>
      </w:r>
      <w:r w:rsidRPr="003210F5">
        <w:t>ils ont été détenus dans des conditions inhumaines et dégradantes. En particulier, ils allèguent qu</w:t>
      </w:r>
      <w:r w:rsidRPr="003210F5" w:rsidR="003210F5">
        <w:t>’</w:t>
      </w:r>
      <w:r w:rsidRPr="003210F5">
        <w:t>ils disposaient d</w:t>
      </w:r>
      <w:r w:rsidRPr="003210F5" w:rsidR="003210F5">
        <w:t>’</w:t>
      </w:r>
      <w:r w:rsidRPr="003210F5">
        <w:t>un lit assemblable et d</w:t>
      </w:r>
      <w:r w:rsidRPr="003210F5" w:rsidR="003210F5">
        <w:t>’</w:t>
      </w:r>
      <w:r w:rsidRPr="003210F5">
        <w:t>un chevet, et qu</w:t>
      </w:r>
      <w:r w:rsidRPr="003210F5" w:rsidR="003210F5">
        <w:t>’</w:t>
      </w:r>
      <w:r w:rsidRPr="003210F5">
        <w:t>ils n</w:t>
      </w:r>
      <w:r w:rsidRPr="003210F5" w:rsidR="003210F5">
        <w:t>’</w:t>
      </w:r>
      <w:r w:rsidRPr="003210F5">
        <w:t>avaient que des oreillers atypiques, faits par les détenus à l</w:t>
      </w:r>
      <w:r w:rsidRPr="003210F5" w:rsidR="003210F5">
        <w:t>’</w:t>
      </w:r>
      <w:r w:rsidRPr="003210F5">
        <w:t>aide de vêtements. Faute de salle à manger, les détenus auraient mangé sur les lits dotés de matelas très sales et vieux. Les chambrées n</w:t>
      </w:r>
      <w:r w:rsidRPr="003210F5" w:rsidR="003210F5">
        <w:t>’</w:t>
      </w:r>
      <w:r w:rsidRPr="003210F5">
        <w:t xml:space="preserve">auraient été équipées ni de chaises ni de tables. Selon </w:t>
      </w:r>
      <w:r w:rsidRPr="003210F5">
        <w:rPr>
          <w:rFonts w:ascii="Times New Roman" w:hAnsi="Times New Roman" w:eastAsia="Times New Roman" w:cs="Times New Roman"/>
        </w:rPr>
        <w:t>les requérants, le nombre des détenus par chambrée était d</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 xml:space="preserve">environ 17 et </w:t>
      </w:r>
      <w:r w:rsidRPr="003210F5">
        <w:t>chaque détenu avait moins de 3 m</w:t>
      </w:r>
      <w:r w:rsidRPr="003210F5">
        <w:rPr>
          <w:sz w:val="22"/>
          <w:vertAlign w:val="superscript"/>
        </w:rPr>
        <w:t>2</w:t>
      </w:r>
      <w:r w:rsidRPr="003210F5">
        <w:t xml:space="preserve"> d</w:t>
      </w:r>
      <w:r w:rsidRPr="003210F5" w:rsidR="003210F5">
        <w:t>’</w:t>
      </w:r>
      <w:r w:rsidRPr="003210F5">
        <w:t>espace personnel. Les lits auraient été espacés de 20 centimètres.</w:t>
      </w:r>
    </w:p>
    <w:bookmarkStart w:name="seven" w:id="13"/>
    <w:p w:rsidRPr="003210F5" w:rsidR="003A74F0" w:rsidP="003210F5" w:rsidRDefault="003A74F0" w14:paraId="06B40F8B" w14:textId="4D2FC0F7">
      <w:pPr>
        <w:pStyle w:val="JuPara"/>
      </w:pPr>
      <w:r w:rsidRPr="003210F5">
        <w:fldChar w:fldCharType="begin"/>
      </w:r>
      <w:r w:rsidRPr="003210F5">
        <w:instrText xml:space="preserve"> SEQ level0 \*arabic </w:instrText>
      </w:r>
      <w:r w:rsidRPr="003210F5">
        <w:fldChar w:fldCharType="separate"/>
      </w:r>
      <w:r w:rsidRPr="003210F5" w:rsidR="003210F5">
        <w:rPr>
          <w:noProof/>
        </w:rPr>
        <w:t>7</w:t>
      </w:r>
      <w:r w:rsidRPr="003210F5">
        <w:fldChar w:fldCharType="end"/>
      </w:r>
      <w:bookmarkEnd w:id="13"/>
      <w:r w:rsidRPr="003210F5">
        <w:t>.  Ils allèguent que dans chaque chambrée il y avait deux toilettes, dont l</w:t>
      </w:r>
      <w:r w:rsidRPr="003210F5" w:rsidR="003210F5">
        <w:t>’</w:t>
      </w:r>
      <w:r w:rsidRPr="003210F5">
        <w:t>une était transformée en lieu de douches d</w:t>
      </w:r>
      <w:r w:rsidRPr="003210F5" w:rsidR="003210F5">
        <w:t>’</w:t>
      </w:r>
      <w:r w:rsidRPr="003210F5">
        <w:t>où sortaient des rats. Ils disent que, en moyenne, une toilette correspondait à 17 personnes et que les conditions d</w:t>
      </w:r>
      <w:r w:rsidRPr="003210F5" w:rsidR="003210F5">
        <w:t>’</w:t>
      </w:r>
      <w:r w:rsidRPr="003210F5">
        <w:t>hygiène étaient primitives voire déplorables. Selon eux, il n</w:t>
      </w:r>
      <w:r w:rsidRPr="003210F5" w:rsidR="003210F5">
        <w:t>’</w:t>
      </w:r>
      <w:r w:rsidRPr="003210F5">
        <w:t>y avait ni machine à laver ni étuve et tout le linge devait être lavé à la main.</w:t>
      </w:r>
    </w:p>
    <w:p w:rsidRPr="003210F5" w:rsidR="003A74F0" w:rsidP="003210F5" w:rsidRDefault="003A74F0" w14:paraId="44C4E88A" w14:textId="393CE88C">
      <w:pPr>
        <w:pStyle w:val="JuPara"/>
      </w:pPr>
      <w:r w:rsidRPr="003210F5">
        <w:fldChar w:fldCharType="begin"/>
      </w:r>
      <w:r w:rsidRPr="003210F5">
        <w:instrText xml:space="preserve"> SEQ level0 \*arabic </w:instrText>
      </w:r>
      <w:r w:rsidRPr="003210F5">
        <w:fldChar w:fldCharType="separate"/>
      </w:r>
      <w:r w:rsidRPr="003210F5" w:rsidR="003210F5">
        <w:rPr>
          <w:noProof/>
        </w:rPr>
        <w:t>8</w:t>
      </w:r>
      <w:r w:rsidRPr="003210F5">
        <w:fldChar w:fldCharType="end"/>
      </w:r>
      <w:r w:rsidRPr="003210F5">
        <w:t>.  Les requérants affirment que les repas étaient de mauvaise qualité nutritionnelle, ce qui aurait contribué à l</w:t>
      </w:r>
      <w:r w:rsidRPr="003210F5" w:rsidR="003210F5">
        <w:t>’</w:t>
      </w:r>
      <w:r w:rsidRPr="003210F5">
        <w:t>affaiblissement de leur système immunitaire. D</w:t>
      </w:r>
      <w:r w:rsidRPr="003210F5" w:rsidR="003210F5">
        <w:t>’</w:t>
      </w:r>
      <w:r w:rsidRPr="003210F5">
        <w:t>après eux, de la viande n</w:t>
      </w:r>
      <w:r w:rsidRPr="003210F5" w:rsidR="003210F5">
        <w:t>’</w:t>
      </w:r>
      <w:r w:rsidRPr="003210F5">
        <w:t>était proposée qu</w:t>
      </w:r>
      <w:r w:rsidRPr="003210F5" w:rsidR="003210F5">
        <w:t>’</w:t>
      </w:r>
      <w:r w:rsidRPr="003210F5">
        <w:t>une fois par semaine et en très petite quantité, et ceux qui travaillaient dans la cuisine n</w:t>
      </w:r>
      <w:r w:rsidRPr="003210F5" w:rsidR="003210F5">
        <w:t>’</w:t>
      </w:r>
      <w:r w:rsidRPr="003210F5">
        <w:t>étaient pas testés pour des maladies infectieuses et contagieuses.</w:t>
      </w:r>
    </w:p>
    <w:p w:rsidRPr="003210F5" w:rsidR="003A74F0" w:rsidP="003210F5" w:rsidRDefault="003A74F0" w14:paraId="5119D3F1" w14:textId="74287D36">
      <w:pPr>
        <w:pStyle w:val="JuPara"/>
      </w:pPr>
      <w:r w:rsidRPr="003210F5">
        <w:fldChar w:fldCharType="begin"/>
      </w:r>
      <w:r w:rsidRPr="003210F5">
        <w:instrText xml:space="preserve"> SEQ level0 \*arabic </w:instrText>
      </w:r>
      <w:r w:rsidRPr="003210F5">
        <w:fldChar w:fldCharType="separate"/>
      </w:r>
      <w:r w:rsidRPr="003210F5" w:rsidR="003210F5">
        <w:rPr>
          <w:noProof/>
        </w:rPr>
        <w:t>9</w:t>
      </w:r>
      <w:r w:rsidRPr="003210F5">
        <w:fldChar w:fldCharType="end"/>
      </w:r>
      <w:r w:rsidRPr="003210F5">
        <w:t>.  Les requérants ajoutent que le chauffage fonctionnait de 19 h 30 à 21 h 30, ce qui aurait été traumatisant pour les détenus, qui tremblaient de froid surtout pendant la nuit. Les détenus n</w:t>
      </w:r>
      <w:r w:rsidRPr="003210F5" w:rsidR="003210F5">
        <w:t>’</w:t>
      </w:r>
      <w:r w:rsidRPr="003210F5">
        <w:t>avaient à leur disposition qu</w:t>
      </w:r>
      <w:r w:rsidRPr="003210F5" w:rsidR="003210F5">
        <w:t>’</w:t>
      </w:r>
      <w:r w:rsidRPr="003210F5">
        <w:t>une couverture et ils dormaient vêtus de pull-overs. L</w:t>
      </w:r>
      <w:r w:rsidRPr="003210F5" w:rsidR="003210F5">
        <w:t>’</w:t>
      </w:r>
      <w:r w:rsidRPr="003210F5">
        <w:t>humidité aurait rendu l</w:t>
      </w:r>
      <w:r w:rsidRPr="003210F5" w:rsidR="003210F5">
        <w:t>’</w:t>
      </w:r>
      <w:r w:rsidRPr="003210F5">
        <w:t>environnement encore plus mauvais pour la santé.</w:t>
      </w:r>
    </w:p>
    <w:bookmarkStart w:name="ten" w:id="14"/>
    <w:p w:rsidRPr="003210F5" w:rsidR="003A74F0" w:rsidP="003210F5" w:rsidRDefault="003A74F0" w14:paraId="66E4AE46" w14:textId="0516D515">
      <w:pPr>
        <w:pStyle w:val="JuPara"/>
      </w:pPr>
      <w:r w:rsidRPr="003210F5">
        <w:fldChar w:fldCharType="begin"/>
      </w:r>
      <w:r w:rsidRPr="003210F5">
        <w:instrText xml:space="preserve"> SEQ level0 \*arabic </w:instrText>
      </w:r>
      <w:r w:rsidRPr="003210F5">
        <w:fldChar w:fldCharType="separate"/>
      </w:r>
      <w:r w:rsidRPr="003210F5" w:rsidR="003210F5">
        <w:rPr>
          <w:noProof/>
        </w:rPr>
        <w:t>10</w:t>
      </w:r>
      <w:r w:rsidRPr="003210F5">
        <w:fldChar w:fldCharType="end"/>
      </w:r>
      <w:bookmarkEnd w:id="14"/>
      <w:r w:rsidRPr="003210F5">
        <w:t>.  Les requérants dénoncent également un manque d</w:t>
      </w:r>
      <w:r w:rsidRPr="003210F5" w:rsidR="003210F5">
        <w:t>’</w:t>
      </w:r>
      <w:r w:rsidRPr="003210F5">
        <w:t>activités récréatives, éducatives et de préparation à la réinsertion des détenus. Ils disent que les détenus n</w:t>
      </w:r>
      <w:r w:rsidRPr="003210F5" w:rsidR="003210F5">
        <w:t>’</w:t>
      </w:r>
      <w:r w:rsidRPr="003210F5">
        <w:t>avaient pas un accès suffisant aux informations (journaux, internet, par exemple). D</w:t>
      </w:r>
      <w:r w:rsidRPr="003210F5" w:rsidR="003210F5">
        <w:t>’</w:t>
      </w:r>
      <w:r w:rsidRPr="003210F5">
        <w:t>après eux, il y avait dans la cour de la prison seulement six téléphones pour plus de 170 détenus, qui étaient disponibles jusqu</w:t>
      </w:r>
      <w:r w:rsidRPr="003210F5" w:rsidR="003210F5">
        <w:t>’</w:t>
      </w:r>
      <w:r w:rsidRPr="003210F5">
        <w:t>à 17 h 30, heure de fermeture de la cour, mais inutilisables quand il pleuvait vu que la cour n</w:t>
      </w:r>
      <w:r w:rsidRPr="003210F5" w:rsidR="003210F5">
        <w:t>’</w:t>
      </w:r>
      <w:r w:rsidRPr="003210F5">
        <w:t>était pas couverte.</w:t>
      </w:r>
    </w:p>
    <w:p w:rsidRPr="003210F5" w:rsidR="003A74F0" w:rsidP="003210F5" w:rsidRDefault="003A74F0" w14:paraId="6DFE9895" w14:textId="1E79DCF6">
      <w:pPr>
        <w:pStyle w:val="JuPara"/>
      </w:pPr>
      <w:r w:rsidRPr="003210F5">
        <w:fldChar w:fldCharType="begin"/>
      </w:r>
      <w:r w:rsidRPr="003210F5">
        <w:instrText xml:space="preserve"> SEQ level0 \*arabic </w:instrText>
      </w:r>
      <w:r w:rsidRPr="003210F5">
        <w:fldChar w:fldCharType="separate"/>
      </w:r>
      <w:r w:rsidRPr="003210F5" w:rsidR="003210F5">
        <w:rPr>
          <w:noProof/>
        </w:rPr>
        <w:t>11</w:t>
      </w:r>
      <w:r w:rsidRPr="003210F5">
        <w:fldChar w:fldCharType="end"/>
      </w:r>
      <w:r w:rsidRPr="003210F5">
        <w:t>.  Ils allèguent que le suivi médical était insuffisant et que les installations sanitaires étaient partagées avec des personnes qui souffraient de maladies infectieuses et contagieuses. Ils disent qu</w:t>
      </w:r>
      <w:r w:rsidRPr="003210F5" w:rsidR="003210F5">
        <w:t>’</w:t>
      </w:r>
      <w:r w:rsidRPr="003210F5">
        <w:t>il n</w:t>
      </w:r>
      <w:r w:rsidRPr="003210F5" w:rsidR="003210F5">
        <w:t>’</w:t>
      </w:r>
      <w:r w:rsidRPr="003210F5">
        <w:t>y avait pas de médecin dans la prison, contrairement à ce que prévoyait la législation, ni de psychiatre, qu</w:t>
      </w:r>
      <w:r w:rsidRPr="003210F5" w:rsidR="003210F5">
        <w:t>’</w:t>
      </w:r>
      <w:r w:rsidRPr="003210F5">
        <w:t>un médecin se rendait dans le centre pénitentiaire une ou deux fois par semaine et qu</w:t>
      </w:r>
      <w:r w:rsidRPr="003210F5" w:rsidR="003210F5">
        <w:t>’</w:t>
      </w:r>
      <w:r w:rsidRPr="003210F5">
        <w:t>une infirmière s</w:t>
      </w:r>
      <w:r w:rsidRPr="003210F5" w:rsidR="003210F5">
        <w:t>’</w:t>
      </w:r>
      <w:r w:rsidRPr="003210F5">
        <w:t>occupait des besoins en médicaments. Ils allèguent que les détenus non-fumeurs étaient exposés au tabagisme passif. Ils indiquent que le requérant désigné sous le n</w:t>
      </w:r>
      <w:r w:rsidRPr="003210F5">
        <w:rPr>
          <w:vertAlign w:val="superscript"/>
        </w:rPr>
        <w:t>o</w:t>
      </w:r>
      <w:r w:rsidRPr="003210F5">
        <w:t xml:space="preserve"> 24 avait été atteint d</w:t>
      </w:r>
      <w:r w:rsidRPr="003210F5" w:rsidR="003210F5">
        <w:t>’</w:t>
      </w:r>
      <w:r w:rsidRPr="003210F5">
        <w:t>hépatites pendant sa détention, sans préciser dans quelle prison et sans fournir d</w:t>
      </w:r>
      <w:r w:rsidRPr="003210F5" w:rsidR="003210F5">
        <w:t>’</w:t>
      </w:r>
      <w:r w:rsidRPr="003210F5">
        <w:t>autres données médicales sur son état de santé. Aucune information concrète concernant en particulier l</w:t>
      </w:r>
      <w:r w:rsidRPr="003210F5" w:rsidR="003210F5">
        <w:t>’</w:t>
      </w:r>
      <w:r w:rsidRPr="003210F5">
        <w:t>état de santé des détenus n</w:t>
      </w:r>
      <w:r w:rsidRPr="003210F5" w:rsidR="003210F5">
        <w:t>’</w:t>
      </w:r>
      <w:r w:rsidRPr="003210F5">
        <w:t>a été fournie à la Cour.</w:t>
      </w:r>
    </w:p>
    <w:bookmarkStart w:name="twelve" w:id="15"/>
    <w:p w:rsidRPr="003210F5" w:rsidR="003A74F0" w:rsidP="003210F5" w:rsidRDefault="003A74F0" w14:paraId="5B306E35" w14:textId="62FB415E">
      <w:pPr>
        <w:pStyle w:val="JuPara"/>
      </w:pPr>
      <w:r w:rsidRPr="003210F5">
        <w:fldChar w:fldCharType="begin"/>
      </w:r>
      <w:r w:rsidRPr="003210F5">
        <w:instrText xml:space="preserve"> SEQ level0 \*arabic </w:instrText>
      </w:r>
      <w:r w:rsidRPr="003210F5">
        <w:fldChar w:fldCharType="separate"/>
      </w:r>
      <w:r w:rsidRPr="003210F5" w:rsidR="003210F5">
        <w:rPr>
          <w:noProof/>
        </w:rPr>
        <w:t>12</w:t>
      </w:r>
      <w:r w:rsidRPr="003210F5">
        <w:fldChar w:fldCharType="end"/>
      </w:r>
      <w:bookmarkEnd w:id="15"/>
      <w:r w:rsidRPr="003210F5">
        <w:t>.  Les requérants décrivent de façon générale, sans donner de précisions, que plusieurs détenus étaient des toxicomanes et que concernant le processus de désintoxication il n</w:t>
      </w:r>
      <w:r w:rsidRPr="003210F5" w:rsidR="003210F5">
        <w:t>’</w:t>
      </w:r>
      <w:r w:rsidRPr="003210F5">
        <w:t>y avait pas de soins médicaux. Ils allèguent que, dès leur incarcération, ces détenus étaient soumis à une « désintoxication abrupte », sans suivi médical par un spécialiste et un psychologue. Pendant les premiers jours, les toxicomanes auraient été complétement privés de traitements de substitution, ce qui aurait mis directement en danger leur intégrité physique et psychologique ou leur vie. Cependant, les requérants ne précisent pas qui étaient les détenus toxicomanes ni comment ceux-ci auraient été affectés par les carences alléguées du processus thérapeutique.</w:t>
      </w:r>
    </w:p>
    <w:p w:rsidRPr="003210F5" w:rsidR="003A74F0" w:rsidP="003210F5" w:rsidRDefault="003A74F0" w14:paraId="6C00DE9D" w14:textId="22F035A6">
      <w:pPr>
        <w:pStyle w:val="JuHA"/>
      </w:pPr>
      <w:r w:rsidRPr="003210F5">
        <w:t>La version du Gouvernement concernant les conditions de détention</w:t>
      </w:r>
    </w:p>
    <w:bookmarkStart w:name="thirteen" w:id="16"/>
    <w:p w:rsidRPr="003210F5" w:rsidR="003A74F0" w:rsidP="003210F5" w:rsidRDefault="003A74F0" w14:paraId="7869146F" w14:textId="0EA3E636">
      <w:pPr>
        <w:pStyle w:val="JuPara"/>
        <w:rPr>
          <w:rFonts w:eastAsia="Times New Roman"/>
        </w:rPr>
      </w:pPr>
      <w:r w:rsidRPr="003210F5">
        <w:fldChar w:fldCharType="begin"/>
      </w:r>
      <w:r w:rsidRPr="003210F5">
        <w:instrText xml:space="preserve"> SEQ level0 \*arabic </w:instrText>
      </w:r>
      <w:r w:rsidRPr="003210F5">
        <w:fldChar w:fldCharType="separate"/>
      </w:r>
      <w:r w:rsidRPr="003210F5" w:rsidR="003210F5">
        <w:rPr>
          <w:noProof/>
        </w:rPr>
        <w:t>13</w:t>
      </w:r>
      <w:r w:rsidRPr="003210F5">
        <w:fldChar w:fldCharType="end"/>
      </w:r>
      <w:bookmarkEnd w:id="16"/>
      <w:r w:rsidRPr="003210F5">
        <w:t>.  </w:t>
      </w:r>
      <w:r w:rsidRPr="003210F5">
        <w:rPr>
          <w:rFonts w:eastAsia="Times New Roman"/>
        </w:rPr>
        <w:t>Le Gouvernement affirme que la prison de Kassandra est une prison agricole qui appartient aux établissements pénitentiaires spéciaux, dont le fonctionnement est régi par l</w:t>
      </w:r>
      <w:r w:rsidRPr="003210F5" w:rsidR="003210F5">
        <w:rPr>
          <w:rFonts w:eastAsia="Times New Roman"/>
        </w:rPr>
        <w:t>’</w:t>
      </w:r>
      <w:r w:rsidRPr="003210F5">
        <w:rPr>
          <w:rFonts w:eastAsia="Times New Roman"/>
        </w:rPr>
        <w:t>article 19 du code pénitentiaire (loi n</w:t>
      </w:r>
      <w:r w:rsidRPr="003210F5">
        <w:rPr>
          <w:rFonts w:eastAsia="Times New Roman"/>
          <w:vertAlign w:val="superscript"/>
        </w:rPr>
        <w:t>o</w:t>
      </w:r>
      <w:r w:rsidRPr="003210F5">
        <w:rPr>
          <w:rFonts w:eastAsia="Times New Roman"/>
        </w:rPr>
        <w:t> 2776/1999). Il dit que cet établissement est l</w:t>
      </w:r>
      <w:r w:rsidRPr="003210F5" w:rsidR="003210F5">
        <w:rPr>
          <w:rFonts w:eastAsia="Times New Roman"/>
        </w:rPr>
        <w:t>’</w:t>
      </w:r>
      <w:r w:rsidRPr="003210F5">
        <w:rPr>
          <w:rFonts w:eastAsia="Times New Roman"/>
        </w:rPr>
        <w:t>une des quatre prisons agricoles en Grèce qui se compose d</w:t>
      </w:r>
      <w:r w:rsidRPr="003210F5" w:rsidR="003210F5">
        <w:rPr>
          <w:rFonts w:eastAsia="Times New Roman"/>
        </w:rPr>
        <w:t>’</w:t>
      </w:r>
      <w:r w:rsidRPr="003210F5">
        <w:rPr>
          <w:rFonts w:eastAsia="Times New Roman"/>
        </w:rPr>
        <w:t xml:space="preserve">un établissement central et de trois annexes : </w:t>
      </w:r>
      <w:r w:rsidRPr="003210F5">
        <w:rPr>
          <w:rFonts w:eastAsia="Times New Roman"/>
          <w:i/>
        </w:rPr>
        <w:t>Xenofontos</w:t>
      </w:r>
      <w:r w:rsidRPr="003210F5">
        <w:rPr>
          <w:rFonts w:eastAsia="Times New Roman"/>
        </w:rPr>
        <w:t xml:space="preserve">, </w:t>
      </w:r>
      <w:r w:rsidRPr="003210F5">
        <w:rPr>
          <w:rFonts w:eastAsia="Times New Roman"/>
          <w:i/>
        </w:rPr>
        <w:t>Karakalou</w:t>
      </w:r>
      <w:r w:rsidRPr="003210F5">
        <w:rPr>
          <w:rFonts w:eastAsia="Times New Roman"/>
        </w:rPr>
        <w:t xml:space="preserve"> et </w:t>
      </w:r>
      <w:r w:rsidRPr="003210F5">
        <w:rPr>
          <w:rFonts w:eastAsia="Times New Roman"/>
          <w:i/>
        </w:rPr>
        <w:t>Pimniou</w:t>
      </w:r>
      <w:r w:rsidRPr="003210F5">
        <w:rPr>
          <w:rFonts w:eastAsia="Times New Roman"/>
          <w:iCs/>
        </w:rPr>
        <w:t>.</w:t>
      </w:r>
    </w:p>
    <w:p w:rsidRPr="003210F5" w:rsidR="003A74F0" w:rsidP="003210F5" w:rsidRDefault="003A74F0" w14:paraId="7241D9A3" w14:textId="28B1E73F">
      <w:pPr>
        <w:pStyle w:val="JuPara"/>
        <w:rPr>
          <w:rFonts w:eastAsia="Times New Roman"/>
        </w:rPr>
      </w:pPr>
      <w:r w:rsidRPr="003210F5">
        <w:fldChar w:fldCharType="begin"/>
      </w:r>
      <w:r w:rsidRPr="003210F5">
        <w:instrText xml:space="preserve"> SEQ level0 \*arabic </w:instrText>
      </w:r>
      <w:r w:rsidRPr="003210F5">
        <w:fldChar w:fldCharType="separate"/>
      </w:r>
      <w:r w:rsidRPr="003210F5" w:rsidR="003210F5">
        <w:rPr>
          <w:noProof/>
        </w:rPr>
        <w:t>14</w:t>
      </w:r>
      <w:r w:rsidRPr="003210F5">
        <w:fldChar w:fldCharType="end"/>
      </w:r>
      <w:r w:rsidRPr="003210F5">
        <w:t>.  </w:t>
      </w:r>
      <w:r w:rsidRPr="003210F5">
        <w:rPr>
          <w:rFonts w:eastAsia="Times New Roman"/>
        </w:rPr>
        <w:t>L</w:t>
      </w:r>
      <w:r w:rsidRPr="003210F5" w:rsidR="003210F5">
        <w:rPr>
          <w:rFonts w:eastAsia="Times New Roman"/>
        </w:rPr>
        <w:t>’</w:t>
      </w:r>
      <w:r w:rsidRPr="003210F5">
        <w:rPr>
          <w:rFonts w:eastAsia="Times New Roman"/>
        </w:rPr>
        <w:t>établissement central se composait de trois immeubles qui hébergeaient les locaux de séjour de détenus, la cuisine, le four, la salle de repos, la bibliothèque, le dépôt des couvertures et lits, la laverie, le terrain de sports ainsi que le local spécial où séjournaient les étrangers en instance d</w:t>
      </w:r>
      <w:r w:rsidRPr="003210F5" w:rsidR="003210F5">
        <w:rPr>
          <w:rFonts w:eastAsia="Times New Roman"/>
        </w:rPr>
        <w:t>’</w:t>
      </w:r>
      <w:r w:rsidRPr="003210F5">
        <w:rPr>
          <w:rFonts w:eastAsia="Times New Roman"/>
        </w:rPr>
        <w:t>expulsion. Autour des immeubles il y avait une clôture de fil de fer barbelé.</w:t>
      </w:r>
    </w:p>
    <w:p w:rsidRPr="003210F5" w:rsidR="003A74F0" w:rsidP="003210F5" w:rsidRDefault="003A74F0" w14:paraId="63473108" w14:textId="1603173A">
      <w:pPr>
        <w:pStyle w:val="JuPara"/>
        <w:rPr>
          <w:rFonts w:eastAsia="Times New Roman"/>
        </w:rPr>
      </w:pPr>
      <w:r w:rsidRPr="003210F5">
        <w:fldChar w:fldCharType="begin"/>
      </w:r>
      <w:r w:rsidRPr="003210F5">
        <w:instrText xml:space="preserve"> SEQ level0 \*arabic </w:instrText>
      </w:r>
      <w:r w:rsidRPr="003210F5">
        <w:fldChar w:fldCharType="separate"/>
      </w:r>
      <w:r w:rsidRPr="003210F5" w:rsidR="003210F5">
        <w:rPr>
          <w:noProof/>
        </w:rPr>
        <w:t>15</w:t>
      </w:r>
      <w:r w:rsidRPr="003210F5">
        <w:fldChar w:fldCharType="end"/>
      </w:r>
      <w:r w:rsidRPr="003210F5">
        <w:t>.  L</w:t>
      </w:r>
      <w:r w:rsidRPr="003210F5">
        <w:rPr>
          <w:rFonts w:eastAsia="Times New Roman"/>
        </w:rPr>
        <w:t>e local spécial où séjournaient les étrangers en instance d</w:t>
      </w:r>
      <w:r w:rsidRPr="003210F5" w:rsidR="003210F5">
        <w:rPr>
          <w:rFonts w:eastAsia="Times New Roman"/>
        </w:rPr>
        <w:t>’</w:t>
      </w:r>
      <w:r w:rsidRPr="003210F5">
        <w:rPr>
          <w:rFonts w:eastAsia="Times New Roman"/>
        </w:rPr>
        <w:t>expulsion était d</w:t>
      </w:r>
      <w:r w:rsidRPr="003210F5" w:rsidR="003210F5">
        <w:rPr>
          <w:rFonts w:eastAsia="Times New Roman"/>
        </w:rPr>
        <w:t>’</w:t>
      </w:r>
      <w:r w:rsidRPr="003210F5">
        <w:rPr>
          <w:rFonts w:eastAsia="Times New Roman"/>
        </w:rPr>
        <w:t>une superficie de 27,30 m</w:t>
      </w:r>
      <w:r w:rsidRPr="003210F5">
        <w:rPr>
          <w:rFonts w:eastAsia="Times New Roman"/>
          <w:vertAlign w:val="superscript"/>
        </w:rPr>
        <w:t>2</w:t>
      </w:r>
      <w:r w:rsidRPr="003210F5">
        <w:rPr>
          <w:rFonts w:eastAsia="Times New Roman"/>
        </w:rPr>
        <w:t xml:space="preserve"> et disposait d</w:t>
      </w:r>
      <w:r w:rsidRPr="003210F5" w:rsidR="003210F5">
        <w:rPr>
          <w:rFonts w:eastAsia="Times New Roman"/>
        </w:rPr>
        <w:t>’</w:t>
      </w:r>
      <w:r w:rsidRPr="003210F5">
        <w:rPr>
          <w:rFonts w:eastAsia="Times New Roman"/>
        </w:rPr>
        <w:t>un cabinet de toilette et d</w:t>
      </w:r>
      <w:r w:rsidRPr="003210F5" w:rsidR="003210F5">
        <w:rPr>
          <w:rFonts w:eastAsia="Times New Roman"/>
        </w:rPr>
        <w:t>’</w:t>
      </w:r>
      <w:r w:rsidRPr="003210F5">
        <w:rPr>
          <w:rFonts w:eastAsia="Times New Roman"/>
        </w:rPr>
        <w:t>une douche. Il était équipé de lits, de cintres, d</w:t>
      </w:r>
      <w:r w:rsidRPr="003210F5" w:rsidR="003210F5">
        <w:rPr>
          <w:rFonts w:eastAsia="Times New Roman"/>
        </w:rPr>
        <w:t>’</w:t>
      </w:r>
      <w:r w:rsidRPr="003210F5">
        <w:rPr>
          <w:rFonts w:eastAsia="Times New Roman"/>
        </w:rPr>
        <w:t>un téléviseur, d</w:t>
      </w:r>
      <w:r w:rsidRPr="003210F5" w:rsidR="003210F5">
        <w:rPr>
          <w:rFonts w:eastAsia="Times New Roman"/>
        </w:rPr>
        <w:t>’</w:t>
      </w:r>
      <w:r w:rsidRPr="003210F5">
        <w:rPr>
          <w:rFonts w:eastAsia="Times New Roman"/>
        </w:rPr>
        <w:t>une table et d</w:t>
      </w:r>
      <w:r w:rsidRPr="003210F5" w:rsidR="003210F5">
        <w:rPr>
          <w:rFonts w:eastAsia="Times New Roman"/>
        </w:rPr>
        <w:t>’</w:t>
      </w:r>
      <w:r w:rsidRPr="003210F5">
        <w:rPr>
          <w:rFonts w:eastAsia="Times New Roman"/>
        </w:rPr>
        <w:t>un réfrigérateur et il pouvait accueillir jusqu</w:t>
      </w:r>
      <w:r w:rsidRPr="003210F5" w:rsidR="003210F5">
        <w:rPr>
          <w:rFonts w:eastAsia="Times New Roman"/>
        </w:rPr>
        <w:t>’</w:t>
      </w:r>
      <w:r w:rsidRPr="003210F5">
        <w:rPr>
          <w:rFonts w:eastAsia="Times New Roman"/>
        </w:rPr>
        <w:t>à quatre personnes, soit environ 6,5 m</w:t>
      </w:r>
      <w:r w:rsidRPr="003210F5">
        <w:rPr>
          <w:rFonts w:eastAsia="Times New Roman"/>
          <w:vertAlign w:val="superscript"/>
        </w:rPr>
        <w:t>2</w:t>
      </w:r>
      <w:r w:rsidRPr="003210F5">
        <w:rPr>
          <w:rFonts w:eastAsia="Times New Roman"/>
        </w:rPr>
        <w:t xml:space="preserve"> par personne.</w:t>
      </w:r>
    </w:p>
    <w:p w:rsidRPr="003210F5" w:rsidR="003A74F0" w:rsidP="003210F5" w:rsidRDefault="003A74F0" w14:paraId="3D30F29F" w14:textId="585F68D8">
      <w:pPr>
        <w:pStyle w:val="JuPara"/>
      </w:pPr>
      <w:r w:rsidRPr="003210F5">
        <w:fldChar w:fldCharType="begin"/>
      </w:r>
      <w:r w:rsidRPr="003210F5">
        <w:instrText xml:space="preserve"> SEQ level0 \*arabic </w:instrText>
      </w:r>
      <w:r w:rsidRPr="003210F5">
        <w:fldChar w:fldCharType="separate"/>
      </w:r>
      <w:r w:rsidRPr="003210F5" w:rsidR="003210F5">
        <w:rPr>
          <w:noProof/>
        </w:rPr>
        <w:t>16</w:t>
      </w:r>
      <w:r w:rsidRPr="003210F5">
        <w:fldChar w:fldCharType="end"/>
      </w:r>
      <w:r w:rsidRPr="003210F5">
        <w:t>.  L</w:t>
      </w:r>
      <w:r w:rsidRPr="003210F5" w:rsidR="003210F5">
        <w:t>’</w:t>
      </w:r>
      <w:r w:rsidRPr="003210F5">
        <w:t>établissement central comprenait l</w:t>
      </w:r>
      <w:r w:rsidRPr="003210F5" w:rsidR="003210F5">
        <w:t>’</w:t>
      </w:r>
      <w:r w:rsidRPr="003210F5">
        <w:t>immeuble des services administratifs, un dispensaire, une dentisterie, une pharmacie, une salle de visites, une supérette et une salle de loisirs. Les locaux de l</w:t>
      </w:r>
      <w:r w:rsidRPr="003210F5" w:rsidR="003210F5">
        <w:t>’</w:t>
      </w:r>
      <w:r w:rsidRPr="003210F5">
        <w:t>établissement central auraient aussi comporté des unités de production animale et végétale, des ateliers de travaux électriques, d</w:t>
      </w:r>
      <w:r w:rsidRPr="003210F5" w:rsidR="003210F5">
        <w:t>’</w:t>
      </w:r>
      <w:r w:rsidRPr="003210F5">
        <w:t>ingénierie et de menuiserie, des entrepôts, une église, les chambres du personnel ainsi qu</w:t>
      </w:r>
      <w:r w:rsidRPr="003210F5" w:rsidR="003210F5">
        <w:t>’</w:t>
      </w:r>
      <w:r w:rsidRPr="003210F5">
        <w:t>un immeuble destiné aux détenus en régime de semi-liberté qui s</w:t>
      </w:r>
      <w:r w:rsidRPr="003210F5" w:rsidR="003210F5">
        <w:t>’</w:t>
      </w:r>
      <w:r w:rsidRPr="003210F5">
        <w:t>appelaient « </w:t>
      </w:r>
      <w:r w:rsidRPr="003210F5">
        <w:rPr>
          <w:i/>
          <w:iCs/>
        </w:rPr>
        <w:t>logotimites »</w:t>
      </w:r>
      <w:r w:rsidRPr="003210F5">
        <w:t xml:space="preserve"> </w:t>
      </w:r>
      <w:r w:rsidRPr="003210F5">
        <w:rPr>
          <w:i/>
        </w:rPr>
        <w:t>(« </w:t>
      </w:r>
      <w:r w:rsidRPr="003210F5">
        <w:rPr>
          <w:i/>
          <w:lang w:val="el-GR"/>
        </w:rPr>
        <w:t>λογοτιμιτές</w:t>
      </w:r>
      <w:r w:rsidRPr="003210F5">
        <w:rPr>
          <w:i/>
        </w:rPr>
        <w:t> »)</w:t>
      </w:r>
      <w:r w:rsidRPr="003210F5">
        <w:rPr>
          <w:iCs/>
        </w:rPr>
        <w:t>,</w:t>
      </w:r>
      <w:r w:rsidRPr="003210F5">
        <w:t xml:space="preserve"> </w:t>
      </w:r>
      <w:r w:rsidRPr="003210F5">
        <w:rPr>
          <w:rFonts w:ascii="Times New Roman" w:hAnsi="Times New Roman" w:cs="Times New Roman"/>
        </w:rPr>
        <w:t>c</w:t>
      </w:r>
      <w:r w:rsidRPr="003210F5" w:rsidR="003210F5">
        <w:rPr>
          <w:rFonts w:ascii="Times New Roman" w:hAnsi="Times New Roman" w:cs="Times New Roman"/>
        </w:rPr>
        <w:t>’</w:t>
      </w:r>
      <w:r w:rsidRPr="003210F5">
        <w:rPr>
          <w:rFonts w:ascii="Times New Roman" w:hAnsi="Times New Roman" w:cs="Times New Roman"/>
        </w:rPr>
        <w:t>est-à-dire</w:t>
      </w:r>
      <w:r w:rsidRPr="003210F5">
        <w:t xml:space="preserve"> ceux qui honorent leur parole.</w:t>
      </w:r>
    </w:p>
    <w:p w:rsidRPr="003210F5" w:rsidR="003A74F0" w:rsidP="003210F5" w:rsidRDefault="003A74F0" w14:paraId="19D89B20" w14:textId="6AF51D5E">
      <w:pPr>
        <w:pStyle w:val="JuPara"/>
      </w:pPr>
      <w:r w:rsidRPr="003210F5">
        <w:fldChar w:fldCharType="begin"/>
      </w:r>
      <w:r w:rsidRPr="003210F5">
        <w:instrText xml:space="preserve"> SEQ level0 \*arabic </w:instrText>
      </w:r>
      <w:r w:rsidRPr="003210F5">
        <w:fldChar w:fldCharType="separate"/>
      </w:r>
      <w:r w:rsidRPr="003210F5" w:rsidR="003210F5">
        <w:rPr>
          <w:noProof/>
        </w:rPr>
        <w:t>17</w:t>
      </w:r>
      <w:r w:rsidRPr="003210F5">
        <w:fldChar w:fldCharType="end"/>
      </w:r>
      <w:r w:rsidRPr="003210F5">
        <w:t>.  Selon un document établi par le directeur de la prison, les détenus de la prison séjournaient dans les trois immeubles A, B et C, à l</w:t>
      </w:r>
      <w:r w:rsidRPr="003210F5" w:rsidR="003210F5">
        <w:t>’</w:t>
      </w:r>
      <w:r w:rsidRPr="003210F5">
        <w:t>exception des détenus en semi-liberté</w:t>
      </w:r>
      <w:r w:rsidRPr="003210F5">
        <w:rPr>
          <w:b/>
          <w:bCs/>
        </w:rPr>
        <w:t xml:space="preserve">. </w:t>
      </w:r>
      <w:r w:rsidRPr="003210F5">
        <w:t>L</w:t>
      </w:r>
      <w:r w:rsidRPr="003210F5" w:rsidR="003210F5">
        <w:t>’</w:t>
      </w:r>
      <w:r w:rsidRPr="003210F5">
        <w:t>immeuble A, un local fermé, aurait compris les chambrées n</w:t>
      </w:r>
      <w:r w:rsidRPr="003210F5">
        <w:rPr>
          <w:vertAlign w:val="superscript"/>
        </w:rPr>
        <w:t>os</w:t>
      </w:r>
      <w:r w:rsidRPr="003210F5">
        <w:t xml:space="preserve"> 1 à 4. Les immeubles B et C, des locaux ouverts, auraient compris les chambrées n</w:t>
      </w:r>
      <w:r w:rsidRPr="003210F5">
        <w:rPr>
          <w:vertAlign w:val="superscript"/>
        </w:rPr>
        <w:t>os</w:t>
      </w:r>
      <w:r w:rsidRPr="003210F5">
        <w:t xml:space="preserve"> 5 à 12. Les détenus de l</w:t>
      </w:r>
      <w:r w:rsidRPr="003210F5" w:rsidR="003210F5">
        <w:t>’</w:t>
      </w:r>
      <w:r w:rsidRPr="003210F5">
        <w:t>immeuble A auraient été considérés comme des détenus de prison fermée. Les détenus des immeubles B et C seraient quotidiennement sortis pour les travaux agricoles. Les deux types d</w:t>
      </w:r>
      <w:r w:rsidRPr="003210F5" w:rsidR="003210F5">
        <w:t>’</w:t>
      </w:r>
      <w:r w:rsidRPr="003210F5">
        <w:t>immeubles n</w:t>
      </w:r>
      <w:r w:rsidRPr="003210F5" w:rsidR="003210F5">
        <w:t>’</w:t>
      </w:r>
      <w:r w:rsidRPr="003210F5">
        <w:t>auraient été séparés que par une simple clôture basse.</w:t>
      </w:r>
    </w:p>
    <w:p w:rsidRPr="003210F5" w:rsidR="003A74F0" w:rsidP="003210F5" w:rsidRDefault="003A74F0" w14:paraId="25C3DA8A" w14:textId="48B85A12">
      <w:pPr>
        <w:pStyle w:val="JuPara"/>
        <w:rPr>
          <w:rFonts w:eastAsia="Times New Roman" w:cs="Times New Roman"/>
        </w:rPr>
      </w:pPr>
      <w:r w:rsidRPr="003210F5">
        <w:fldChar w:fldCharType="begin"/>
      </w:r>
      <w:r w:rsidRPr="003210F5">
        <w:instrText xml:space="preserve"> SEQ level0 \*arabic </w:instrText>
      </w:r>
      <w:r w:rsidRPr="003210F5">
        <w:fldChar w:fldCharType="separate"/>
      </w:r>
      <w:r w:rsidRPr="003210F5" w:rsidR="003210F5">
        <w:rPr>
          <w:noProof/>
        </w:rPr>
        <w:t>18</w:t>
      </w:r>
      <w:r w:rsidRPr="003210F5">
        <w:fldChar w:fldCharType="end"/>
      </w:r>
      <w:r w:rsidRPr="003210F5">
        <w:t>.  Le Gouvernement expose que chacun des trois immeubles comprenait quatre chambrées, soit un total de douze chambrées. Chaque chambrée aurait été d</w:t>
      </w:r>
      <w:r w:rsidRPr="003210F5" w:rsidR="003210F5">
        <w:t>’</w:t>
      </w:r>
      <w:r w:rsidRPr="003210F5">
        <w:t>une superficie de 80 m</w:t>
      </w:r>
      <w:r w:rsidRPr="003210F5">
        <w:rPr>
          <w:vertAlign w:val="superscript"/>
        </w:rPr>
        <w:t xml:space="preserve">2 </w:t>
      </w:r>
      <w:r w:rsidRPr="003210F5">
        <w:t>et d</w:t>
      </w:r>
      <w:r w:rsidRPr="003210F5" w:rsidR="003210F5">
        <w:t>’</w:t>
      </w:r>
      <w:r w:rsidRPr="003210F5">
        <w:t xml:space="preserve">une capacité à héberger de 15 à 20 détenus. </w:t>
      </w:r>
      <w:r w:rsidRPr="003210F5">
        <w:rPr>
          <w:rFonts w:eastAsia="Times New Roman" w:cs="Times New Roman"/>
        </w:rPr>
        <w:t>La capacité officielle de la prison aurait été de 280 à 300 détenus mais la population carcérale aurait été, durant la période en cause, nettement en deçà de cette capacité. En particulier, le nombre des détenus se serait élevé à 184 au 9 mai 2014, à 168 au 18 juillet 2013, à 175 au 1</w:t>
      </w:r>
      <w:r w:rsidRPr="003210F5">
        <w:rPr>
          <w:rFonts w:eastAsia="Times New Roman" w:cs="Times New Roman"/>
          <w:vertAlign w:val="superscript"/>
        </w:rPr>
        <w:t>er</w:t>
      </w:r>
      <w:r w:rsidRPr="003210F5">
        <w:rPr>
          <w:rFonts w:eastAsia="Times New Roman" w:cs="Times New Roman"/>
        </w:rPr>
        <w:t xml:space="preserve"> janvier 2013 et à 139 au 1</w:t>
      </w:r>
      <w:r w:rsidRPr="003210F5">
        <w:rPr>
          <w:rFonts w:eastAsia="Times New Roman" w:cs="Times New Roman"/>
          <w:vertAlign w:val="superscript"/>
        </w:rPr>
        <w:t>er</w:t>
      </w:r>
      <w:r w:rsidRPr="003210F5">
        <w:rPr>
          <w:rFonts w:eastAsia="Times New Roman" w:cs="Times New Roman"/>
        </w:rPr>
        <w:t> octobre 2012. Le Gouvernement indique aussi que le nombre moyen de détenus était de 166, ce que confirment selon lui les allégations des requérants selon lesquelles il y avait six postes de téléphone pour plus de 170 personnes. Par ailleurs, environ 66 des détenus auraient été en semi-liberté, soit environ 100 détenus séjournant dans les douze chambrées précitées. Le Gouvernement affirme que, chaque chambrée étant d</w:t>
      </w:r>
      <w:r w:rsidRPr="003210F5" w:rsidR="003210F5">
        <w:rPr>
          <w:rFonts w:eastAsia="Times New Roman" w:cs="Times New Roman"/>
        </w:rPr>
        <w:t>’</w:t>
      </w:r>
      <w:r w:rsidRPr="003210F5">
        <w:rPr>
          <w:rFonts w:eastAsia="Times New Roman" w:cs="Times New Roman"/>
        </w:rPr>
        <w:t>une superficie de 80 m</w:t>
      </w:r>
      <w:r w:rsidRPr="003210F5">
        <w:rPr>
          <w:rFonts w:eastAsia="Times New Roman" w:cs="Times New Roman"/>
          <w:vertAlign w:val="superscript"/>
        </w:rPr>
        <w:t>2</w:t>
      </w:r>
      <w:r w:rsidRPr="003210F5">
        <w:rPr>
          <w:rFonts w:eastAsia="Times New Roman" w:cs="Times New Roman"/>
        </w:rPr>
        <w:t>, chaque détenu aurait eu à sa disposition 8 m</w:t>
      </w:r>
      <w:r w:rsidRPr="003210F5">
        <w:rPr>
          <w:rFonts w:eastAsia="Times New Roman" w:cs="Times New Roman"/>
          <w:vertAlign w:val="superscript"/>
        </w:rPr>
        <w:t xml:space="preserve">2 </w:t>
      </w:r>
      <w:r w:rsidRPr="003210F5">
        <w:rPr>
          <w:rFonts w:eastAsia="Times New Roman" w:cs="Times New Roman"/>
        </w:rPr>
        <w:t>en moyenne.</w:t>
      </w:r>
    </w:p>
    <w:p w:rsidRPr="003210F5" w:rsidR="003A74F0" w:rsidP="003210F5" w:rsidRDefault="003A74F0" w14:paraId="65A3B7A6" w14:textId="1988AC17">
      <w:pPr>
        <w:pStyle w:val="JuPara"/>
      </w:pPr>
      <w:r w:rsidRPr="003210F5">
        <w:fldChar w:fldCharType="begin"/>
      </w:r>
      <w:r w:rsidRPr="003210F5">
        <w:instrText xml:space="preserve"> SEQ level0 \*arabic </w:instrText>
      </w:r>
      <w:r w:rsidRPr="003210F5">
        <w:fldChar w:fldCharType="separate"/>
      </w:r>
      <w:r w:rsidRPr="003210F5" w:rsidR="003210F5">
        <w:rPr>
          <w:noProof/>
        </w:rPr>
        <w:t>19</w:t>
      </w:r>
      <w:r w:rsidRPr="003210F5">
        <w:fldChar w:fldCharType="end"/>
      </w:r>
      <w:r w:rsidRPr="003210F5">
        <w:t>.  Le Gouvernement indique que chaque chambrée</w:t>
      </w:r>
      <w:r w:rsidRPr="003210F5">
        <w:rPr>
          <w:b/>
          <w:bCs/>
        </w:rPr>
        <w:t xml:space="preserve"> </w:t>
      </w:r>
      <w:r w:rsidRPr="003210F5">
        <w:t>était composée du local de séjour et de deux sanitaires dont l</w:t>
      </w:r>
      <w:r w:rsidRPr="003210F5" w:rsidR="003210F5">
        <w:t>’</w:t>
      </w:r>
      <w:r w:rsidRPr="003210F5">
        <w:t>un servait de douche. Il allègue aussi que la rénovation des sanitaires avait été confiée à une société de construction.</w:t>
      </w:r>
    </w:p>
    <w:p w:rsidRPr="003210F5" w:rsidR="003A74F0" w:rsidP="003210F5" w:rsidRDefault="003A74F0" w14:paraId="54C93B23" w14:textId="5843DA73">
      <w:pPr>
        <w:pStyle w:val="JuPara"/>
      </w:pPr>
      <w:r w:rsidRPr="003210F5">
        <w:fldChar w:fldCharType="begin"/>
      </w:r>
      <w:r w:rsidRPr="003210F5">
        <w:instrText xml:space="preserve"> SEQ level0 \*arabic </w:instrText>
      </w:r>
      <w:r w:rsidRPr="003210F5">
        <w:fldChar w:fldCharType="separate"/>
      </w:r>
      <w:r w:rsidRPr="003210F5" w:rsidR="003210F5">
        <w:rPr>
          <w:noProof/>
        </w:rPr>
        <w:t>20</w:t>
      </w:r>
      <w:r w:rsidRPr="003210F5">
        <w:fldChar w:fldCharType="end"/>
      </w:r>
      <w:r w:rsidRPr="003210F5">
        <w:t>.  Il ajoute que le local principal était équipé d</w:t>
      </w:r>
      <w:r w:rsidRPr="003210F5" w:rsidR="003210F5">
        <w:t>’</w:t>
      </w:r>
      <w:r w:rsidRPr="003210F5">
        <w:t>un lit avec matelas pour chaque détenu et de cintres, que les détenus pouvaient se procurer des oreillers auprès de la superette de la prison et que les chambrées étaient dotées d</w:t>
      </w:r>
      <w:r w:rsidRPr="003210F5" w:rsidR="003210F5">
        <w:t>’</w:t>
      </w:r>
      <w:r w:rsidRPr="003210F5">
        <w:t>un réfrigérateur, d</w:t>
      </w:r>
      <w:r w:rsidRPr="003210F5" w:rsidR="003210F5">
        <w:t>’</w:t>
      </w:r>
      <w:r w:rsidRPr="003210F5">
        <w:t>un téléviseur et d</w:t>
      </w:r>
      <w:r w:rsidRPr="003210F5" w:rsidR="003210F5">
        <w:t>’</w:t>
      </w:r>
      <w:r w:rsidRPr="003210F5">
        <w:t>une table avec banc pour que les détenus pussent y manger et écrire.</w:t>
      </w:r>
    </w:p>
    <w:p w:rsidRPr="003210F5" w:rsidR="003A74F0" w:rsidP="003210F5" w:rsidRDefault="003A74F0" w14:paraId="46EE93C4" w14:textId="6F2E7CBF">
      <w:pPr>
        <w:pStyle w:val="JuPara"/>
      </w:pPr>
      <w:r w:rsidRPr="003210F5">
        <w:fldChar w:fldCharType="begin"/>
      </w:r>
      <w:r w:rsidRPr="003210F5">
        <w:instrText xml:space="preserve"> SEQ level0 \*arabic </w:instrText>
      </w:r>
      <w:r w:rsidRPr="003210F5">
        <w:fldChar w:fldCharType="separate"/>
      </w:r>
      <w:r w:rsidRPr="003210F5" w:rsidR="003210F5">
        <w:rPr>
          <w:noProof/>
        </w:rPr>
        <w:t>21</w:t>
      </w:r>
      <w:r w:rsidRPr="003210F5">
        <w:fldChar w:fldCharType="end"/>
      </w:r>
      <w:r w:rsidRPr="003210F5">
        <w:t>.  Le Gouvernement expose que de deux côtés de chaque chambrée il y avait trois fenêtres de 1,60 m x 1,80 m et que dans chaque sanitaire il y avait une fenêtre-hublot de 0,50 m à 0,60 m de diamètre. Les locaux en question étaient selon lui éclairés à l</w:t>
      </w:r>
      <w:r w:rsidRPr="003210F5" w:rsidR="003210F5">
        <w:t>’</w:t>
      </w:r>
      <w:r w:rsidRPr="003210F5">
        <w:t>électricité et aérés à l</w:t>
      </w:r>
      <w:r w:rsidRPr="003210F5" w:rsidR="003210F5">
        <w:t>’</w:t>
      </w:r>
      <w:r w:rsidRPr="003210F5">
        <w:t>aide de deux ventilateurs.</w:t>
      </w:r>
    </w:p>
    <w:p w:rsidRPr="003210F5" w:rsidR="003A74F0" w:rsidP="003210F5" w:rsidRDefault="003A74F0" w14:paraId="49A7AF2D" w14:textId="6A3E077D">
      <w:pPr>
        <w:pStyle w:val="JuPara"/>
      </w:pPr>
      <w:r w:rsidRPr="003210F5">
        <w:fldChar w:fldCharType="begin"/>
      </w:r>
      <w:r w:rsidRPr="003210F5">
        <w:instrText xml:space="preserve"> SEQ level0 \*arabic </w:instrText>
      </w:r>
      <w:r w:rsidRPr="003210F5">
        <w:fldChar w:fldCharType="separate"/>
      </w:r>
      <w:r w:rsidRPr="003210F5" w:rsidR="003210F5">
        <w:rPr>
          <w:noProof/>
        </w:rPr>
        <w:t>22</w:t>
      </w:r>
      <w:r w:rsidRPr="003210F5">
        <w:fldChar w:fldCharType="end"/>
      </w:r>
      <w:r w:rsidRPr="003210F5">
        <w:t>.  Les détenus étaient placés dans les douze grandes chambrées des immeubles de l</w:t>
      </w:r>
      <w:r w:rsidRPr="003210F5" w:rsidR="003210F5">
        <w:t>’</w:t>
      </w:r>
      <w:r w:rsidRPr="003210F5">
        <w:t>établissement central en vertu d</w:t>
      </w:r>
      <w:r w:rsidRPr="003210F5" w:rsidR="003210F5">
        <w:t>’</w:t>
      </w:r>
      <w:r w:rsidRPr="003210F5">
        <w:t>une décision du conseil de la prison. Les détenus placés dans les locaux ouverts avaient la faculté de travailler au sein des différentes équipes de travail sous surveillance et, après un certain temps, ils pouvaient être affectés à des postes de travail qualifié (à l</w:t>
      </w:r>
      <w:r w:rsidRPr="003210F5" w:rsidR="003210F5">
        <w:t>’</w:t>
      </w:r>
      <w:r w:rsidRPr="003210F5">
        <w:t>étable, l</w:t>
      </w:r>
      <w:r w:rsidRPr="003210F5" w:rsidR="003210F5">
        <w:t>’</w:t>
      </w:r>
      <w:r w:rsidRPr="003210F5">
        <w:t>atelier d</w:t>
      </w:r>
      <w:r w:rsidRPr="003210F5" w:rsidR="003210F5">
        <w:t>’</w:t>
      </w:r>
      <w:r w:rsidRPr="003210F5">
        <w:t xml:space="preserve">ingénierie etc.) </w:t>
      </w:r>
      <w:r w:rsidRPr="003210F5">
        <w:rPr>
          <w:color w:val="000000" w:themeColor="text1"/>
        </w:rPr>
        <w:t xml:space="preserve">et séjournaient </w:t>
      </w:r>
      <w:r w:rsidRPr="003210F5">
        <w:t>dans l</w:t>
      </w:r>
      <w:r w:rsidRPr="003210F5" w:rsidR="003210F5">
        <w:t>’</w:t>
      </w:r>
      <w:r w:rsidRPr="003210F5">
        <w:t>immeuble de l</w:t>
      </w:r>
      <w:r w:rsidRPr="003210F5" w:rsidR="003210F5">
        <w:t>’</w:t>
      </w:r>
      <w:r w:rsidRPr="003210F5">
        <w:t>établissement central réservé aux détenus en semi-liberté ou dans les annexes. Les détenus placés dans le local fermé ne pouvaient pas participer aux travaux agricoles ou d</w:t>
      </w:r>
      <w:r w:rsidRPr="003210F5" w:rsidR="003210F5">
        <w:t>’</w:t>
      </w:r>
      <w:r w:rsidRPr="003210F5">
        <w:t>élevage avant d</w:t>
      </w:r>
      <w:r w:rsidRPr="003210F5" w:rsidR="003210F5">
        <w:t>’</w:t>
      </w:r>
      <w:r w:rsidRPr="003210F5">
        <w:t>avoir séjourné pendant un certain temps dans la prison et d</w:t>
      </w:r>
      <w:r w:rsidRPr="003210F5" w:rsidR="003210F5">
        <w:t>’</w:t>
      </w:r>
      <w:r w:rsidRPr="003210F5">
        <w:t>être qualifiés de détenus en semi-liberté, pouvant être admis au local ouvert de la prison. Cependant, ces détenus pouvaient être affectés à d</w:t>
      </w:r>
      <w:r w:rsidRPr="003210F5" w:rsidR="003210F5">
        <w:t>’</w:t>
      </w:r>
      <w:r w:rsidRPr="003210F5">
        <w:t>autres postes de travail (par exemple dans la cuisine ou au nettoyage).</w:t>
      </w:r>
    </w:p>
    <w:p w:rsidRPr="003210F5" w:rsidR="003A74F0" w:rsidP="003210F5" w:rsidRDefault="003A74F0" w14:paraId="40F83D8B" w14:textId="4BBA5F4D">
      <w:pPr>
        <w:pStyle w:val="JuPara"/>
      </w:pPr>
      <w:r w:rsidRPr="003210F5">
        <w:fldChar w:fldCharType="begin"/>
      </w:r>
      <w:r w:rsidRPr="003210F5">
        <w:instrText xml:space="preserve"> SEQ level0 \*arabic </w:instrText>
      </w:r>
      <w:r w:rsidRPr="003210F5">
        <w:fldChar w:fldCharType="separate"/>
      </w:r>
      <w:r w:rsidRPr="003210F5" w:rsidR="003210F5">
        <w:rPr>
          <w:noProof/>
        </w:rPr>
        <w:t>23</w:t>
      </w:r>
      <w:r w:rsidRPr="003210F5">
        <w:fldChar w:fldCharType="end"/>
      </w:r>
      <w:r w:rsidRPr="003210F5">
        <w:t>.  Le Gouvernement dit que tous les détenus pouvaient regarder la télévision et écouter la radio ainsi qu</w:t>
      </w:r>
      <w:r w:rsidRPr="003210F5" w:rsidR="003210F5">
        <w:t>’</w:t>
      </w:r>
      <w:r w:rsidRPr="003210F5">
        <w:t>assister à divers évènements dans la salle de loisirs. Selon lui, au cours de l</w:t>
      </w:r>
      <w:r w:rsidRPr="003210F5" w:rsidR="003210F5">
        <w:t>’</w:t>
      </w:r>
      <w:r w:rsidRPr="003210F5">
        <w:t>année 2012, un programme de formation intitulé « conseil aux détenus » était assuré tous les jeudis et vendredis.</w:t>
      </w:r>
    </w:p>
    <w:p w:rsidRPr="003210F5" w:rsidR="003A74F0" w:rsidP="003210F5" w:rsidRDefault="003A74F0" w14:paraId="0E5DE26E" w14:textId="25923B90">
      <w:pPr>
        <w:pStyle w:val="JuPara"/>
      </w:pPr>
      <w:r w:rsidRPr="003210F5">
        <w:fldChar w:fldCharType="begin"/>
      </w:r>
      <w:r w:rsidRPr="003210F5">
        <w:instrText xml:space="preserve"> SEQ level0 \*arabic </w:instrText>
      </w:r>
      <w:r w:rsidRPr="003210F5">
        <w:fldChar w:fldCharType="separate"/>
      </w:r>
      <w:r w:rsidRPr="003210F5" w:rsidR="003210F5">
        <w:rPr>
          <w:noProof/>
        </w:rPr>
        <w:t>24</w:t>
      </w:r>
      <w:r w:rsidRPr="003210F5">
        <w:fldChar w:fldCharType="end"/>
      </w:r>
      <w:r w:rsidRPr="003210F5">
        <w:t>.  Selon lui, la prison disposait du chauffage central au fioul et il y avait tous les jours de l</w:t>
      </w:r>
      <w:r w:rsidRPr="003210F5" w:rsidR="003210F5">
        <w:t>’</w:t>
      </w:r>
      <w:r w:rsidRPr="003210F5">
        <w:t>eau chaude entre 12 et 13 heures et le soir de 20 à 22 heures. Lorsqu</w:t>
      </w:r>
      <w:r w:rsidRPr="003210F5" w:rsidR="003210F5">
        <w:t>’</w:t>
      </w:r>
      <w:r w:rsidRPr="003210F5">
        <w:t>il faisait froid, le chauffage était d</w:t>
      </w:r>
      <w:r w:rsidRPr="003210F5" w:rsidR="003210F5">
        <w:t>’</w:t>
      </w:r>
      <w:r w:rsidRPr="003210F5">
        <w:t>après lui prolongé.</w:t>
      </w:r>
    </w:p>
    <w:p w:rsidRPr="003210F5" w:rsidR="003A74F0" w:rsidP="003210F5" w:rsidRDefault="003A74F0" w14:paraId="00A10B25" w14:textId="5725FB46">
      <w:pPr>
        <w:pStyle w:val="JuPara"/>
      </w:pPr>
      <w:r w:rsidRPr="003210F5">
        <w:fldChar w:fldCharType="begin"/>
      </w:r>
      <w:r w:rsidRPr="003210F5">
        <w:instrText xml:space="preserve"> SEQ level0 \*arabic </w:instrText>
      </w:r>
      <w:r w:rsidRPr="003210F5">
        <w:fldChar w:fldCharType="separate"/>
      </w:r>
      <w:r w:rsidRPr="003210F5" w:rsidR="003210F5">
        <w:rPr>
          <w:noProof/>
        </w:rPr>
        <w:t>25</w:t>
      </w:r>
      <w:r w:rsidRPr="003210F5">
        <w:fldChar w:fldCharType="end"/>
      </w:r>
      <w:r w:rsidRPr="003210F5">
        <w:t>.  Le Gouvernement a produit un programme quotidien pour les détenus du local fermé et du local ouvert, selon lequel ceux-ci devaient rester dans les dortoirs du coucher du soleil jusqu</w:t>
      </w:r>
      <w:r w:rsidRPr="003210F5" w:rsidR="003210F5">
        <w:t>’</w:t>
      </w:r>
      <w:r w:rsidRPr="003210F5">
        <w:t>à 7 h 30 puis de 13 h 30 à 14 h 30. Il précise que le programme quotidien des autres détenus était adapté aux particularités de chaque cas et du travail qui leur était confié. Ainsi, selon les besoins des animaux, certains détenus affectés à l</w:t>
      </w:r>
      <w:r w:rsidRPr="003210F5" w:rsidR="003210F5">
        <w:t>’</w:t>
      </w:r>
      <w:r w:rsidRPr="003210F5">
        <w:t>étable ne restaient pas dans les dortoirs. Une certaine confiance aurait été accordée aux détenus qui pour cette raison s</w:t>
      </w:r>
      <w:r w:rsidRPr="003210F5" w:rsidR="003210F5">
        <w:t>’</w:t>
      </w:r>
      <w:r w:rsidRPr="003210F5">
        <w:t>appelaient « </w:t>
      </w:r>
      <w:r w:rsidRPr="003210F5">
        <w:rPr>
          <w:i/>
          <w:iCs/>
        </w:rPr>
        <w:t>logotimites </w:t>
      </w:r>
      <w:r w:rsidRPr="003210F5">
        <w:t>».</w:t>
      </w:r>
    </w:p>
    <w:p w:rsidRPr="003210F5" w:rsidR="003A74F0" w:rsidP="003210F5" w:rsidRDefault="003A74F0" w14:paraId="7D5C5536" w14:textId="7F614FC2">
      <w:pPr>
        <w:pStyle w:val="JuPara"/>
      </w:pPr>
      <w:r w:rsidRPr="003210F5">
        <w:fldChar w:fldCharType="begin"/>
      </w:r>
      <w:r w:rsidRPr="003210F5">
        <w:instrText xml:space="preserve"> SEQ level0 \*arabic </w:instrText>
      </w:r>
      <w:r w:rsidRPr="003210F5">
        <w:fldChar w:fldCharType="separate"/>
      </w:r>
      <w:r w:rsidRPr="003210F5" w:rsidR="003210F5">
        <w:rPr>
          <w:noProof/>
        </w:rPr>
        <w:t>26</w:t>
      </w:r>
      <w:r w:rsidRPr="003210F5">
        <w:fldChar w:fldCharType="end"/>
      </w:r>
      <w:r w:rsidRPr="003210F5">
        <w:t>.  Le Gouvernement dit que les repas étaient servis trois fois par jour : le petit-déjeuner à 7 h 30, le déjeuner à 13 heures et le dîner trente minutes avant le coucher du soleil, et qu</w:t>
      </w:r>
      <w:r w:rsidRPr="003210F5" w:rsidR="003210F5">
        <w:t>’</w:t>
      </w:r>
      <w:r w:rsidRPr="003210F5">
        <w:t>ils comprenaient de la viande, du poisson, des féculents, des légumes et des fruits. Il présente divers menus du 2012, 2013 et 2014. Il ajoute qu</w:t>
      </w:r>
      <w:r w:rsidRPr="003210F5" w:rsidR="003210F5">
        <w:t>’</w:t>
      </w:r>
      <w:r w:rsidRPr="003210F5">
        <w:t>un espace spécial réservé à la restauration était situé en dehors de la cuisine et était équipé de tables en ciment et de chaises. Il s</w:t>
      </w:r>
      <w:r w:rsidRPr="003210F5" w:rsidR="003210F5">
        <w:t>’</w:t>
      </w:r>
      <w:r w:rsidRPr="003210F5">
        <w:t>agissait d</w:t>
      </w:r>
      <w:r w:rsidRPr="003210F5" w:rsidR="003210F5">
        <w:t>’</w:t>
      </w:r>
      <w:r w:rsidRPr="003210F5">
        <w:t>un réfectoire extérieur couvert utilisé notamment à partir du printemps.</w:t>
      </w:r>
    </w:p>
    <w:p w:rsidRPr="003210F5" w:rsidR="003A74F0" w:rsidP="003210F5" w:rsidRDefault="003A74F0" w14:paraId="5A3DFE4A" w14:textId="71323DFB">
      <w:pPr>
        <w:pStyle w:val="JuPara"/>
      </w:pPr>
      <w:r w:rsidRPr="003210F5">
        <w:fldChar w:fldCharType="begin"/>
      </w:r>
      <w:r w:rsidRPr="003210F5">
        <w:instrText xml:space="preserve"> SEQ level0 \*arabic </w:instrText>
      </w:r>
      <w:r w:rsidRPr="003210F5">
        <w:fldChar w:fldCharType="separate"/>
      </w:r>
      <w:r w:rsidRPr="003210F5" w:rsidR="003210F5">
        <w:rPr>
          <w:noProof/>
        </w:rPr>
        <w:t>27</w:t>
      </w:r>
      <w:r w:rsidRPr="003210F5">
        <w:fldChar w:fldCharType="end"/>
      </w:r>
      <w:r w:rsidRPr="003210F5">
        <w:t>.  Le Gouvernement expose que des détergents et des désinfectants étaient achetés et fournis chaque jour aux détenus. Il dit qu</w:t>
      </w:r>
      <w:r w:rsidRPr="003210F5" w:rsidR="003210F5">
        <w:t>’</w:t>
      </w:r>
      <w:r w:rsidRPr="003210F5">
        <w:t>au moins tous les trois mois une désinfection, une désinsectisation et une dératisation étaient effectuées. Il a produit des factures, des bons de livraison et d</w:t>
      </w:r>
      <w:r w:rsidRPr="003210F5" w:rsidR="003210F5">
        <w:t>’</w:t>
      </w:r>
      <w:r w:rsidRPr="003210F5">
        <w:t>autres éléments de preuve.</w:t>
      </w:r>
    </w:p>
    <w:p w:rsidRPr="003210F5" w:rsidR="003A74F0" w:rsidP="003210F5" w:rsidRDefault="003A74F0" w14:paraId="3D562066" w14:textId="74D22A00">
      <w:pPr>
        <w:pStyle w:val="JuPara"/>
      </w:pPr>
      <w:r w:rsidRPr="003210F5">
        <w:fldChar w:fldCharType="begin"/>
      </w:r>
      <w:r w:rsidRPr="003210F5">
        <w:instrText xml:space="preserve"> SEQ level0 \*arabic </w:instrText>
      </w:r>
      <w:r w:rsidRPr="003210F5">
        <w:fldChar w:fldCharType="separate"/>
      </w:r>
      <w:r w:rsidRPr="003210F5" w:rsidR="003210F5">
        <w:rPr>
          <w:noProof/>
        </w:rPr>
        <w:t>28</w:t>
      </w:r>
      <w:r w:rsidRPr="003210F5">
        <w:fldChar w:fldCharType="end"/>
      </w:r>
      <w:r w:rsidRPr="003210F5">
        <w:t>.  Le Gouvernement dit que la prison disposait aussi d</w:t>
      </w:r>
      <w:r w:rsidRPr="003210F5" w:rsidR="003210F5">
        <w:t>’</w:t>
      </w:r>
      <w:r w:rsidRPr="003210F5">
        <w:t>un dispensaire, d</w:t>
      </w:r>
      <w:r w:rsidRPr="003210F5" w:rsidR="003210F5">
        <w:t>’</w:t>
      </w:r>
      <w:r w:rsidRPr="003210F5">
        <w:t>une salle de soins dentaires, d</w:t>
      </w:r>
      <w:r w:rsidRPr="003210F5" w:rsidR="003210F5">
        <w:t>’</w:t>
      </w:r>
      <w:r w:rsidRPr="003210F5">
        <w:t>une pharmacie et d</w:t>
      </w:r>
      <w:r w:rsidRPr="003210F5" w:rsidR="003210F5">
        <w:t>’</w:t>
      </w:r>
      <w:r w:rsidRPr="003210F5">
        <w:t>une salle de soins d</w:t>
      </w:r>
      <w:r w:rsidRPr="003210F5" w:rsidR="003210F5">
        <w:t>’</w:t>
      </w:r>
      <w:r w:rsidRPr="003210F5">
        <w:t>une capacité de 10 lits. Il allègue qu</w:t>
      </w:r>
      <w:r w:rsidRPr="003210F5" w:rsidR="003210F5">
        <w:t>’</w:t>
      </w:r>
      <w:r w:rsidRPr="003210F5">
        <w:t>un médecin généraliste de l</w:t>
      </w:r>
      <w:r w:rsidRPr="003210F5" w:rsidR="003210F5">
        <w:t>’</w:t>
      </w:r>
      <w:r w:rsidRPr="003210F5">
        <w:t xml:space="preserve">établissement de santé public </w:t>
      </w:r>
      <w:r w:rsidRPr="003210F5">
        <w:rPr>
          <w:i/>
          <w:iCs/>
        </w:rPr>
        <w:t>(</w:t>
      </w:r>
      <w:r w:rsidRPr="003210F5">
        <w:rPr>
          <w:i/>
          <w:iCs/>
          <w:lang w:val="el-GR"/>
        </w:rPr>
        <w:t>κέντρο</w:t>
      </w:r>
      <w:r w:rsidRPr="003210F5">
        <w:rPr>
          <w:i/>
          <w:iCs/>
        </w:rPr>
        <w:t xml:space="preserve"> </w:t>
      </w:r>
      <w:r w:rsidRPr="003210F5">
        <w:rPr>
          <w:i/>
          <w:iCs/>
          <w:lang w:val="el-GR"/>
        </w:rPr>
        <w:t>υγείας</w:t>
      </w:r>
      <w:r w:rsidRPr="003210F5">
        <w:rPr>
          <w:i/>
          <w:iCs/>
        </w:rPr>
        <w:t>)</w:t>
      </w:r>
      <w:r w:rsidRPr="003210F5">
        <w:t xml:space="preserve"> se rendait dans les locaux trois jours par semaine. Il ajoute qu</w:t>
      </w:r>
      <w:r w:rsidRPr="003210F5" w:rsidR="003210F5">
        <w:t>’</w:t>
      </w:r>
      <w:r w:rsidRPr="003210F5">
        <w:t>une infirmière était en poste dans la prison tous les matins et qu</w:t>
      </w:r>
      <w:r w:rsidRPr="003210F5" w:rsidR="003210F5">
        <w:t>’</w:t>
      </w:r>
      <w:r w:rsidRPr="003210F5">
        <w:t>un dentiste s</w:t>
      </w:r>
      <w:r w:rsidRPr="003210F5" w:rsidR="003210F5">
        <w:t>’</w:t>
      </w:r>
      <w:r w:rsidRPr="003210F5">
        <w:t>y rendait un jour par semaine et chaque fois qu</w:t>
      </w:r>
      <w:r w:rsidRPr="003210F5" w:rsidR="003210F5">
        <w:t>’</w:t>
      </w:r>
      <w:r w:rsidRPr="003210F5">
        <w:t>il y avait une urgence. Il affirme que le dispensaire recevait quotidiennement des détenus et ceux qui ne pouvaient pas y être traités étaient renvoyés dans les établissements de santé publics extérieurs et dans les hôpitaux.</w:t>
      </w:r>
    </w:p>
    <w:p w:rsidRPr="003210F5" w:rsidR="003A74F0" w:rsidP="003210F5" w:rsidRDefault="003A74F0" w14:paraId="21F225C7" w14:textId="26BD96FF">
      <w:pPr>
        <w:pStyle w:val="JuPara"/>
      </w:pPr>
      <w:r w:rsidRPr="003210F5">
        <w:fldChar w:fldCharType="begin"/>
      </w:r>
      <w:r w:rsidRPr="003210F5">
        <w:instrText xml:space="preserve"> SEQ level0 \*arabic </w:instrText>
      </w:r>
      <w:r w:rsidRPr="003210F5">
        <w:fldChar w:fldCharType="separate"/>
      </w:r>
      <w:r w:rsidRPr="003210F5" w:rsidR="003210F5">
        <w:rPr>
          <w:noProof/>
        </w:rPr>
        <w:t>29</w:t>
      </w:r>
      <w:r w:rsidRPr="003210F5">
        <w:fldChar w:fldCharType="end"/>
      </w:r>
      <w:r w:rsidRPr="003210F5">
        <w:t>.  Le Gouvernement dit que des articles d</w:t>
      </w:r>
      <w:r w:rsidRPr="003210F5" w:rsidR="003210F5">
        <w:t>’</w:t>
      </w:r>
      <w:r w:rsidRPr="003210F5">
        <w:t>hygiène personnelle étaient fournis aux détenus par la prison et qu</w:t>
      </w:r>
      <w:r w:rsidRPr="003210F5" w:rsidR="003210F5">
        <w:t>’</w:t>
      </w:r>
      <w:r w:rsidRPr="003210F5">
        <w:t>il y avait un local à vêtements et à chaussures pour ceux qui en avaient besoin.</w:t>
      </w:r>
    </w:p>
    <w:p w:rsidRPr="003210F5" w:rsidR="003A74F0" w:rsidP="003210F5" w:rsidRDefault="003A74F0" w14:paraId="61A00680" w14:textId="6842EA1B">
      <w:pPr>
        <w:pStyle w:val="JuPara"/>
      </w:pPr>
      <w:r w:rsidRPr="003210F5">
        <w:fldChar w:fldCharType="begin"/>
      </w:r>
      <w:r w:rsidRPr="003210F5">
        <w:instrText xml:space="preserve"> SEQ level0 \*arabic </w:instrText>
      </w:r>
      <w:r w:rsidRPr="003210F5">
        <w:fldChar w:fldCharType="separate"/>
      </w:r>
      <w:r w:rsidRPr="003210F5" w:rsidR="003210F5">
        <w:rPr>
          <w:noProof/>
        </w:rPr>
        <w:t>30</w:t>
      </w:r>
      <w:r w:rsidRPr="003210F5">
        <w:fldChar w:fldCharType="end"/>
      </w:r>
      <w:r w:rsidRPr="003210F5">
        <w:t>.  Le Gouvernement affirme que toutes les mesures de prévention étaient prises en cas de maladies infectieuses. Des tests de dépistage et des vaccinations facultatives auraient eu lieu et la prison se serait procuré des médicaments antiviraux. Des produits antiseptiques auraient été placés dans tous les locaux de la prison et des masques, des blouses et des gants jetables auraient été achetés.</w:t>
      </w:r>
    </w:p>
    <w:p w:rsidRPr="003210F5" w:rsidR="003A74F0" w:rsidP="003210F5" w:rsidRDefault="003A74F0" w14:paraId="40E90EE5" w14:textId="61490FE8">
      <w:pPr>
        <w:pStyle w:val="JuPara"/>
      </w:pPr>
      <w:r w:rsidRPr="003210F5">
        <w:fldChar w:fldCharType="begin"/>
      </w:r>
      <w:r w:rsidRPr="003210F5">
        <w:instrText xml:space="preserve"> SEQ level0 \*arabic </w:instrText>
      </w:r>
      <w:r w:rsidRPr="003210F5">
        <w:fldChar w:fldCharType="separate"/>
      </w:r>
      <w:r w:rsidRPr="003210F5" w:rsidR="003210F5">
        <w:rPr>
          <w:noProof/>
        </w:rPr>
        <w:t>31</w:t>
      </w:r>
      <w:r w:rsidRPr="003210F5">
        <w:fldChar w:fldCharType="end"/>
      </w:r>
      <w:r w:rsidRPr="003210F5">
        <w:t>.</w:t>
      </w:r>
      <w:r w:rsidRPr="003210F5" w:rsidR="0076137C">
        <w:t>  </w:t>
      </w:r>
      <w:r w:rsidRPr="003210F5">
        <w:t>Tous les détenus auraient subi un test de dépistage de la tuberculose et parfois des radiographies ou des contrôles des poumons auraient été faites. Les détenus atteints de tuberculose auraient été placés en isolement et auraient reçu un traitement médical approprié. Une liste a été fournie indiquant les noms des requérants, les dates des soins médicaux et dentaires reçus. Dans la cuisine seuls les détenus ayant subi un contrôle de santé auraient été employés.</w:t>
      </w:r>
    </w:p>
    <w:bookmarkStart w:name="thirtytwo" w:id="17"/>
    <w:p w:rsidRPr="003210F5" w:rsidR="003A74F0" w:rsidP="003210F5" w:rsidRDefault="003A74F0" w14:paraId="015A9B98" w14:textId="7649776A">
      <w:pPr>
        <w:pStyle w:val="JuPara"/>
      </w:pPr>
      <w:r w:rsidRPr="003210F5">
        <w:fldChar w:fldCharType="begin"/>
      </w:r>
      <w:r w:rsidRPr="003210F5">
        <w:instrText xml:space="preserve"> SEQ level0 \*arabic </w:instrText>
      </w:r>
      <w:r w:rsidRPr="003210F5">
        <w:fldChar w:fldCharType="separate"/>
      </w:r>
      <w:r w:rsidRPr="003210F5" w:rsidR="003210F5">
        <w:rPr>
          <w:noProof/>
        </w:rPr>
        <w:t>32</w:t>
      </w:r>
      <w:r w:rsidRPr="003210F5">
        <w:fldChar w:fldCharType="end"/>
      </w:r>
      <w:bookmarkEnd w:id="17"/>
      <w:r w:rsidRPr="003210F5">
        <w:t xml:space="preserve">.  Le Gouvernement affirme que la prison disposait de neuf cabines de téléphones à carte qui étaient placées dans la cour du local ouvert et du local fermé. Pour les besoins des détenus en semi-liberté il y aurait eu aussi trois cabines téléphoniques supplémentaires et un poste de téléphone dans chacune des annexes </w:t>
      </w:r>
      <w:r w:rsidRPr="003210F5">
        <w:rPr>
          <w:i/>
        </w:rPr>
        <w:t xml:space="preserve">Karakalou </w:t>
      </w:r>
      <w:r w:rsidRPr="003210F5">
        <w:t xml:space="preserve">et </w:t>
      </w:r>
      <w:r w:rsidRPr="003210F5">
        <w:rPr>
          <w:i/>
        </w:rPr>
        <w:t>Poimniou</w:t>
      </w:r>
      <w:r w:rsidRPr="003210F5">
        <w:t>.</w:t>
      </w:r>
    </w:p>
    <w:bookmarkEnd w:id="2"/>
    <w:bookmarkEnd w:id="3"/>
    <w:bookmarkEnd w:id="4"/>
    <w:p w:rsidRPr="003210F5" w:rsidR="003A74F0" w:rsidP="003210F5" w:rsidRDefault="003A74F0" w14:paraId="0C0FC008" w14:textId="77777777">
      <w:pPr>
        <w:pStyle w:val="JuHIRoman"/>
      </w:pPr>
      <w:r w:rsidRPr="003210F5">
        <w:t>LE CADRE JURIDIQUE ET LA PARTIQUE INTERNE PETINENTS</w:t>
      </w:r>
    </w:p>
    <w:p w:rsidRPr="003210F5" w:rsidR="003A74F0" w:rsidP="003210F5" w:rsidRDefault="003A74F0" w14:paraId="5346B405" w14:textId="77777777">
      <w:pPr>
        <w:pStyle w:val="JuHA"/>
        <w:numPr>
          <w:ilvl w:val="2"/>
          <w:numId w:val="1"/>
        </w:numPr>
        <w:ind w:left="709" w:hanging="425"/>
      </w:pPr>
      <w:r w:rsidRPr="003210F5">
        <w:t>Le droit et la pratique internes pertinents</w:t>
      </w:r>
    </w:p>
    <w:p w:rsidRPr="003210F5" w:rsidR="003A74F0" w:rsidP="003210F5" w:rsidRDefault="003A74F0" w14:paraId="5A75033C" w14:textId="3FB2AD95">
      <w:pPr>
        <w:pStyle w:val="JuPara"/>
        <w:rPr>
          <w:rFonts w:cs="Times New Roman" w:eastAsiaTheme="minorEastAsia"/>
          <w:szCs w:val="22"/>
        </w:rPr>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33</w:t>
      </w:r>
      <w:r w:rsidRPr="003210F5">
        <w:rPr>
          <w:rFonts w:cs="Times New Roman" w:eastAsiaTheme="minorEastAsia"/>
          <w:szCs w:val="22"/>
        </w:rPr>
        <w:fldChar w:fldCharType="end"/>
      </w:r>
      <w:r w:rsidRPr="003210F5">
        <w:rPr>
          <w:rFonts w:cs="Times New Roman" w:eastAsiaTheme="minorEastAsia"/>
          <w:szCs w:val="22"/>
        </w:rPr>
        <w:t>.  En ce qui concerne le droit et la pratique internes pertinents en l</w:t>
      </w:r>
      <w:r w:rsidRPr="003210F5" w:rsidR="003210F5">
        <w:rPr>
          <w:rFonts w:cs="Times New Roman" w:eastAsiaTheme="minorEastAsia"/>
          <w:szCs w:val="22"/>
        </w:rPr>
        <w:t>’</w:t>
      </w:r>
      <w:r w:rsidRPr="003210F5">
        <w:rPr>
          <w:rFonts w:cs="Times New Roman" w:eastAsiaTheme="minorEastAsia"/>
          <w:szCs w:val="22"/>
        </w:rPr>
        <w:t xml:space="preserve">espèce, la Cour renvoie à sa décision </w:t>
      </w:r>
      <w:r w:rsidRPr="003210F5">
        <w:rPr>
          <w:rFonts w:cs="Times New Roman" w:eastAsiaTheme="minorEastAsia"/>
          <w:i/>
          <w:szCs w:val="22"/>
        </w:rPr>
        <w:t>Chatzivasiliadis c.</w:t>
      </w:r>
      <w:r w:rsidRPr="003210F5" w:rsidR="008730D6">
        <w:rPr>
          <w:rFonts w:cs="Times New Roman" w:eastAsiaTheme="minorEastAsia"/>
          <w:i/>
          <w:szCs w:val="22"/>
        </w:rPr>
        <w:t> </w:t>
      </w:r>
      <w:r w:rsidRPr="003210F5">
        <w:rPr>
          <w:rFonts w:cs="Times New Roman" w:eastAsiaTheme="minorEastAsia"/>
          <w:i/>
          <w:szCs w:val="22"/>
        </w:rPr>
        <w:t>Grèce</w:t>
      </w:r>
      <w:r w:rsidRPr="003210F5">
        <w:rPr>
          <w:rFonts w:cs="Times New Roman" w:eastAsiaTheme="minorEastAsia"/>
          <w:szCs w:val="22"/>
        </w:rPr>
        <w:t xml:space="preserve"> (n</w:t>
      </w:r>
      <w:r w:rsidRPr="003210F5">
        <w:rPr>
          <w:rFonts w:cs="Times New Roman" w:eastAsiaTheme="minorEastAsia"/>
          <w:szCs w:val="22"/>
          <w:vertAlign w:val="superscript"/>
        </w:rPr>
        <w:t>o</w:t>
      </w:r>
      <w:r w:rsidRPr="003210F5">
        <w:rPr>
          <w:rFonts w:cs="Times New Roman" w:eastAsiaTheme="minorEastAsia"/>
          <w:szCs w:val="22"/>
        </w:rPr>
        <w:t xml:space="preserve"> 51618/12, §§ 17-21, 26 novembre 2013) et à son arrêt </w:t>
      </w:r>
      <w:r w:rsidRPr="003210F5">
        <w:rPr>
          <w:rFonts w:cs="Times New Roman" w:eastAsiaTheme="minorEastAsia"/>
          <w:i/>
          <w:iCs/>
          <w:szCs w:val="22"/>
        </w:rPr>
        <w:t xml:space="preserve">Kanakis c. Grèce </w:t>
      </w:r>
      <w:r w:rsidRPr="003210F5">
        <w:rPr>
          <w:rFonts w:cs="Times New Roman" w:eastAsiaTheme="minorEastAsia"/>
          <w:szCs w:val="22"/>
        </w:rPr>
        <w:t> (n</w:t>
      </w:r>
      <w:r w:rsidRPr="003210F5">
        <w:rPr>
          <w:rFonts w:cs="Times New Roman" w:eastAsiaTheme="minorEastAsia"/>
          <w:szCs w:val="22"/>
          <w:vertAlign w:val="superscript"/>
        </w:rPr>
        <w:t>o</w:t>
      </w:r>
      <w:r w:rsidRPr="003210F5">
        <w:rPr>
          <w:rFonts w:cs="Times New Roman" w:eastAsiaTheme="minorEastAsia"/>
          <w:szCs w:val="22"/>
        </w:rPr>
        <w:t> 2) (n</w:t>
      </w:r>
      <w:r w:rsidRPr="003210F5">
        <w:rPr>
          <w:rFonts w:cs="Times New Roman" w:eastAsiaTheme="minorEastAsia"/>
          <w:szCs w:val="22"/>
          <w:vertAlign w:val="superscript"/>
        </w:rPr>
        <w:t>o</w:t>
      </w:r>
      <w:r w:rsidRPr="003210F5">
        <w:rPr>
          <w:rFonts w:cs="Times New Roman" w:eastAsiaTheme="minorEastAsia"/>
          <w:szCs w:val="22"/>
        </w:rPr>
        <w:t xml:space="preserve"> </w:t>
      </w:r>
      <w:hyperlink w:tgtFrame="_blank" w:history="1" w:anchor="{%22appno%22:[%2240146/11%22]}" r:id="rId13">
        <w:r w:rsidRPr="003210F5">
          <w:rPr>
            <w:rFonts w:cs="Times New Roman" w:eastAsiaTheme="minorEastAsia"/>
            <w:szCs w:val="22"/>
          </w:rPr>
          <w:t>40146/11</w:t>
        </w:r>
      </w:hyperlink>
      <w:r w:rsidRPr="003210F5">
        <w:rPr>
          <w:rFonts w:cs="Times New Roman" w:eastAsiaTheme="minorEastAsia"/>
          <w:szCs w:val="22"/>
        </w:rPr>
        <w:t>, § 62, 12 décembre 2013).</w:t>
      </w:r>
    </w:p>
    <w:p w:rsidRPr="003210F5" w:rsidR="003A74F0" w:rsidP="003210F5" w:rsidRDefault="003A74F0" w14:paraId="560A0E08" w14:textId="65441DF9">
      <w:pPr>
        <w:pStyle w:val="JuPara"/>
      </w:pPr>
      <w:r w:rsidRPr="003210F5">
        <w:fldChar w:fldCharType="begin"/>
      </w:r>
      <w:r w:rsidRPr="003210F5">
        <w:instrText xml:space="preserve"> SEQ level0 \*arabic </w:instrText>
      </w:r>
      <w:r w:rsidRPr="003210F5">
        <w:fldChar w:fldCharType="separate"/>
      </w:r>
      <w:r w:rsidRPr="003210F5" w:rsidR="003210F5">
        <w:rPr>
          <w:noProof/>
        </w:rPr>
        <w:t>34</w:t>
      </w:r>
      <w:r w:rsidRPr="003210F5">
        <w:fldChar w:fldCharType="end"/>
      </w:r>
      <w:r w:rsidRPr="003210F5">
        <w:t>.  Plus particulièrement, l</w:t>
      </w:r>
      <w:r w:rsidRPr="003210F5" w:rsidR="003210F5">
        <w:t>’</w:t>
      </w:r>
      <w:r w:rsidRPr="003210F5">
        <w:t>article 19 du code pénitentiaire, tel qu</w:t>
      </w:r>
      <w:r w:rsidRPr="003210F5" w:rsidR="003210F5">
        <w:t>’</w:t>
      </w:r>
      <w:r w:rsidRPr="003210F5">
        <w:t>il était en vigueur à l</w:t>
      </w:r>
      <w:r w:rsidRPr="003210F5" w:rsidR="003210F5">
        <w:t>’</w:t>
      </w:r>
      <w:r w:rsidRPr="003210F5">
        <w:t>époque des faits, disposait en sa partie pertinente en l</w:t>
      </w:r>
      <w:r w:rsidRPr="003210F5" w:rsidR="003210F5">
        <w:t>’</w:t>
      </w:r>
      <w:r w:rsidRPr="003210F5">
        <w:t>espèce :</w:t>
      </w:r>
    </w:p>
    <w:p w:rsidRPr="003210F5" w:rsidR="003A74F0" w:rsidP="003210F5" w:rsidRDefault="003A74F0" w14:paraId="5AC91EB3" w14:textId="77777777">
      <w:pPr>
        <w:pStyle w:val="JuQuot"/>
        <w:rPr>
          <w:rFonts w:eastAsiaTheme="minorEastAsia"/>
        </w:rPr>
      </w:pPr>
      <w:r w:rsidRPr="003210F5">
        <w:rPr>
          <w:rFonts w:eastAsiaTheme="minorEastAsia"/>
        </w:rPr>
        <w:t>« 1. Les établissements pénitentiaires sont répartis en établissements a) généraux b) spéciaux et c) thérapeutiques.</w:t>
      </w:r>
    </w:p>
    <w:p w:rsidRPr="003210F5" w:rsidR="003A74F0" w:rsidP="003210F5" w:rsidRDefault="003A74F0" w14:paraId="439C3AB4" w14:textId="77777777">
      <w:pPr>
        <w:pStyle w:val="JuQuot"/>
      </w:pPr>
      <w:r w:rsidRPr="003210F5">
        <w:t>(...)</w:t>
      </w:r>
    </w:p>
    <w:p w:rsidRPr="003210F5" w:rsidR="003A74F0" w:rsidP="003210F5" w:rsidRDefault="003A74F0" w14:paraId="010E81BF" w14:textId="589412A5">
      <w:pPr>
        <w:pStyle w:val="JuQuot"/>
      </w:pPr>
      <w:r w:rsidRPr="003210F5">
        <w:t>3. Les établissements spéciaux sont les prisons agricoles, le Dépôt central du matériel de prisons, les établissements pénitentiaires pour mineurs et les centres de placement en régime de semi-liberté. (...) ».</w:t>
      </w:r>
    </w:p>
    <w:p w:rsidRPr="003210F5" w:rsidR="003A74F0" w:rsidP="003210F5" w:rsidRDefault="003A74F0" w14:paraId="24943675" w14:textId="60AFF6E8">
      <w:pPr>
        <w:pStyle w:val="JuPara"/>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35</w:t>
      </w:r>
      <w:r w:rsidRPr="003210F5">
        <w:rPr>
          <w:rFonts w:cs="Times New Roman" w:eastAsiaTheme="minorEastAsia"/>
          <w:szCs w:val="22"/>
        </w:rPr>
        <w:fldChar w:fldCharType="end"/>
      </w:r>
      <w:r w:rsidRPr="003210F5">
        <w:rPr>
          <w:rFonts w:cs="Times New Roman" w:eastAsiaTheme="minorEastAsia"/>
          <w:szCs w:val="22"/>
        </w:rPr>
        <w:t>.  En ce qui concerne</w:t>
      </w:r>
      <w:r w:rsidRPr="003210F5" w:rsidDel="00212B4D">
        <w:rPr>
          <w:rFonts w:cs="Times New Roman" w:eastAsiaTheme="minorEastAsia"/>
          <w:szCs w:val="22"/>
        </w:rPr>
        <w:t xml:space="preserve"> </w:t>
      </w:r>
      <w:r w:rsidRPr="003210F5">
        <w:rPr>
          <w:rFonts w:cs="Times New Roman" w:eastAsiaTheme="minorEastAsia"/>
          <w:szCs w:val="22"/>
        </w:rPr>
        <w:t xml:space="preserve">le rôle </w:t>
      </w:r>
      <w:r w:rsidRPr="003210F5">
        <w:t>du médiateur de la République, autorité administrative indépendante, consacrée par l</w:t>
      </w:r>
      <w:r w:rsidRPr="003210F5" w:rsidR="003210F5">
        <w:t>’</w:t>
      </w:r>
      <w:r w:rsidRPr="003210F5">
        <w:t xml:space="preserve">article 103 § 9 de la Constitution, la Cour renvoie à son arrêt </w:t>
      </w:r>
      <w:r w:rsidRPr="003210F5">
        <w:rPr>
          <w:i/>
        </w:rPr>
        <w:t>Zabelos et autres c.</w:t>
      </w:r>
      <w:r w:rsidRPr="003210F5" w:rsidR="001C5F20">
        <w:rPr>
          <w:i/>
        </w:rPr>
        <w:t> </w:t>
      </w:r>
      <w:r w:rsidRPr="003210F5">
        <w:rPr>
          <w:i/>
        </w:rPr>
        <w:t>Grèce</w:t>
      </w:r>
      <w:r w:rsidRPr="003210F5">
        <w:t>, n</w:t>
      </w:r>
      <w:r w:rsidRPr="003210F5">
        <w:rPr>
          <w:vertAlign w:val="superscript"/>
        </w:rPr>
        <w:t>o </w:t>
      </w:r>
      <w:r w:rsidRPr="003210F5">
        <w:t>1167/15, § 36, 17 mai 2018).</w:t>
      </w:r>
    </w:p>
    <w:p w:rsidRPr="003210F5" w:rsidR="003A74F0" w:rsidP="003210F5" w:rsidRDefault="003A74F0" w14:paraId="64F9F793" w14:textId="77777777">
      <w:pPr>
        <w:pStyle w:val="JuHA"/>
        <w:numPr>
          <w:ilvl w:val="2"/>
          <w:numId w:val="1"/>
        </w:numPr>
        <w:ind w:left="851" w:hanging="425"/>
      </w:pPr>
      <w:r w:rsidRPr="003210F5">
        <w:t>La visite du médiateur de la République dans la prison de Kassandra</w:t>
      </w:r>
    </w:p>
    <w:bookmarkStart w:name="thirtyseven" w:id="18"/>
    <w:p w:rsidRPr="003210F5" w:rsidR="003A74F0" w:rsidP="003210F5" w:rsidRDefault="003A74F0" w14:paraId="649BBC45" w14:textId="5D429398">
      <w:pPr>
        <w:pStyle w:val="JuPara"/>
      </w:pPr>
      <w:r w:rsidRPr="003210F5">
        <w:fldChar w:fldCharType="begin"/>
      </w:r>
      <w:r w:rsidRPr="003210F5">
        <w:instrText xml:space="preserve"> SEQ level0 \*arabic </w:instrText>
      </w:r>
      <w:r w:rsidRPr="003210F5">
        <w:fldChar w:fldCharType="separate"/>
      </w:r>
      <w:r w:rsidRPr="003210F5" w:rsidR="003210F5">
        <w:rPr>
          <w:noProof/>
        </w:rPr>
        <w:t>36</w:t>
      </w:r>
      <w:r w:rsidRPr="003210F5">
        <w:fldChar w:fldCharType="end"/>
      </w:r>
      <w:bookmarkEnd w:id="18"/>
      <w:r w:rsidRPr="003210F5">
        <w:t>.  Le 22 janvier 2014, le médiateur de la République effectua une visite dans la prison de Kassandra à la suite d</w:t>
      </w:r>
      <w:r w:rsidRPr="003210F5" w:rsidR="003210F5">
        <w:t>’</w:t>
      </w:r>
      <w:r w:rsidRPr="003210F5">
        <w:t>une plainte dont il avait été saisi concernant les conditions de détention dans cet établissement et sur la base des articles 4 § 5 de la loi n</w:t>
      </w:r>
      <w:r w:rsidRPr="003210F5">
        <w:rPr>
          <w:vertAlign w:val="superscript"/>
        </w:rPr>
        <w:t xml:space="preserve">o </w:t>
      </w:r>
      <w:r w:rsidRPr="003210F5">
        <w:t>3094/2003 et 52 § 7 du code pénitentiaire, qui l</w:t>
      </w:r>
      <w:r w:rsidRPr="003210F5" w:rsidR="003210F5">
        <w:t>’</w:t>
      </w:r>
      <w:r w:rsidRPr="003210F5">
        <w:t>autorisent à faire des visites dans les lieux de détention. Il agissait aussi dans le cadre des nouvelles compétences que la loi n</w:t>
      </w:r>
      <w:r w:rsidRPr="003210F5">
        <w:rPr>
          <w:vertAlign w:val="superscript"/>
        </w:rPr>
        <w:t>o</w:t>
      </w:r>
      <w:r w:rsidRPr="003210F5">
        <w:t> 4228/2014 lui avait attribuées en qualité de mécanisme national de prévention de la torture.</w:t>
      </w:r>
    </w:p>
    <w:p w:rsidRPr="003210F5" w:rsidR="003A74F0" w:rsidP="003210F5" w:rsidRDefault="003A74F0" w14:paraId="4592A0F2" w14:textId="2C0A3E83">
      <w:pPr>
        <w:pStyle w:val="JuPara"/>
      </w:pPr>
      <w:r w:rsidRPr="003210F5">
        <w:fldChar w:fldCharType="begin"/>
      </w:r>
      <w:r w:rsidRPr="003210F5">
        <w:instrText xml:space="preserve"> SEQ level0 \*arabic </w:instrText>
      </w:r>
      <w:r w:rsidRPr="003210F5">
        <w:fldChar w:fldCharType="separate"/>
      </w:r>
      <w:r w:rsidRPr="003210F5" w:rsidR="003210F5">
        <w:rPr>
          <w:noProof/>
        </w:rPr>
        <w:t>37</w:t>
      </w:r>
      <w:r w:rsidRPr="003210F5">
        <w:fldChar w:fldCharType="end"/>
      </w:r>
      <w:r w:rsidRPr="003210F5">
        <w:t>.  Dans son rapport du 17 octobre 2014 le médiateur fit remarquer qu</w:t>
      </w:r>
      <w:r w:rsidRPr="003210F5" w:rsidR="003210F5">
        <w:t>’</w:t>
      </w:r>
      <w:r w:rsidRPr="003210F5">
        <w:t>en raison de la spécificité et de la finalité de l</w:t>
      </w:r>
      <w:r w:rsidRPr="003210F5" w:rsidR="003210F5">
        <w:t>’</w:t>
      </w:r>
      <w:r w:rsidRPr="003210F5">
        <w:t>institution des centres de détention agricoles ainsi que de l</w:t>
      </w:r>
      <w:r w:rsidRPr="003210F5" w:rsidR="003210F5">
        <w:t>’</w:t>
      </w:r>
      <w:r w:rsidRPr="003210F5">
        <w:t>organisation du centre de détention, les bâtiments étaient, dans la plupart des cas, organisés et conçus en tenant raisonnablement compte de la séparation et la répartition des détenus. Il s</w:t>
      </w:r>
      <w:r w:rsidRPr="003210F5" w:rsidR="003210F5">
        <w:t>’</w:t>
      </w:r>
      <w:r w:rsidRPr="003210F5">
        <w:t>agissait d</w:t>
      </w:r>
      <w:r w:rsidRPr="003210F5" w:rsidR="003210F5">
        <w:t>’</w:t>
      </w:r>
      <w:r w:rsidRPr="003210F5">
        <w:t>après lui d</w:t>
      </w:r>
      <w:r w:rsidRPr="003210F5" w:rsidR="003210F5">
        <w:t>’</w:t>
      </w:r>
      <w:r w:rsidRPr="003210F5">
        <w:t>une organisation très différente par rapport aux autres établissements pénitentiaires.</w:t>
      </w:r>
    </w:p>
    <w:p w:rsidRPr="003210F5" w:rsidR="003A74F0" w:rsidP="003210F5" w:rsidRDefault="003A74F0" w14:paraId="253543C0" w14:textId="46E55EB8">
      <w:pPr>
        <w:pStyle w:val="JuPara"/>
      </w:pPr>
      <w:r w:rsidRPr="003210F5">
        <w:fldChar w:fldCharType="begin"/>
      </w:r>
      <w:r w:rsidRPr="003210F5">
        <w:instrText xml:space="preserve"> SEQ level0 \*arabic </w:instrText>
      </w:r>
      <w:r w:rsidRPr="003210F5">
        <w:fldChar w:fldCharType="separate"/>
      </w:r>
      <w:r w:rsidRPr="003210F5" w:rsidR="003210F5">
        <w:rPr>
          <w:noProof/>
        </w:rPr>
        <w:t>38</w:t>
      </w:r>
      <w:r w:rsidRPr="003210F5">
        <w:fldChar w:fldCharType="end"/>
      </w:r>
      <w:r w:rsidRPr="003210F5">
        <w:t>.  Selon le rapport, l</w:t>
      </w:r>
      <w:r w:rsidRPr="003210F5" w:rsidR="003210F5">
        <w:t>’</w:t>
      </w:r>
      <w:r w:rsidRPr="003210F5">
        <w:t>établissement pénitentiaire disposait au total d</w:t>
      </w:r>
      <w:r w:rsidRPr="003210F5" w:rsidR="003210F5">
        <w:t>’</w:t>
      </w:r>
      <w:r w:rsidRPr="003210F5">
        <w:t>une superficie de 420 hectares. Le domaine central de la prison de Kassandra était d</w:t>
      </w:r>
      <w:r w:rsidRPr="003210F5" w:rsidR="003210F5">
        <w:t>’</w:t>
      </w:r>
      <w:r w:rsidRPr="003210F5">
        <w:t>une superficie d</w:t>
      </w:r>
      <w:r w:rsidRPr="003210F5" w:rsidR="003210F5">
        <w:t>’</w:t>
      </w:r>
      <w:r w:rsidRPr="003210F5">
        <w:t>environ 240 hectares comprenant un immeuble pour les bureaux de l</w:t>
      </w:r>
      <w:r w:rsidRPr="003210F5" w:rsidR="003210F5">
        <w:t>’</w:t>
      </w:r>
      <w:r w:rsidRPr="003210F5">
        <w:t>administration et trois immeubles (A, B et C) pour les locaux de séjour des détenus. Il ressortait de la déclaration du directeur de la prison et de l</w:t>
      </w:r>
      <w:r w:rsidRPr="003210F5" w:rsidR="003210F5">
        <w:t>’</w:t>
      </w:r>
      <w:r w:rsidRPr="003210F5">
        <w:t>arrêté ministériel n</w:t>
      </w:r>
      <w:r w:rsidRPr="003210F5">
        <w:rPr>
          <w:vertAlign w:val="superscript"/>
        </w:rPr>
        <w:t xml:space="preserve">o </w:t>
      </w:r>
      <w:r w:rsidRPr="003210F5">
        <w:t>93316 du 15 novembre 2013 que chaque immeuble était capable d</w:t>
      </w:r>
      <w:r w:rsidRPr="003210F5" w:rsidR="003210F5">
        <w:t>’</w:t>
      </w:r>
      <w:r w:rsidRPr="003210F5">
        <w:t>héberger 80 détenus. À la date de la visite du médiateur, le nombre de détenus s</w:t>
      </w:r>
      <w:r w:rsidRPr="003210F5" w:rsidR="003210F5">
        <w:t>’</w:t>
      </w:r>
      <w:r w:rsidRPr="003210F5">
        <w:t>élevait au total à 180 personnes, dont 115 séjournaient dans le domaine central et 65 en dehors de ce domaine. De ces 115 détenus, 32 séjournaient dans l</w:t>
      </w:r>
      <w:r w:rsidRPr="003210F5" w:rsidR="003210F5">
        <w:t>’</w:t>
      </w:r>
      <w:r w:rsidRPr="003210F5">
        <w:t>immeuble A, le local « fermé », et 83 dans les immeubles B et C, les locaux « ouverts ».</w:t>
      </w:r>
    </w:p>
    <w:p w:rsidRPr="003210F5" w:rsidR="003A74F0" w:rsidP="003210F5" w:rsidRDefault="003A74F0" w14:paraId="0774DC71" w14:textId="20698864">
      <w:pPr>
        <w:pStyle w:val="JuPara"/>
      </w:pPr>
      <w:r w:rsidRPr="003210F5">
        <w:fldChar w:fldCharType="begin"/>
      </w:r>
      <w:r w:rsidRPr="003210F5">
        <w:instrText xml:space="preserve"> SEQ level0 \*arabic </w:instrText>
      </w:r>
      <w:r w:rsidRPr="003210F5">
        <w:fldChar w:fldCharType="separate"/>
      </w:r>
      <w:r w:rsidRPr="003210F5" w:rsidR="003210F5">
        <w:rPr>
          <w:noProof/>
        </w:rPr>
        <w:t>39</w:t>
      </w:r>
      <w:r w:rsidRPr="003210F5">
        <w:fldChar w:fldCharType="end"/>
      </w:r>
      <w:r w:rsidRPr="003210F5">
        <w:t>.  Le médiateur constata que la différence entre ces deux types de locaux tenait à ce que les détenus des immeubles B et C travaillaient sous surveillance en dehors des immeubles et au sein de différentes unités de travail (par exemple, la production végétale et animale, les ateliers ou les entrepôts) tandis que ceux de l</w:t>
      </w:r>
      <w:r w:rsidRPr="003210F5" w:rsidR="003210F5">
        <w:t>’</w:t>
      </w:r>
      <w:r w:rsidRPr="003210F5">
        <w:t>immeuble A travaillaient dans des postes de travail habituels dans les immeubles (par exemple le nettoyage) jusqu</w:t>
      </w:r>
      <w:r w:rsidRPr="003210F5" w:rsidR="003210F5">
        <w:t>’</w:t>
      </w:r>
      <w:r w:rsidRPr="003210F5">
        <w:t>à qu</w:t>
      </w:r>
      <w:r w:rsidRPr="003210F5" w:rsidR="003210F5">
        <w:t>’</w:t>
      </w:r>
      <w:r w:rsidRPr="003210F5">
        <w:t>ils fussent transférés dans les différentes unités susmentionnées avant de passer enfin en statut de semi-liberté. Le changement de statut était décidé par le conseil de la prison selon des critères se rapportant probablement au bon comportement des détenus et au bon fonctionnement de la prison.</w:t>
      </w:r>
    </w:p>
    <w:p w:rsidRPr="003210F5" w:rsidR="003A74F0" w:rsidP="003210F5" w:rsidRDefault="003A74F0" w14:paraId="29399DAA" w14:textId="7BC28CF1">
      <w:pPr>
        <w:pStyle w:val="JuPara"/>
      </w:pPr>
      <w:r w:rsidRPr="003210F5">
        <w:fldChar w:fldCharType="begin"/>
      </w:r>
      <w:r w:rsidRPr="003210F5">
        <w:instrText xml:space="preserve"> SEQ level0 \*arabic </w:instrText>
      </w:r>
      <w:r w:rsidRPr="003210F5">
        <w:fldChar w:fldCharType="separate"/>
      </w:r>
      <w:r w:rsidRPr="003210F5" w:rsidR="003210F5">
        <w:rPr>
          <w:noProof/>
        </w:rPr>
        <w:t>40</w:t>
      </w:r>
      <w:r w:rsidRPr="003210F5">
        <w:fldChar w:fldCharType="end"/>
      </w:r>
      <w:r w:rsidRPr="003210F5">
        <w:t>.  Chacun des trois immeubles disposait de quatre chambrées, chacune d</w:t>
      </w:r>
      <w:r w:rsidRPr="003210F5" w:rsidR="003210F5">
        <w:t>’</w:t>
      </w:r>
      <w:r w:rsidRPr="003210F5">
        <w:t>une superficie d</w:t>
      </w:r>
      <w:r w:rsidRPr="003210F5" w:rsidR="003210F5">
        <w:t>’</w:t>
      </w:r>
      <w:r w:rsidRPr="003210F5">
        <w:t>environ 80 m</w:t>
      </w:r>
      <w:r w:rsidRPr="003210F5">
        <w:rPr>
          <w:vertAlign w:val="superscript"/>
        </w:rPr>
        <w:t>2</w:t>
      </w:r>
      <w:r w:rsidRPr="003210F5">
        <w:t>, ainsi que d</w:t>
      </w:r>
      <w:r w:rsidRPr="003210F5" w:rsidR="003210F5">
        <w:t>’</w:t>
      </w:r>
      <w:r w:rsidRPr="003210F5">
        <w:t xml:space="preserve">une cour interne, et ils communiquaient par une cour commune accessible par tous les immeubles. Quand les détenus sortaient, </w:t>
      </w:r>
      <w:r w:rsidRPr="003210F5">
        <w:rPr>
          <w:rFonts w:ascii="Times New Roman" w:hAnsi="Times New Roman" w:cs="Times New Roman"/>
        </w:rPr>
        <w:t>c</w:t>
      </w:r>
      <w:r w:rsidRPr="003210F5" w:rsidR="003210F5">
        <w:rPr>
          <w:rFonts w:ascii="Times New Roman" w:hAnsi="Times New Roman" w:cs="Times New Roman"/>
        </w:rPr>
        <w:t>’</w:t>
      </w:r>
      <w:r w:rsidRPr="003210F5">
        <w:rPr>
          <w:rFonts w:ascii="Times New Roman" w:hAnsi="Times New Roman" w:cs="Times New Roman"/>
        </w:rPr>
        <w:t>est-à-dire</w:t>
      </w:r>
      <w:r w:rsidRPr="003210F5">
        <w:t xml:space="preserve"> de 8 heures à 13 h 30 et de 14 h 30 à 17 heures, les portes entre les cours restaient ouvertes et ils profitaient de cette espace unique. De 8 heures à 13 h 30, les détenus des immeubles B et C travaillaient en dehors des immeubles et les détenus de l</w:t>
      </w:r>
      <w:r w:rsidRPr="003210F5" w:rsidR="003210F5">
        <w:t>’</w:t>
      </w:r>
      <w:r w:rsidRPr="003210F5">
        <w:t>immeuble A étaient donc les seuls à utiliser la cour commune. Le jour de la visite du médiateur, environ 10 à 12 détenus séjournaient dans chaque chambrée. Chaque chambrée était équipée d</w:t>
      </w:r>
      <w:r w:rsidRPr="003210F5" w:rsidR="003210F5">
        <w:t>’</w:t>
      </w:r>
      <w:r w:rsidRPr="003210F5">
        <w:t>un cabinet de toilette, de deux lavabos et d</w:t>
      </w:r>
      <w:r w:rsidRPr="003210F5" w:rsidR="003210F5">
        <w:t>’</w:t>
      </w:r>
      <w:r w:rsidRPr="003210F5">
        <w:t>un second cabinet de toilette qui était converti en lieu de douches, de lits à un seul niveau, d</w:t>
      </w:r>
      <w:r w:rsidRPr="003210F5" w:rsidR="003210F5">
        <w:t>’</w:t>
      </w:r>
      <w:r w:rsidRPr="003210F5">
        <w:t>une table, d</w:t>
      </w:r>
      <w:r w:rsidRPr="003210F5" w:rsidR="003210F5">
        <w:t>’</w:t>
      </w:r>
      <w:r w:rsidRPr="003210F5">
        <w:t>un banc, d</w:t>
      </w:r>
      <w:r w:rsidRPr="003210F5" w:rsidR="003210F5">
        <w:t>’</w:t>
      </w:r>
      <w:r w:rsidRPr="003210F5">
        <w:t>un téléviseur, d</w:t>
      </w:r>
      <w:r w:rsidRPr="003210F5" w:rsidR="003210F5">
        <w:t>’</w:t>
      </w:r>
      <w:r w:rsidRPr="003210F5">
        <w:t>un réfrigérateur et de ventilateurs. Chaque immeuble était aussi équipé de deux à trois postes de téléphones à carte ainsi que d</w:t>
      </w:r>
      <w:r w:rsidRPr="003210F5" w:rsidR="003210F5">
        <w:t>’</w:t>
      </w:r>
      <w:r w:rsidRPr="003210F5">
        <w:t>un terrain de sports.</w:t>
      </w:r>
    </w:p>
    <w:p w:rsidRPr="003210F5" w:rsidR="003A74F0" w:rsidP="003210F5" w:rsidRDefault="003A74F0" w14:paraId="22624898" w14:textId="09CE6D5C">
      <w:pPr>
        <w:pStyle w:val="JuPara"/>
      </w:pPr>
      <w:r w:rsidRPr="003210F5">
        <w:fldChar w:fldCharType="begin"/>
      </w:r>
      <w:r w:rsidRPr="003210F5">
        <w:instrText xml:space="preserve"> SEQ level0 \*arabic </w:instrText>
      </w:r>
      <w:r w:rsidRPr="003210F5">
        <w:fldChar w:fldCharType="separate"/>
      </w:r>
      <w:r w:rsidRPr="003210F5" w:rsidR="003210F5">
        <w:rPr>
          <w:noProof/>
        </w:rPr>
        <w:t>41</w:t>
      </w:r>
      <w:r w:rsidRPr="003210F5">
        <w:fldChar w:fldCharType="end"/>
      </w:r>
      <w:r w:rsidRPr="003210F5">
        <w:t>.  Le domaine central comprenait en outre deux cantines et deux salles de visite. Il comprenait aussi la cuisine, un réfectoire extérieur couvert doté de tables, une boulangerie, une église, un magasin de vêtements offerts par des citoyens et des associations, une supérette, une infirmerie, un espace de coiffure, une bibliothèque, une salle d</w:t>
      </w:r>
      <w:r w:rsidRPr="003210F5" w:rsidR="003210F5">
        <w:t>’</w:t>
      </w:r>
      <w:r w:rsidRPr="003210F5">
        <w:t>événements et une salle d</w:t>
      </w:r>
      <w:r w:rsidRPr="003210F5" w:rsidR="003210F5">
        <w:t>’</w:t>
      </w:r>
      <w:r w:rsidRPr="003210F5">
        <w:t>enseignement ainsi que nombreux entrepôts.</w:t>
      </w:r>
    </w:p>
    <w:p w:rsidRPr="003210F5" w:rsidR="003A74F0" w:rsidP="003210F5" w:rsidRDefault="003A74F0" w14:paraId="2F87ADC9" w14:textId="510D4FD8">
      <w:pPr>
        <w:pStyle w:val="JuPara"/>
      </w:pPr>
      <w:r w:rsidRPr="003210F5">
        <w:fldChar w:fldCharType="begin"/>
      </w:r>
      <w:r w:rsidRPr="003210F5">
        <w:instrText xml:space="preserve"> SEQ level0 \*arabic </w:instrText>
      </w:r>
      <w:r w:rsidRPr="003210F5">
        <w:fldChar w:fldCharType="separate"/>
      </w:r>
      <w:r w:rsidRPr="003210F5" w:rsidR="003210F5">
        <w:rPr>
          <w:noProof/>
        </w:rPr>
        <w:t>42</w:t>
      </w:r>
      <w:r w:rsidRPr="003210F5">
        <w:fldChar w:fldCharType="end"/>
      </w:r>
      <w:r w:rsidRPr="003210F5">
        <w:t>.  Dans ce domaine central se trouvaient aussi la plupart des lieux de travail utilisés pour les unités de production animale et végétale (par exemple, un jardin potager, un poulailler, un clapier, une fromagerie, une étable, un moulin), un atelier, un entrepôt de carburants, des tracteurs, ainsi qu</w:t>
      </w:r>
      <w:r w:rsidRPr="003210F5" w:rsidR="003210F5">
        <w:t>’</w:t>
      </w:r>
      <w:r w:rsidRPr="003210F5">
        <w:t>un atelier de mouture des aliments pour les animaux.</w:t>
      </w:r>
    </w:p>
    <w:p w:rsidRPr="003210F5" w:rsidR="003A74F0" w:rsidP="003210F5" w:rsidRDefault="003A74F0" w14:paraId="0322C533" w14:textId="267B5AA7">
      <w:pPr>
        <w:pStyle w:val="JuPara"/>
        <w:rPr>
          <w:iCs/>
        </w:rPr>
      </w:pPr>
      <w:r w:rsidRPr="003210F5">
        <w:fldChar w:fldCharType="begin"/>
      </w:r>
      <w:r w:rsidRPr="003210F5">
        <w:instrText xml:space="preserve"> SEQ level0 \*arabic </w:instrText>
      </w:r>
      <w:r w:rsidRPr="003210F5">
        <w:fldChar w:fldCharType="separate"/>
      </w:r>
      <w:r w:rsidRPr="003210F5" w:rsidR="003210F5">
        <w:rPr>
          <w:noProof/>
        </w:rPr>
        <w:t>43</w:t>
      </w:r>
      <w:r w:rsidRPr="003210F5">
        <w:fldChar w:fldCharType="end"/>
      </w:r>
      <w:r w:rsidRPr="003210F5">
        <w:t>.  Autour des immeubles A, B et C il y avait des dortoirs (petites maisons) et des chambrées dispersées de détenus en semi-liberté. Certains d</w:t>
      </w:r>
      <w:r w:rsidRPr="003210F5" w:rsidR="003210F5">
        <w:t>’</w:t>
      </w:r>
      <w:r w:rsidRPr="003210F5">
        <w:t>entre eux étaient complètement autonomes et d</w:t>
      </w:r>
      <w:r w:rsidRPr="003210F5" w:rsidR="003210F5">
        <w:t>’</w:t>
      </w:r>
      <w:r w:rsidRPr="003210F5">
        <w:t>autres étaient attachés aux locaux de travail, par exemple à l</w:t>
      </w:r>
      <w:r w:rsidRPr="003210F5" w:rsidR="003210F5">
        <w:t>’</w:t>
      </w:r>
      <w:r w:rsidRPr="003210F5">
        <w:t>atelier ou à l</w:t>
      </w:r>
      <w:r w:rsidRPr="003210F5" w:rsidR="003210F5">
        <w:t>’</w:t>
      </w:r>
      <w:r w:rsidRPr="003210F5">
        <w:t>entrepôt des carburants. Le jour de la visite du médiateur environ 45 détenus séjournaient dans l</w:t>
      </w:r>
      <w:r w:rsidRPr="003210F5" w:rsidR="003210F5">
        <w:t>’</w:t>
      </w:r>
      <w:r w:rsidRPr="003210F5">
        <w:t>espace autour des immeubles A, B et C. La capacité exacte de cet espace affecté aux détenus en semi-liberté n</w:t>
      </w:r>
      <w:r w:rsidRPr="003210F5" w:rsidR="003210F5">
        <w:t>’</w:t>
      </w:r>
      <w:r w:rsidRPr="003210F5">
        <w:t>était pas précisée mais il était apparent à l</w:t>
      </w:r>
      <w:r w:rsidRPr="003210F5" w:rsidR="003210F5">
        <w:t>’</w:t>
      </w:r>
      <w:r w:rsidRPr="003210F5">
        <w:t>œil nu qu</w:t>
      </w:r>
      <w:r w:rsidRPr="003210F5" w:rsidR="003210F5">
        <w:t>’</w:t>
      </w:r>
      <w:r w:rsidRPr="003210F5">
        <w:t>elle était bien supérieure au nombre des détenus pendant la visite du médiateur.</w:t>
      </w:r>
      <w:r w:rsidRPr="003210F5">
        <w:rPr>
          <w:vertAlign w:val="superscript"/>
        </w:rPr>
        <w:t xml:space="preserve"> </w:t>
      </w:r>
      <w:r w:rsidRPr="003210F5">
        <w:t>Enfin, les trois annexes de la prison hébergeaient une vingtaine de détenus en semi-liberté qui travaillaient dans les travaux d</w:t>
      </w:r>
      <w:r w:rsidRPr="003210F5" w:rsidR="003210F5">
        <w:t>’</w:t>
      </w:r>
      <w:r w:rsidRPr="003210F5">
        <w:t>élevage. L</w:t>
      </w:r>
      <w:r w:rsidRPr="003210F5" w:rsidR="003210F5">
        <w:t>’</w:t>
      </w:r>
      <w:r w:rsidRPr="003210F5">
        <w:t>un de ces détenus séjournait seul en tant que gardien des immeubles.</w:t>
      </w:r>
    </w:p>
    <w:p w:rsidRPr="003210F5" w:rsidR="003A74F0" w:rsidP="003210F5" w:rsidRDefault="003A74F0" w14:paraId="67F3EC73" w14:textId="5BE061AE">
      <w:pPr>
        <w:pStyle w:val="JuPara"/>
      </w:pPr>
      <w:r w:rsidRPr="003210F5">
        <w:fldChar w:fldCharType="begin"/>
      </w:r>
      <w:r w:rsidRPr="003210F5">
        <w:instrText xml:space="preserve"> SEQ level0 \*arabic </w:instrText>
      </w:r>
      <w:r w:rsidRPr="003210F5">
        <w:fldChar w:fldCharType="separate"/>
      </w:r>
      <w:r w:rsidRPr="003210F5" w:rsidR="003210F5">
        <w:rPr>
          <w:noProof/>
        </w:rPr>
        <w:t>44</w:t>
      </w:r>
      <w:r w:rsidRPr="003210F5">
        <w:fldChar w:fldCharType="end"/>
      </w:r>
      <w:r w:rsidRPr="003210F5">
        <w:t xml:space="preserve">.  Le médiateur constata des « défauts importants dans la plus grande partie des infrastructures immobilières, notamment dans les lieux de détention et dans certains lieux de travail </w:t>
      </w:r>
      <w:r w:rsidRPr="003210F5">
        <w:rPr>
          <w:rFonts w:cstheme="minorHAnsi"/>
        </w:rPr>
        <w:t>»</w:t>
      </w:r>
      <w:r w:rsidRPr="003210F5">
        <w:t>, mais que, en ce qui concerne les immeubles A, B et C, il n</w:t>
      </w:r>
      <w:r w:rsidRPr="003210F5" w:rsidR="003210F5">
        <w:t>’</w:t>
      </w:r>
      <w:r w:rsidRPr="003210F5">
        <w:t>y avait pas de manque important d</w:t>
      </w:r>
      <w:r w:rsidRPr="003210F5" w:rsidR="003210F5">
        <w:t>’</w:t>
      </w:r>
      <w:r w:rsidRPr="003210F5">
        <w:t>espace vital. L</w:t>
      </w:r>
      <w:r w:rsidRPr="003210F5" w:rsidR="003210F5">
        <w:t>’</w:t>
      </w:r>
      <w:r w:rsidRPr="003210F5">
        <w:t>état des infrastructures immobilières était très mauvais et elles avaient besoin d</w:t>
      </w:r>
      <w:r w:rsidRPr="003210F5" w:rsidR="003210F5">
        <w:t>’</w:t>
      </w:r>
      <w:r w:rsidRPr="003210F5">
        <w:t>une rénovation immédiate. L</w:t>
      </w:r>
      <w:r w:rsidRPr="003210F5" w:rsidR="003210F5">
        <w:t>’</w:t>
      </w:r>
      <w:r w:rsidRPr="003210F5">
        <w:t>état des couvertures et des matelas était lui aussi mauvais et il fallait les changer. La provision d</w:t>
      </w:r>
      <w:r w:rsidRPr="003210F5" w:rsidR="003210F5">
        <w:t>’</w:t>
      </w:r>
      <w:r w:rsidRPr="003210F5">
        <w:t>eau chaude pendant une heure l</w:t>
      </w:r>
      <w:r w:rsidRPr="003210F5" w:rsidR="003210F5">
        <w:t>’</w:t>
      </w:r>
      <w:r w:rsidRPr="003210F5">
        <w:t>après-midi à la rentrée des détenus du travail et pendant trois heures le soir n</w:t>
      </w:r>
      <w:r w:rsidRPr="003210F5" w:rsidR="003210F5">
        <w:t>’</w:t>
      </w:r>
      <w:r w:rsidRPr="003210F5">
        <w:t>était pas suffisante. Le chauffage était lui aussi considéré comme insuffisant compte tenu de l</w:t>
      </w:r>
      <w:r w:rsidRPr="003210F5" w:rsidR="003210F5">
        <w:t>’</w:t>
      </w:r>
      <w:r w:rsidRPr="003210F5">
        <w:t>emplacement géographique de la prison. Le rapport nota aussi que la machine à laver était en panne et que les détenus devaient tout laver à la main.</w:t>
      </w:r>
    </w:p>
    <w:p w:rsidRPr="003210F5" w:rsidR="003A74F0" w:rsidP="003210F5" w:rsidRDefault="003A74F0" w14:paraId="13C2D717" w14:textId="3A2EA8F0">
      <w:pPr>
        <w:pStyle w:val="JuPara"/>
      </w:pPr>
      <w:r w:rsidRPr="003210F5">
        <w:fldChar w:fldCharType="begin"/>
      </w:r>
      <w:r w:rsidRPr="003210F5">
        <w:instrText xml:space="preserve"> SEQ level0 \*arabic </w:instrText>
      </w:r>
      <w:r w:rsidRPr="003210F5">
        <w:fldChar w:fldCharType="separate"/>
      </w:r>
      <w:r w:rsidRPr="003210F5" w:rsidR="003210F5">
        <w:rPr>
          <w:noProof/>
        </w:rPr>
        <w:t>45</w:t>
      </w:r>
      <w:r w:rsidRPr="003210F5">
        <w:fldChar w:fldCharType="end"/>
      </w:r>
      <w:r w:rsidRPr="003210F5">
        <w:t>.  Par ailleurs, dans les maisons et les chambrées des détenus en semi-liberté les conditions étaient meilleures, en raison non pas d</w:t>
      </w:r>
      <w:r w:rsidRPr="003210F5" w:rsidR="003210F5">
        <w:t>’</w:t>
      </w:r>
      <w:r w:rsidRPr="003210F5">
        <w:t>une meilleure infrastructure mais probablement du fait que ces détenus bénéficiaient d</w:t>
      </w:r>
      <w:r w:rsidRPr="003210F5" w:rsidR="003210F5">
        <w:t>’</w:t>
      </w:r>
      <w:r w:rsidRPr="003210F5">
        <w:t>une plus grande liberté de mouvement et d</w:t>
      </w:r>
      <w:r w:rsidRPr="003210F5" w:rsidR="003210F5">
        <w:t>’</w:t>
      </w:r>
      <w:r w:rsidRPr="003210F5">
        <w:t>organisation des lieux de séjour. Ils disposaient chez eux de machines à laver.</w:t>
      </w:r>
    </w:p>
    <w:p w:rsidRPr="003210F5" w:rsidR="003A74F0" w:rsidP="003210F5" w:rsidRDefault="003A74F0" w14:paraId="34C259A2" w14:textId="7CD25C7E">
      <w:pPr>
        <w:pStyle w:val="JuPara"/>
      </w:pPr>
      <w:r w:rsidRPr="003210F5">
        <w:fldChar w:fldCharType="begin"/>
      </w:r>
      <w:r w:rsidRPr="003210F5">
        <w:instrText xml:space="preserve"> SEQ level0 \*arabic </w:instrText>
      </w:r>
      <w:r w:rsidRPr="003210F5">
        <w:fldChar w:fldCharType="separate"/>
      </w:r>
      <w:r w:rsidRPr="003210F5" w:rsidR="003210F5">
        <w:rPr>
          <w:noProof/>
        </w:rPr>
        <w:t>46</w:t>
      </w:r>
      <w:r w:rsidRPr="003210F5">
        <w:fldChar w:fldCharType="end"/>
      </w:r>
      <w:r w:rsidRPr="003210F5">
        <w:t>.  En ce qui concerne les lieux de travail, le médiateur releva qu</w:t>
      </w:r>
      <w:r w:rsidRPr="003210F5" w:rsidR="003210F5">
        <w:t>’</w:t>
      </w:r>
      <w:r w:rsidRPr="003210F5">
        <w:t>ils étaient particulièrement vétustes, au niveau tant de l</w:t>
      </w:r>
      <w:r w:rsidRPr="003210F5" w:rsidR="003210F5">
        <w:t>’</w:t>
      </w:r>
      <w:r w:rsidRPr="003210F5">
        <w:t>infrastructure que de l</w:t>
      </w:r>
      <w:r w:rsidRPr="003210F5" w:rsidR="003210F5">
        <w:t>’</w:t>
      </w:r>
      <w:r w:rsidRPr="003210F5">
        <w:t>équipement, ce qui compromettait la sécurité des détenus pendant le travail.</w:t>
      </w:r>
    </w:p>
    <w:bookmarkStart w:name="fourtyeight" w:id="19"/>
    <w:p w:rsidRPr="003210F5" w:rsidR="003A74F0" w:rsidP="003210F5" w:rsidRDefault="003A74F0" w14:paraId="13C840B4" w14:textId="7AB6F543">
      <w:pPr>
        <w:pStyle w:val="JuPara"/>
      </w:pPr>
      <w:r w:rsidRPr="003210F5">
        <w:fldChar w:fldCharType="begin"/>
      </w:r>
      <w:r w:rsidRPr="003210F5">
        <w:instrText xml:space="preserve"> SEQ level0 \*arabic </w:instrText>
      </w:r>
      <w:r w:rsidRPr="003210F5">
        <w:fldChar w:fldCharType="separate"/>
      </w:r>
      <w:r w:rsidRPr="003210F5" w:rsidR="003210F5">
        <w:rPr>
          <w:noProof/>
        </w:rPr>
        <w:t>47</w:t>
      </w:r>
      <w:r w:rsidRPr="003210F5">
        <w:fldChar w:fldCharType="end"/>
      </w:r>
      <w:bookmarkEnd w:id="19"/>
      <w:r w:rsidRPr="003210F5">
        <w:t>.  Concernant les vêtements, les produits d</w:t>
      </w:r>
      <w:r w:rsidRPr="003210F5" w:rsidR="003210F5">
        <w:t>’</w:t>
      </w:r>
      <w:r w:rsidRPr="003210F5">
        <w:t>hygiène et les cigarettes, le médiateur indiqua que les besoins y relatifs étaient assurés par des dons de l</w:t>
      </w:r>
      <w:r w:rsidRPr="003210F5" w:rsidR="003210F5">
        <w:t>’</w:t>
      </w:r>
      <w:r w:rsidRPr="003210F5">
        <w:t>église et des citoyens. La quantité et la qualité de la nourriture ne posaient aucun problème aux détenus. L</w:t>
      </w:r>
      <w:r w:rsidRPr="003210F5" w:rsidR="003210F5">
        <w:t>’</w:t>
      </w:r>
      <w:r w:rsidRPr="003210F5">
        <w:t>établissement disposait d</w:t>
      </w:r>
      <w:r w:rsidRPr="003210F5" w:rsidR="003210F5">
        <w:t>’</w:t>
      </w:r>
      <w:r w:rsidRPr="003210F5">
        <w:t>un four à pain qui a été par la suite mis en vente. Une partie du lait, du fromage et des légumes produits dans la prison était utilisée pour l</w:t>
      </w:r>
      <w:r w:rsidRPr="003210F5" w:rsidR="003210F5">
        <w:t>’</w:t>
      </w:r>
      <w:r w:rsidRPr="003210F5">
        <w:t>alimentation des détenus et une autre partie était fournie à d</w:t>
      </w:r>
      <w:r w:rsidRPr="003210F5" w:rsidR="003210F5">
        <w:t>’</w:t>
      </w:r>
      <w:r w:rsidRPr="003210F5">
        <w:t>autres établissements de détention. Les animaux élevés étaient envoyés à un abattoir extérieur et une partie de la viande était utilisée pour l</w:t>
      </w:r>
      <w:r w:rsidRPr="003210F5" w:rsidR="003210F5">
        <w:t>’</w:t>
      </w:r>
      <w:r w:rsidRPr="003210F5">
        <w:t>alimentation des détenus.</w:t>
      </w:r>
    </w:p>
    <w:bookmarkStart w:name="fourtynine" w:id="20"/>
    <w:p w:rsidRPr="003210F5" w:rsidR="003A74F0" w:rsidP="003210F5" w:rsidRDefault="003A74F0" w14:paraId="492C9EEC" w14:textId="4C877C69">
      <w:pPr>
        <w:pStyle w:val="JuPara"/>
      </w:pPr>
      <w:r w:rsidRPr="003210F5">
        <w:fldChar w:fldCharType="begin"/>
      </w:r>
      <w:r w:rsidRPr="003210F5">
        <w:instrText xml:space="preserve"> SEQ level0 \*arabic </w:instrText>
      </w:r>
      <w:r w:rsidRPr="003210F5">
        <w:fldChar w:fldCharType="separate"/>
      </w:r>
      <w:r w:rsidRPr="003210F5" w:rsidR="003210F5">
        <w:rPr>
          <w:noProof/>
        </w:rPr>
        <w:t>48</w:t>
      </w:r>
      <w:r w:rsidRPr="003210F5">
        <w:fldChar w:fldCharType="end"/>
      </w:r>
      <w:bookmarkEnd w:id="20"/>
      <w:r w:rsidRPr="003210F5">
        <w:t>.  Le médiateur souligna que l</w:t>
      </w:r>
      <w:r w:rsidRPr="003210F5" w:rsidR="003210F5">
        <w:t>’</w:t>
      </w:r>
      <w:r w:rsidRPr="003210F5">
        <w:t>un des problèmes majeurs de l</w:t>
      </w:r>
      <w:r w:rsidRPr="003210F5" w:rsidR="003210F5">
        <w:t>’</w:t>
      </w:r>
      <w:r w:rsidRPr="003210F5">
        <w:t>établissement était l</w:t>
      </w:r>
      <w:r w:rsidRPr="003210F5" w:rsidR="003210F5">
        <w:t>’</w:t>
      </w:r>
      <w:r w:rsidRPr="003210F5">
        <w:t>insuffisance des soins médicaux et l</w:t>
      </w:r>
      <w:r w:rsidRPr="003210F5" w:rsidR="003210F5">
        <w:t>’</w:t>
      </w:r>
      <w:r w:rsidRPr="003210F5">
        <w:t>absence d</w:t>
      </w:r>
      <w:r w:rsidRPr="003210F5" w:rsidR="003210F5">
        <w:t>’</w:t>
      </w:r>
      <w:r w:rsidRPr="003210F5">
        <w:t>un service social et d</w:t>
      </w:r>
      <w:r w:rsidRPr="003210F5" w:rsidR="003210F5">
        <w:t>’</w:t>
      </w:r>
      <w:r w:rsidRPr="003210F5">
        <w:t>une aide psychologique. Un médecin généraliste se rendait trois fois par semaine dans la prison, qui était équipée d</w:t>
      </w:r>
      <w:r w:rsidRPr="003210F5" w:rsidR="003210F5">
        <w:t>’</w:t>
      </w:r>
      <w:r w:rsidRPr="003210F5">
        <w:t>un cabinet médical et d</w:t>
      </w:r>
      <w:r w:rsidRPr="003210F5" w:rsidR="003210F5">
        <w:t>’</w:t>
      </w:r>
      <w:r w:rsidRPr="003210F5">
        <w:t>une dentisterie. Le médiateur nota cependant que la plupart des détenus disposaient déjà un dossier médical des autres établissements pénitentiaires et qu</w:t>
      </w:r>
      <w:r w:rsidRPr="003210F5" w:rsidR="003210F5">
        <w:t>’</w:t>
      </w:r>
      <w:r w:rsidRPr="003210F5">
        <w:t>il ne fallait que continuer à leur fournir les soins médicaux déjà prescrits. Les soins médicaux étaient complétés par l</w:t>
      </w:r>
      <w:r w:rsidRPr="003210F5" w:rsidR="003210F5">
        <w:t>’</w:t>
      </w:r>
      <w:r w:rsidRPr="003210F5">
        <w:t>établissement de santé public de Kassandra et l</w:t>
      </w:r>
      <w:r w:rsidRPr="003210F5" w:rsidR="003210F5">
        <w:t>’</w:t>
      </w:r>
      <w:r w:rsidRPr="003210F5">
        <w:t>hôpital de Polygyros à une distance de 50 km. Le personnel assumait les fonctions de psychologue et de service social. L</w:t>
      </w:r>
      <w:r w:rsidRPr="003210F5" w:rsidR="003210F5">
        <w:t>’</w:t>
      </w:r>
      <w:r w:rsidRPr="003210F5">
        <w:t>absence totale de service social s</w:t>
      </w:r>
      <w:r w:rsidRPr="003210F5" w:rsidR="003210F5">
        <w:t>’</w:t>
      </w:r>
      <w:r w:rsidRPr="003210F5">
        <w:t>accompagnait d</w:t>
      </w:r>
      <w:r w:rsidRPr="003210F5" w:rsidR="003210F5">
        <w:t>’</w:t>
      </w:r>
      <w:r w:rsidRPr="003210F5">
        <w:t>une absence d</w:t>
      </w:r>
      <w:r w:rsidRPr="003210F5" w:rsidR="003210F5">
        <w:t>’</w:t>
      </w:r>
      <w:r w:rsidRPr="003210F5">
        <w:t>assistance juridique, qui était palliée par l</w:t>
      </w:r>
      <w:r w:rsidRPr="003210F5" w:rsidR="003210F5">
        <w:t>’</w:t>
      </w:r>
      <w:r w:rsidRPr="003210F5">
        <w:t>agent de la prison ayant le plus d</w:t>
      </w:r>
      <w:r w:rsidRPr="003210F5" w:rsidR="003210F5">
        <w:t>’</w:t>
      </w:r>
      <w:r w:rsidRPr="003210F5">
        <w:t>ancienneté. Un programme thérapeutique pour les toxicomanes était assuré une fois par semaine par l</w:t>
      </w:r>
      <w:r w:rsidRPr="003210F5" w:rsidR="003210F5">
        <w:t>’</w:t>
      </w:r>
      <w:r w:rsidRPr="003210F5">
        <w:t>organisme de droit privé sans but lucratif KETHEA (</w:t>
      </w:r>
      <w:r w:rsidRPr="003210F5">
        <w:rPr>
          <w:i/>
        </w:rPr>
        <w:t>Kέντρο Θεραπείας Εξαρτημένων Ατόμων, ΚE</w:t>
      </w:r>
      <w:r w:rsidRPr="003210F5">
        <w:rPr>
          <w:i/>
          <w:lang w:val="el-GR"/>
        </w:rPr>
        <w:t>ΘΕΑ</w:t>
      </w:r>
      <w:r w:rsidRPr="003210F5">
        <w:t>).</w:t>
      </w:r>
    </w:p>
    <w:p w:rsidRPr="003210F5" w:rsidR="003A74F0" w:rsidP="003210F5" w:rsidRDefault="003A74F0" w14:paraId="4FD99AE0" w14:textId="63876A54">
      <w:pPr>
        <w:pStyle w:val="JuPara"/>
      </w:pPr>
      <w:r w:rsidRPr="003210F5">
        <w:fldChar w:fldCharType="begin"/>
      </w:r>
      <w:r w:rsidRPr="003210F5">
        <w:instrText xml:space="preserve"> SEQ level0 \*arabic </w:instrText>
      </w:r>
      <w:r w:rsidRPr="003210F5">
        <w:fldChar w:fldCharType="separate"/>
      </w:r>
      <w:r w:rsidRPr="003210F5" w:rsidR="003210F5">
        <w:rPr>
          <w:noProof/>
        </w:rPr>
        <w:t>49</w:t>
      </w:r>
      <w:r w:rsidRPr="003210F5">
        <w:fldChar w:fldCharType="end"/>
      </w:r>
      <w:r w:rsidRPr="003210F5">
        <w:t>.  Quant aux activités éducatives et récréatives, le médiateur nota l</w:t>
      </w:r>
      <w:r w:rsidRPr="003210F5" w:rsidR="003210F5">
        <w:t>’</w:t>
      </w:r>
      <w:r w:rsidRPr="003210F5">
        <w:t>absence de programmes de formation professionnelle ou d</w:t>
      </w:r>
      <w:r w:rsidRPr="003210F5" w:rsidR="003210F5">
        <w:t>’</w:t>
      </w:r>
      <w:r w:rsidRPr="003210F5">
        <w:t>enseignement. Cependant, un programme d</w:t>
      </w:r>
      <w:r w:rsidRPr="003210F5" w:rsidR="003210F5">
        <w:t>’</w:t>
      </w:r>
      <w:r w:rsidRPr="003210F5">
        <w:t>activités sportives était organisé par la municipalité avec un entraîneur trois fois par semaine et des matchs de football. Enfin, le médiateur observa que les autorisations de sortie étaient fréquentes.</w:t>
      </w:r>
    </w:p>
    <w:p w:rsidRPr="003210F5" w:rsidR="003A74F0" w:rsidP="003210F5" w:rsidRDefault="003A74F0" w14:paraId="6A1766BA" w14:textId="70414B12">
      <w:pPr>
        <w:pStyle w:val="JuPara"/>
      </w:pPr>
      <w:r w:rsidRPr="003210F5">
        <w:fldChar w:fldCharType="begin"/>
      </w:r>
      <w:r w:rsidRPr="003210F5">
        <w:instrText xml:space="preserve"> SEQ level0 \*arabic </w:instrText>
      </w:r>
      <w:r w:rsidRPr="003210F5">
        <w:fldChar w:fldCharType="separate"/>
      </w:r>
      <w:r w:rsidRPr="003210F5" w:rsidR="003210F5">
        <w:rPr>
          <w:noProof/>
        </w:rPr>
        <w:t>50</w:t>
      </w:r>
      <w:r w:rsidRPr="003210F5">
        <w:fldChar w:fldCharType="end"/>
      </w:r>
      <w:r w:rsidRPr="003210F5">
        <w:t>.  En général, selon le rapport du médiateur, le problème majeur des conditions de détention dans la prison de Kassandra, qui était le premier établissement pénitentiaire de type agricole fonctionnant depuis 1930 et qui disposait de très grands terrains, était l</w:t>
      </w:r>
      <w:r w:rsidRPr="003210F5" w:rsidR="003210F5">
        <w:t>’</w:t>
      </w:r>
      <w:r w:rsidRPr="003210F5">
        <w:t>infrastructure.</w:t>
      </w:r>
    </w:p>
    <w:p w:rsidRPr="003210F5" w:rsidR="003A74F0" w:rsidP="003210F5" w:rsidRDefault="003A74F0" w14:paraId="1ECCE83B" w14:textId="712ABB78">
      <w:pPr>
        <w:pStyle w:val="JuPara"/>
      </w:pPr>
      <w:r w:rsidRPr="003210F5">
        <w:fldChar w:fldCharType="begin"/>
      </w:r>
      <w:r w:rsidRPr="003210F5">
        <w:instrText xml:space="preserve"> SEQ level0 \*arabic </w:instrText>
      </w:r>
      <w:r w:rsidRPr="003210F5">
        <w:fldChar w:fldCharType="separate"/>
      </w:r>
      <w:r w:rsidRPr="003210F5" w:rsidR="003210F5">
        <w:rPr>
          <w:noProof/>
        </w:rPr>
        <w:t>51</w:t>
      </w:r>
      <w:r w:rsidRPr="003210F5">
        <w:fldChar w:fldCharType="end"/>
      </w:r>
      <w:r w:rsidRPr="003210F5">
        <w:t>.  Le médiateur était d</w:t>
      </w:r>
      <w:r w:rsidRPr="003210F5" w:rsidR="003210F5">
        <w:t>’</w:t>
      </w:r>
      <w:r w:rsidRPr="003210F5">
        <w:t>avis que la privation de liberté, surtout des détenus en semi-liberté qui séjournaient dans des dortoirs autour des immeubles centraux mais aussi des détenus qui séjournaient dans les immeubles B et C, semblait objectivement avoir des effets moins sévères sur leur qualité de vie. Il estima cependant, que les installations obsolètes, le dysfonctionnement de certaines unités de production, le manque de personnel spécialisé et l</w:t>
      </w:r>
      <w:r w:rsidRPr="003210F5" w:rsidR="003210F5">
        <w:t>’</w:t>
      </w:r>
      <w:r w:rsidRPr="003210F5">
        <w:t>absence totale de conception centralisée de la gestion et de l</w:t>
      </w:r>
      <w:r w:rsidRPr="003210F5" w:rsidR="003210F5">
        <w:t>’</w:t>
      </w:r>
      <w:r w:rsidRPr="003210F5">
        <w:t>exploitation de toutes les possibilités de culture et de production sur ces terrains pouvaient mettre en cause la justification de l</w:t>
      </w:r>
      <w:r w:rsidRPr="003210F5" w:rsidR="003210F5">
        <w:t>’</w:t>
      </w:r>
      <w:r w:rsidRPr="003210F5">
        <w:t>institution de la prison agricole.</w:t>
      </w:r>
    </w:p>
    <w:bookmarkStart w:name="fiftythree" w:id="21"/>
    <w:p w:rsidRPr="003210F5" w:rsidR="003A74F0" w:rsidP="003210F5" w:rsidRDefault="003A74F0" w14:paraId="35F5E02C" w14:textId="15B1BFF3">
      <w:pPr>
        <w:pStyle w:val="JuPara"/>
      </w:pPr>
      <w:r w:rsidRPr="003210F5">
        <w:fldChar w:fldCharType="begin"/>
      </w:r>
      <w:r w:rsidRPr="003210F5">
        <w:instrText xml:space="preserve"> SEQ level0 \*arabic </w:instrText>
      </w:r>
      <w:r w:rsidRPr="003210F5">
        <w:fldChar w:fldCharType="separate"/>
      </w:r>
      <w:r w:rsidRPr="003210F5" w:rsidR="003210F5">
        <w:rPr>
          <w:noProof/>
        </w:rPr>
        <w:t>52</w:t>
      </w:r>
      <w:r w:rsidRPr="003210F5">
        <w:fldChar w:fldCharType="end"/>
      </w:r>
      <w:bookmarkEnd w:id="21"/>
      <w:r w:rsidRPr="003210F5">
        <w:t xml:space="preserve">.  Enfin, </w:t>
      </w:r>
      <w:r w:rsidRPr="003210F5">
        <w:rPr>
          <w:rFonts w:eastAsiaTheme="minorEastAsia"/>
        </w:rPr>
        <w:t>dans sa lettre datée du 21 novembre 2014 adressée au secrétaire général du ministre de la Justice qui accompagnait le rapport de la visite dans la prison de Kassandra, le médiateur de la République souligna la nécessité urgente d</w:t>
      </w:r>
      <w:r w:rsidRPr="003210F5" w:rsidR="003210F5">
        <w:rPr>
          <w:rFonts w:eastAsiaTheme="minorEastAsia"/>
        </w:rPr>
        <w:t>’</w:t>
      </w:r>
      <w:r w:rsidRPr="003210F5">
        <w:rPr>
          <w:rFonts w:eastAsiaTheme="minorEastAsia"/>
        </w:rPr>
        <w:t xml:space="preserve">une conception </w:t>
      </w:r>
      <w:r w:rsidRPr="003210F5">
        <w:t xml:space="preserve">centralisée et </w:t>
      </w:r>
      <w:r w:rsidRPr="003210F5">
        <w:rPr>
          <w:rFonts w:eastAsiaTheme="minorEastAsia"/>
        </w:rPr>
        <w:t>stratégique du fonctionnement des prisons agricoles et de l</w:t>
      </w:r>
      <w:r w:rsidRPr="003210F5" w:rsidR="003210F5">
        <w:rPr>
          <w:rFonts w:eastAsiaTheme="minorEastAsia"/>
        </w:rPr>
        <w:t>’</w:t>
      </w:r>
      <w:r w:rsidRPr="003210F5">
        <w:rPr>
          <w:rFonts w:eastAsiaTheme="minorEastAsia"/>
        </w:rPr>
        <w:t>adoption d</w:t>
      </w:r>
      <w:r w:rsidRPr="003210F5" w:rsidR="003210F5">
        <w:rPr>
          <w:rFonts w:eastAsiaTheme="minorEastAsia"/>
        </w:rPr>
        <w:t>’</w:t>
      </w:r>
      <w:r w:rsidRPr="003210F5">
        <w:rPr>
          <w:rFonts w:eastAsiaTheme="minorEastAsia"/>
        </w:rPr>
        <w:t>un règlement interne afin de soutenir cette institution et de remédier à l</w:t>
      </w:r>
      <w:r w:rsidRPr="003210F5" w:rsidR="003210F5">
        <w:rPr>
          <w:rFonts w:eastAsiaTheme="minorEastAsia"/>
        </w:rPr>
        <w:t>’</w:t>
      </w:r>
      <w:r w:rsidRPr="003210F5">
        <w:rPr>
          <w:rFonts w:eastAsiaTheme="minorEastAsia"/>
        </w:rPr>
        <w:t>encombrement des autres prisons. Il nota en outre que parmi les points à traiter immédiatement figuraient l</w:t>
      </w:r>
      <w:r w:rsidRPr="003210F5" w:rsidR="003210F5">
        <w:rPr>
          <w:rFonts w:eastAsiaTheme="minorEastAsia"/>
        </w:rPr>
        <w:t>’</w:t>
      </w:r>
      <w:r w:rsidRPr="003210F5">
        <w:rPr>
          <w:rFonts w:eastAsiaTheme="minorEastAsia"/>
        </w:rPr>
        <w:t>amélioration de l</w:t>
      </w:r>
      <w:r w:rsidRPr="003210F5" w:rsidR="003210F5">
        <w:rPr>
          <w:rFonts w:eastAsiaTheme="minorEastAsia"/>
        </w:rPr>
        <w:t>’</w:t>
      </w:r>
      <w:r w:rsidRPr="003210F5">
        <w:rPr>
          <w:rFonts w:eastAsiaTheme="minorEastAsia"/>
        </w:rPr>
        <w:t>infrastructure des bâtiments et surtout des lieux sanitaires, le changement de la literie, la désignation d</w:t>
      </w:r>
      <w:r w:rsidRPr="003210F5" w:rsidR="003210F5">
        <w:rPr>
          <w:rFonts w:eastAsiaTheme="minorEastAsia"/>
        </w:rPr>
        <w:t>’</w:t>
      </w:r>
      <w:r w:rsidRPr="003210F5">
        <w:rPr>
          <w:rFonts w:eastAsiaTheme="minorEastAsia"/>
        </w:rPr>
        <w:t>un médecin permanent, d</w:t>
      </w:r>
      <w:r w:rsidRPr="003210F5" w:rsidR="003210F5">
        <w:rPr>
          <w:rFonts w:eastAsiaTheme="minorEastAsia"/>
        </w:rPr>
        <w:t>’</w:t>
      </w:r>
      <w:r w:rsidRPr="003210F5">
        <w:rPr>
          <w:rFonts w:eastAsiaTheme="minorEastAsia"/>
        </w:rPr>
        <w:t>un travailleur social et d</w:t>
      </w:r>
      <w:r w:rsidRPr="003210F5" w:rsidR="003210F5">
        <w:rPr>
          <w:rFonts w:eastAsiaTheme="minorEastAsia"/>
        </w:rPr>
        <w:t>’</w:t>
      </w:r>
      <w:r w:rsidRPr="003210F5">
        <w:rPr>
          <w:rFonts w:eastAsiaTheme="minorEastAsia"/>
        </w:rPr>
        <w:t>un psychologue, ainsi que l</w:t>
      </w:r>
      <w:r w:rsidRPr="003210F5" w:rsidR="003210F5">
        <w:rPr>
          <w:rFonts w:eastAsiaTheme="minorEastAsia"/>
        </w:rPr>
        <w:t>’</w:t>
      </w:r>
      <w:r w:rsidRPr="003210F5">
        <w:rPr>
          <w:rFonts w:eastAsiaTheme="minorEastAsia"/>
        </w:rPr>
        <w:t>achat d</w:t>
      </w:r>
      <w:r w:rsidRPr="003210F5" w:rsidR="003210F5">
        <w:rPr>
          <w:rFonts w:eastAsiaTheme="minorEastAsia"/>
        </w:rPr>
        <w:t>’</w:t>
      </w:r>
      <w:r w:rsidRPr="003210F5">
        <w:rPr>
          <w:rFonts w:eastAsiaTheme="minorEastAsia"/>
        </w:rPr>
        <w:t xml:space="preserve">une machine à laver pour les bâtiments A, B et C. Il ajouta que parmi les enjeux importants, il y avait le recrutement de personnel spécialisé, le renforcement du personnel de garde et la fourniture de programmes </w:t>
      </w:r>
      <w:r w:rsidRPr="003210F5">
        <w:t>de formation professionnelle et d</w:t>
      </w:r>
      <w:r w:rsidRPr="003210F5" w:rsidR="003210F5">
        <w:t>’</w:t>
      </w:r>
      <w:r w:rsidRPr="003210F5">
        <w:t>enseignement. Il proposa aussi la mise en place immédiate d</w:t>
      </w:r>
      <w:r w:rsidRPr="003210F5" w:rsidR="003210F5">
        <w:t>’</w:t>
      </w:r>
      <w:r w:rsidRPr="003210F5">
        <w:t>une unité thérapeutique de traitement des détenus toxicomanes.</w:t>
      </w:r>
    </w:p>
    <w:p w:rsidRPr="003210F5" w:rsidR="003A74F0" w:rsidP="003210F5" w:rsidRDefault="003A74F0" w14:paraId="34A5CF6D" w14:textId="77777777">
      <w:pPr>
        <w:pStyle w:val="JuHHead"/>
      </w:pPr>
      <w:bookmarkStart w:name="_Hlk36127250" w:id="22"/>
      <w:r w:rsidRPr="003210F5">
        <w:t>EN DROIT</w:t>
      </w:r>
      <w:bookmarkEnd w:id="22"/>
    </w:p>
    <w:p w:rsidRPr="003210F5" w:rsidR="003A74F0" w:rsidP="003210F5" w:rsidRDefault="003A74F0" w14:paraId="58136176" w14:textId="0D08F973">
      <w:pPr>
        <w:pStyle w:val="JuHIRoman"/>
      </w:pPr>
      <w:r w:rsidRPr="003210F5">
        <w:t>SUR LA VIOLATION ALLÉGUÉE DE L</w:t>
      </w:r>
      <w:r w:rsidRPr="003210F5" w:rsidR="003210F5">
        <w:t>’</w:t>
      </w:r>
      <w:r w:rsidRPr="003210F5">
        <w:t>ARTICLE 3 DE LA CONVENTION</w:t>
      </w:r>
    </w:p>
    <w:p w:rsidRPr="003210F5" w:rsidR="003A74F0" w:rsidP="003210F5" w:rsidRDefault="003A74F0" w14:paraId="7A8ED60A" w14:textId="082E905A">
      <w:pPr>
        <w:pStyle w:val="JuPara"/>
        <w:rPr>
          <w:rFonts w:eastAsiaTheme="minorEastAsia"/>
        </w:rPr>
      </w:pPr>
      <w:r w:rsidRPr="003210F5">
        <w:fldChar w:fldCharType="begin"/>
      </w:r>
      <w:r w:rsidRPr="003210F5">
        <w:instrText xml:space="preserve"> SEQ level0 \*arabic </w:instrText>
      </w:r>
      <w:r w:rsidRPr="003210F5">
        <w:fldChar w:fldCharType="separate"/>
      </w:r>
      <w:r w:rsidRPr="003210F5" w:rsidR="003210F5">
        <w:rPr>
          <w:noProof/>
        </w:rPr>
        <w:t>53</w:t>
      </w:r>
      <w:r w:rsidRPr="003210F5">
        <w:fldChar w:fldCharType="end"/>
      </w:r>
      <w:r w:rsidRPr="003210F5">
        <w:t>.</w:t>
      </w:r>
      <w:r w:rsidRPr="003210F5">
        <w:rPr>
          <w:rFonts w:eastAsiaTheme="minorEastAsia"/>
        </w:rPr>
        <w:t>  Invoquant l</w:t>
      </w:r>
      <w:r w:rsidRPr="003210F5" w:rsidR="003210F5">
        <w:rPr>
          <w:rFonts w:eastAsiaTheme="minorEastAsia"/>
        </w:rPr>
        <w:t>’</w:t>
      </w:r>
      <w:r w:rsidRPr="003210F5">
        <w:rPr>
          <w:rFonts w:eastAsiaTheme="minorEastAsia"/>
        </w:rPr>
        <w:t>article 3 de la Convention, les requérants se plaignent des conditions dans lesquelles ils ont été détenus dans la prison agricole de Kassandra. Ladite disposition est ainsi libellée :</w:t>
      </w:r>
    </w:p>
    <w:p w:rsidRPr="003210F5" w:rsidR="003A74F0" w:rsidP="003210F5" w:rsidRDefault="003A74F0" w14:paraId="54B6263B" w14:textId="77777777">
      <w:pPr>
        <w:pStyle w:val="JuQuot"/>
      </w:pPr>
      <w:r w:rsidRPr="003210F5">
        <w:t>« Nul ne peut être soumis à la torture ni à des peines ou traitements inhumains ou dégradants. »</w:t>
      </w:r>
    </w:p>
    <w:p w:rsidRPr="003210F5" w:rsidR="003A74F0" w:rsidP="003210F5" w:rsidRDefault="003A74F0" w14:paraId="6AE59526" w14:textId="12A75465">
      <w:pPr>
        <w:pStyle w:val="JuHA"/>
      </w:pPr>
      <w:bookmarkStart w:name="_Hlk62487810" w:id="23"/>
      <w:bookmarkStart w:name="_Hlk62486034" w:id="24"/>
      <w:r w:rsidRPr="003210F5">
        <w:t>Sur l</w:t>
      </w:r>
      <w:r w:rsidRPr="003210F5" w:rsidR="003210F5">
        <w:t>’</w:t>
      </w:r>
      <w:r w:rsidRPr="003210F5">
        <w:t>exception préliminaire du Gouvernement</w:t>
      </w:r>
    </w:p>
    <w:p w:rsidRPr="003210F5" w:rsidR="003A74F0" w:rsidP="003210F5" w:rsidRDefault="003A74F0" w14:paraId="0497CC58" w14:textId="77777777">
      <w:pPr>
        <w:pStyle w:val="JuH1"/>
      </w:pPr>
      <w:bookmarkStart w:name="_Hlk62486218" w:id="25"/>
      <w:bookmarkEnd w:id="23"/>
      <w:r w:rsidRPr="003210F5">
        <w:t>Les arguments des parties</w:t>
      </w:r>
    </w:p>
    <w:bookmarkStart w:name="ninetyfive" w:id="26"/>
    <w:bookmarkStart w:name="fiftyfour" w:id="27"/>
    <w:bookmarkEnd w:id="25"/>
    <w:p w:rsidRPr="003210F5" w:rsidR="003A74F0" w:rsidP="003210F5" w:rsidRDefault="003A74F0" w14:paraId="4E86F10F" w14:textId="37E89332">
      <w:pPr>
        <w:pStyle w:val="JuPara"/>
        <w:rPr>
          <w:rStyle w:val="JuParaChar"/>
        </w:rPr>
      </w:pPr>
      <w:r w:rsidRPr="003210F5">
        <w:fldChar w:fldCharType="begin"/>
      </w:r>
      <w:r w:rsidRPr="003210F5">
        <w:instrText xml:space="preserve"> SEQ level0 \*arabic </w:instrText>
      </w:r>
      <w:r w:rsidRPr="003210F5">
        <w:fldChar w:fldCharType="separate"/>
      </w:r>
      <w:r w:rsidRPr="003210F5" w:rsidR="003210F5">
        <w:rPr>
          <w:noProof/>
        </w:rPr>
        <w:t>54</w:t>
      </w:r>
      <w:r w:rsidRPr="003210F5">
        <w:fldChar w:fldCharType="end"/>
      </w:r>
      <w:bookmarkEnd w:id="26"/>
      <w:bookmarkEnd w:id="27"/>
      <w:r w:rsidRPr="003210F5">
        <w:t>.  </w:t>
      </w:r>
      <w:r w:rsidRPr="003210F5">
        <w:rPr>
          <w:rStyle w:val="JuParaChar"/>
        </w:rPr>
        <w:t>Le Gouvernement invite la Cour à rejeter ce grief pour non-épuisement des voies de recours internes au motif que les requérants désignés</w:t>
      </w:r>
      <w:r w:rsidRPr="003210F5">
        <w:t xml:space="preserve"> sous les n</w:t>
      </w:r>
      <w:r w:rsidRPr="003210F5">
        <w:rPr>
          <w:vertAlign w:val="superscript"/>
        </w:rPr>
        <w:t>os</w:t>
      </w:r>
      <w:r w:rsidRPr="003210F5">
        <w:t xml:space="preserve"> 3</w:t>
      </w:r>
      <w:r w:rsidRPr="003210F5">
        <w:rPr>
          <w:rStyle w:val="JuParaChar"/>
        </w:rPr>
        <w:t>, 8, 9, 15, 18, 21, 22, 24, 25 et 29 avaient été libérés avant la date d</w:t>
      </w:r>
      <w:r w:rsidRPr="003210F5" w:rsidR="003210F5">
        <w:rPr>
          <w:rStyle w:val="JuParaChar"/>
        </w:rPr>
        <w:t>’</w:t>
      </w:r>
      <w:r w:rsidRPr="003210F5">
        <w:rPr>
          <w:rStyle w:val="JuParaChar"/>
        </w:rPr>
        <w:t>introduction de la requête. Il estime qu</w:t>
      </w:r>
      <w:r w:rsidRPr="003210F5" w:rsidR="003210F5">
        <w:rPr>
          <w:rStyle w:val="JuParaChar"/>
        </w:rPr>
        <w:t>’</w:t>
      </w:r>
      <w:r w:rsidRPr="003210F5">
        <w:rPr>
          <w:rStyle w:val="JuParaChar"/>
        </w:rPr>
        <w:t>avant de saisir la Cour ils auraient</w:t>
      </w:r>
      <w:r w:rsidRPr="003210F5">
        <w:t xml:space="preserve"> </w:t>
      </w:r>
      <w:r w:rsidRPr="003210F5">
        <w:rPr>
          <w:rStyle w:val="JuParaChar"/>
        </w:rPr>
        <w:t>dû engager une action en dommages-intérêts sur le fondement de l</w:t>
      </w:r>
      <w:r w:rsidRPr="003210F5" w:rsidR="003210F5">
        <w:rPr>
          <w:rStyle w:val="JuParaChar"/>
        </w:rPr>
        <w:t>’</w:t>
      </w:r>
      <w:r w:rsidRPr="003210F5">
        <w:rPr>
          <w:rStyle w:val="JuParaChar"/>
        </w:rPr>
        <w:t>article</w:t>
      </w:r>
      <w:r w:rsidRPr="003210F5" w:rsidR="00001F51">
        <w:rPr>
          <w:rStyle w:val="JuParaChar"/>
        </w:rPr>
        <w:t> </w:t>
      </w:r>
      <w:r w:rsidRPr="003210F5">
        <w:rPr>
          <w:rStyle w:val="JuParaChar"/>
        </w:rPr>
        <w:t>105 de la loi d</w:t>
      </w:r>
      <w:r w:rsidRPr="003210F5" w:rsidR="003210F5">
        <w:rPr>
          <w:rStyle w:val="JuParaChar"/>
        </w:rPr>
        <w:t>’</w:t>
      </w:r>
      <w:r w:rsidRPr="003210F5">
        <w:rPr>
          <w:rStyle w:val="JuParaChar"/>
        </w:rPr>
        <w:t>accompagnement du code civil.</w:t>
      </w:r>
    </w:p>
    <w:p w:rsidRPr="003210F5" w:rsidR="003A74F0" w:rsidP="003210F5" w:rsidRDefault="003A74F0" w14:paraId="29DAA2EB" w14:textId="36C603F6">
      <w:pPr>
        <w:pStyle w:val="JuPara"/>
      </w:pPr>
      <w:r w:rsidRPr="003210F5">
        <w:fldChar w:fldCharType="begin"/>
      </w:r>
      <w:r w:rsidRPr="003210F5">
        <w:instrText xml:space="preserve"> SEQ level0 \*arabic </w:instrText>
      </w:r>
      <w:r w:rsidRPr="003210F5">
        <w:fldChar w:fldCharType="separate"/>
      </w:r>
      <w:r w:rsidRPr="003210F5" w:rsidR="003210F5">
        <w:rPr>
          <w:noProof/>
        </w:rPr>
        <w:t>55</w:t>
      </w:r>
      <w:r w:rsidRPr="003210F5">
        <w:fldChar w:fldCharType="end"/>
      </w:r>
      <w:r w:rsidRPr="003210F5">
        <w:t>.  Le Gouvernement note aussi que, le 1</w:t>
      </w:r>
      <w:r w:rsidRPr="003210F5">
        <w:rPr>
          <w:vertAlign w:val="superscript"/>
        </w:rPr>
        <w:t>er</w:t>
      </w:r>
      <w:r w:rsidRPr="003210F5">
        <w:t xml:space="preserve"> mars 2013, le requérant désigné sous le n</w:t>
      </w:r>
      <w:r w:rsidRPr="003210F5">
        <w:rPr>
          <w:vertAlign w:val="superscript"/>
        </w:rPr>
        <w:t>o</w:t>
      </w:r>
      <w:r w:rsidRPr="003210F5">
        <w:t xml:space="preserve"> 23 a enfreint la permission de sortie qui lui avait été accordée et qu</w:t>
      </w:r>
      <w:r w:rsidRPr="003210F5" w:rsidR="003210F5">
        <w:t>’</w:t>
      </w:r>
      <w:r w:rsidRPr="003210F5">
        <w:t>il n</w:t>
      </w:r>
      <w:r w:rsidRPr="003210F5" w:rsidR="003210F5">
        <w:t>’</w:t>
      </w:r>
      <w:r w:rsidRPr="003210F5">
        <w:t>est pas rentré à la prison de Kassandra. Il ajoute que le requérant désigné sous le n</w:t>
      </w:r>
      <w:r w:rsidRPr="003210F5">
        <w:rPr>
          <w:vertAlign w:val="superscript"/>
        </w:rPr>
        <w:t>o</w:t>
      </w:r>
      <w:r w:rsidRPr="003210F5">
        <w:t xml:space="preserve"> 31 a été transféré dans la prison de Diavata à Thessalonique. Il soutient qu</w:t>
      </w:r>
      <w:r w:rsidRPr="003210F5" w:rsidR="003210F5">
        <w:t>’</w:t>
      </w:r>
      <w:r w:rsidRPr="003210F5">
        <w:t xml:space="preserve">en saisissant la Cour, ces requérants ne visaient pas à mettre fin à une situation continue mais à obtenir </w:t>
      </w:r>
      <w:r w:rsidRPr="003210F5">
        <w:rPr>
          <w:i/>
          <w:iCs/>
        </w:rPr>
        <w:t>a posteriori</w:t>
      </w:r>
      <w:r w:rsidRPr="003210F5">
        <w:t xml:space="preserve"> un constat de la violation de l</w:t>
      </w:r>
      <w:r w:rsidRPr="003210F5" w:rsidR="003210F5">
        <w:t>’</w:t>
      </w:r>
      <w:r w:rsidRPr="003210F5">
        <w:t>article 3 qu</w:t>
      </w:r>
      <w:r w:rsidRPr="003210F5" w:rsidR="003210F5">
        <w:t>’</w:t>
      </w:r>
      <w:r w:rsidRPr="003210F5">
        <w:t>ils alléguaient et une indemnité pour le préjudice moral qu</w:t>
      </w:r>
      <w:r w:rsidRPr="003210F5" w:rsidR="003210F5">
        <w:t>’</w:t>
      </w:r>
      <w:r w:rsidRPr="003210F5">
        <w:t>ils estimaient avoir subi.</w:t>
      </w:r>
    </w:p>
    <w:p w:rsidRPr="003210F5" w:rsidR="003A74F0" w:rsidP="003210F5" w:rsidRDefault="003A74F0" w14:paraId="43A8DC60" w14:textId="50F847DC">
      <w:pPr>
        <w:pStyle w:val="JuPara"/>
      </w:pPr>
      <w:r w:rsidRPr="003210F5">
        <w:fldChar w:fldCharType="begin"/>
      </w:r>
      <w:r w:rsidRPr="003210F5">
        <w:instrText xml:space="preserve"> SEQ level0 \*arabic </w:instrText>
      </w:r>
      <w:r w:rsidRPr="003210F5">
        <w:fldChar w:fldCharType="separate"/>
      </w:r>
      <w:r w:rsidRPr="003210F5" w:rsidR="003210F5">
        <w:rPr>
          <w:noProof/>
        </w:rPr>
        <w:t>56</w:t>
      </w:r>
      <w:r w:rsidRPr="003210F5">
        <w:fldChar w:fldCharType="end"/>
      </w:r>
      <w:r w:rsidRPr="003210F5">
        <w:t>.  Concernant en particulier le requérant désigné sous le n</w:t>
      </w:r>
      <w:r w:rsidRPr="003210F5">
        <w:rPr>
          <w:vertAlign w:val="superscript"/>
        </w:rPr>
        <w:t>o</w:t>
      </w:r>
      <w:r w:rsidRPr="003210F5">
        <w:t xml:space="preserve"> 5, le Gouvernement affirme que, à la date d</w:t>
      </w:r>
      <w:r w:rsidRPr="003210F5" w:rsidR="003210F5">
        <w:t>’</w:t>
      </w:r>
      <w:r w:rsidRPr="003210F5">
        <w:t>introduction de la requête devant la Cour, il avait été libéré. Ce détenu aurait été détenu dans la prison de Kassandra du 15 octobre 2012 au 27 mars 2013. Il y aurait été réincarcéré le 11 octobre 2013 afin d</w:t>
      </w:r>
      <w:r w:rsidRPr="003210F5" w:rsidR="003210F5">
        <w:t>’</w:t>
      </w:r>
      <w:r w:rsidRPr="003210F5">
        <w:t>y purger une nouvelle peine à la suite d</w:t>
      </w:r>
      <w:r w:rsidRPr="003210F5" w:rsidR="003210F5">
        <w:t>’</w:t>
      </w:r>
      <w:r w:rsidRPr="003210F5">
        <w:t>une nouvelle condamnation prononcée par un arrêt rendu le 13 mai 2013. Il aurait par la suite été remis en liberté le 22 novembre 2013. Dès lors, selon le Gouvernement, il ne se plaint que des conditions dans lesquelles il a été détenu, mais pas de l</w:t>
      </w:r>
      <w:r w:rsidRPr="003210F5" w:rsidR="003210F5">
        <w:t>’</w:t>
      </w:r>
      <w:r w:rsidRPr="003210F5">
        <w:t>éventualité d</w:t>
      </w:r>
      <w:r w:rsidRPr="003210F5" w:rsidR="003210F5">
        <w:t>’</w:t>
      </w:r>
      <w:r w:rsidRPr="003210F5">
        <w:t>être détenu à l</w:t>
      </w:r>
      <w:r w:rsidRPr="003210F5" w:rsidR="003210F5">
        <w:t>’</w:t>
      </w:r>
      <w:r w:rsidRPr="003210F5">
        <w:t>avenir dans la même prison en exécution d</w:t>
      </w:r>
      <w:r w:rsidRPr="003210F5" w:rsidR="003210F5">
        <w:t>’</w:t>
      </w:r>
      <w:r w:rsidRPr="003210F5">
        <w:t>une nouvelle décision de condamnation rendue après sa remise en liberté.</w:t>
      </w:r>
    </w:p>
    <w:bookmarkStart w:name="fiftyseven" w:id="28"/>
    <w:p w:rsidRPr="003210F5" w:rsidR="003A74F0" w:rsidP="003210F5" w:rsidRDefault="003A74F0" w14:paraId="401B21E5" w14:textId="50B36CCF">
      <w:pPr>
        <w:pStyle w:val="JuPara"/>
        <w:rPr>
          <w:vertAlign w:val="superscript"/>
        </w:rPr>
      </w:pPr>
      <w:r w:rsidRPr="003210F5">
        <w:fldChar w:fldCharType="begin"/>
      </w:r>
      <w:r w:rsidRPr="003210F5">
        <w:instrText xml:space="preserve"> SEQ level0 \*arabic </w:instrText>
      </w:r>
      <w:r w:rsidRPr="003210F5">
        <w:fldChar w:fldCharType="separate"/>
      </w:r>
      <w:r w:rsidRPr="003210F5" w:rsidR="003210F5">
        <w:rPr>
          <w:noProof/>
        </w:rPr>
        <w:t>57</w:t>
      </w:r>
      <w:r w:rsidRPr="003210F5">
        <w:fldChar w:fldCharType="end"/>
      </w:r>
      <w:bookmarkEnd w:id="28"/>
      <w:r w:rsidRPr="003210F5">
        <w:t>.  Le Gouvernement excipe du non-épuisement des voies de recours internes également pour les requérants désignés sous les n</w:t>
      </w:r>
      <w:r w:rsidRPr="003210F5">
        <w:rPr>
          <w:vertAlign w:val="superscript"/>
        </w:rPr>
        <w:t xml:space="preserve">os </w:t>
      </w:r>
      <w:bookmarkStart w:name="_Hlk62730724" w:id="29"/>
      <w:r w:rsidRPr="003210F5">
        <w:t>1, 2, 4 à 6, 11 à 14, 16, 17, 19, 20, 24, 26 à 28, 30, 31, 33 et 34</w:t>
      </w:r>
      <w:bookmarkEnd w:id="29"/>
      <w:r w:rsidRPr="003210F5">
        <w:t>. Selon lui, ceux-ci n</w:t>
      </w:r>
      <w:r w:rsidRPr="003210F5" w:rsidR="003210F5">
        <w:t>’</w:t>
      </w:r>
      <w:r w:rsidRPr="003210F5">
        <w:t>étaient plus détenus dans la prison de Kassandra à la date à laquelle il a rédigé ses observations. Les seuls qui y étaient détenus pendant cette période auraient été les requérants désignés sous les n</w:t>
      </w:r>
      <w:r w:rsidRPr="003210F5">
        <w:rPr>
          <w:vertAlign w:val="superscript"/>
        </w:rPr>
        <w:t>os</w:t>
      </w:r>
      <w:r w:rsidRPr="003210F5">
        <w:t xml:space="preserve"> 7, 10 et 32. Dès lors, le Gouvernement invite la Cour à rejeter également cette partie de la requête pour non-épuisement des voies de recours internes au motif que ces requérants visaient non pas à mettre fin à une situation continue mais à obtenir </w:t>
      </w:r>
      <w:r w:rsidRPr="003210F5">
        <w:rPr>
          <w:i/>
          <w:iCs/>
        </w:rPr>
        <w:t>a posteriori</w:t>
      </w:r>
      <w:r w:rsidRPr="003210F5">
        <w:t xml:space="preserve"> un constat de la violation de l</w:t>
      </w:r>
      <w:r w:rsidRPr="003210F5" w:rsidR="003210F5">
        <w:t>’</w:t>
      </w:r>
      <w:r w:rsidRPr="003210F5">
        <w:t>article 3 qu</w:t>
      </w:r>
      <w:r w:rsidRPr="003210F5" w:rsidR="003210F5">
        <w:t>’</w:t>
      </w:r>
      <w:r w:rsidRPr="003210F5">
        <w:t>ils alléguaient et une indemnité pour le préjudice moral qu</w:t>
      </w:r>
      <w:r w:rsidRPr="003210F5" w:rsidR="003210F5">
        <w:t>’</w:t>
      </w:r>
      <w:r w:rsidRPr="003210F5">
        <w:t>ils estimaient avoir subi, ce qu</w:t>
      </w:r>
      <w:r w:rsidRPr="003210F5" w:rsidR="003210F5">
        <w:t>’</w:t>
      </w:r>
      <w:r w:rsidRPr="003210F5">
        <w:t>ils pouvaient demander auprès les juridictions internes.</w:t>
      </w:r>
    </w:p>
    <w:bookmarkStart w:name="fiftyeight" w:id="30"/>
    <w:p w:rsidRPr="003210F5" w:rsidR="003A74F0" w:rsidP="003210F5" w:rsidRDefault="003A74F0" w14:paraId="6BF031EB" w14:textId="3674E105">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58</w:t>
      </w:r>
      <w:r w:rsidRPr="003210F5">
        <w:rPr>
          <w:rFonts w:eastAsiaTheme="minorEastAsia"/>
        </w:rPr>
        <w:fldChar w:fldCharType="end"/>
      </w:r>
      <w:bookmarkEnd w:id="30"/>
      <w:r w:rsidRPr="003210F5">
        <w:rPr>
          <w:rFonts w:eastAsiaTheme="minorEastAsia"/>
        </w:rPr>
        <w:t>.  </w:t>
      </w:r>
      <w:bookmarkStart w:name="_Hlk62825299" w:id="31"/>
      <w:r w:rsidRPr="003210F5">
        <w:rPr>
          <w:rFonts w:eastAsiaTheme="minorEastAsia"/>
        </w:rPr>
        <w:t>Les requérants combattent la thèse du Gouvernement et plaident que l</w:t>
      </w:r>
      <w:r w:rsidRPr="003210F5" w:rsidR="003210F5">
        <w:rPr>
          <w:rFonts w:eastAsiaTheme="minorEastAsia"/>
        </w:rPr>
        <w:t>’</w:t>
      </w:r>
      <w:r w:rsidRPr="003210F5">
        <w:rPr>
          <w:rFonts w:eastAsiaTheme="minorEastAsia"/>
        </w:rPr>
        <w:t>action en dommages-intérêts sur le fondement de l</w:t>
      </w:r>
      <w:r w:rsidRPr="003210F5" w:rsidR="003210F5">
        <w:rPr>
          <w:rFonts w:eastAsiaTheme="minorEastAsia"/>
        </w:rPr>
        <w:t>’</w:t>
      </w:r>
      <w:r w:rsidRPr="003210F5">
        <w:rPr>
          <w:rFonts w:eastAsiaTheme="minorEastAsia"/>
        </w:rPr>
        <w:t>article 105 de la loi d</w:t>
      </w:r>
      <w:r w:rsidRPr="003210F5" w:rsidR="003210F5">
        <w:rPr>
          <w:rFonts w:eastAsiaTheme="minorEastAsia"/>
        </w:rPr>
        <w:t>’</w:t>
      </w:r>
      <w:r w:rsidRPr="003210F5">
        <w:rPr>
          <w:rFonts w:eastAsiaTheme="minorEastAsia"/>
        </w:rPr>
        <w:t>accompagnement du code civil ne constituait pas un recours effectif et pratique en raison de la durée de la procédure y relative : six ans environ en première instance et treize ans en total pour l</w:t>
      </w:r>
      <w:r w:rsidRPr="003210F5" w:rsidR="003210F5">
        <w:rPr>
          <w:rFonts w:eastAsiaTheme="minorEastAsia"/>
        </w:rPr>
        <w:t>’</w:t>
      </w:r>
      <w:r w:rsidRPr="003210F5">
        <w:rPr>
          <w:rFonts w:eastAsiaTheme="minorEastAsia"/>
        </w:rPr>
        <w:t>épuisement des voies de recours.</w:t>
      </w:r>
    </w:p>
    <w:bookmarkStart w:name="fiftynine" w:id="32"/>
    <w:p w:rsidRPr="003210F5" w:rsidR="003A74F0" w:rsidP="003210F5" w:rsidRDefault="003A74F0" w14:paraId="78B7FB81" w14:textId="071F3F68">
      <w:pPr>
        <w:pStyle w:val="JuPara"/>
        <w:rPr>
          <w:rFonts w:eastAsia="Times New Roman" w:cstheme="minorHAnsi"/>
          <w:color w:val="000000"/>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59</w:t>
      </w:r>
      <w:r w:rsidRPr="003210F5">
        <w:rPr>
          <w:rFonts w:eastAsiaTheme="minorEastAsia"/>
        </w:rPr>
        <w:fldChar w:fldCharType="end"/>
      </w:r>
      <w:bookmarkEnd w:id="32"/>
      <w:r w:rsidRPr="003210F5">
        <w:rPr>
          <w:rFonts w:eastAsiaTheme="minorEastAsia"/>
        </w:rPr>
        <w:t>. </w:t>
      </w:r>
      <w:r w:rsidRPr="003210F5" w:rsidR="001776A9">
        <w:rPr>
          <w:rFonts w:eastAsiaTheme="minorEastAsia"/>
        </w:rPr>
        <w:t> </w:t>
      </w:r>
      <w:r w:rsidRPr="003210F5">
        <w:rPr>
          <w:rFonts w:eastAsiaTheme="minorEastAsia"/>
        </w:rPr>
        <w:t>De plus, les requérants s</w:t>
      </w:r>
      <w:r w:rsidRPr="003210F5" w:rsidR="003210F5">
        <w:rPr>
          <w:rFonts w:eastAsiaTheme="minorEastAsia"/>
        </w:rPr>
        <w:t>’</w:t>
      </w:r>
      <w:r w:rsidRPr="003210F5">
        <w:rPr>
          <w:rFonts w:eastAsiaTheme="minorEastAsia"/>
        </w:rPr>
        <w:t>appuient sur l</w:t>
      </w:r>
      <w:r w:rsidRPr="003210F5" w:rsidR="003210F5">
        <w:rPr>
          <w:rFonts w:eastAsiaTheme="minorEastAsia"/>
        </w:rPr>
        <w:t>’</w:t>
      </w:r>
      <w:r w:rsidRPr="003210F5">
        <w:rPr>
          <w:rFonts w:eastAsiaTheme="minorEastAsia"/>
        </w:rPr>
        <w:t xml:space="preserve">arrêt </w:t>
      </w:r>
      <w:r w:rsidRPr="003210F5">
        <w:rPr>
          <w:rFonts w:eastAsiaTheme="minorEastAsia"/>
          <w:i/>
        </w:rPr>
        <w:t>Kaja c.</w:t>
      </w:r>
      <w:r w:rsidRPr="003210F5" w:rsidR="003E6AA8">
        <w:rPr>
          <w:rFonts w:eastAsiaTheme="minorEastAsia"/>
          <w:i/>
        </w:rPr>
        <w:t> </w:t>
      </w:r>
      <w:r w:rsidRPr="003210F5">
        <w:rPr>
          <w:rFonts w:eastAsiaTheme="minorEastAsia"/>
          <w:i/>
        </w:rPr>
        <w:t>Grèce</w:t>
      </w:r>
      <w:r w:rsidRPr="003210F5">
        <w:rPr>
          <w:rFonts w:eastAsiaTheme="minorEastAsia"/>
        </w:rPr>
        <w:t xml:space="preserve"> (n</w:t>
      </w:r>
      <w:r w:rsidRPr="003210F5">
        <w:rPr>
          <w:rFonts w:eastAsiaTheme="minorEastAsia"/>
          <w:vertAlign w:val="superscript"/>
        </w:rPr>
        <w:t>o</w:t>
      </w:r>
      <w:r w:rsidRPr="003210F5">
        <w:rPr>
          <w:rFonts w:eastAsiaTheme="minorEastAsia"/>
        </w:rPr>
        <w:t> 32927/03, § 40, 27 juillet 2006) et soutiennent que la Cour a jugé qu</w:t>
      </w:r>
      <w:r w:rsidRPr="003210F5" w:rsidR="003210F5">
        <w:rPr>
          <w:rFonts w:eastAsiaTheme="minorEastAsia"/>
        </w:rPr>
        <w:t>’</w:t>
      </w:r>
      <w:r w:rsidRPr="003210F5">
        <w:rPr>
          <w:rFonts w:eastAsiaTheme="minorEastAsia"/>
        </w:rPr>
        <w:t>une action en dommages-intérêts n</w:t>
      </w:r>
      <w:r w:rsidRPr="003210F5" w:rsidR="003210F5">
        <w:rPr>
          <w:rFonts w:eastAsiaTheme="minorEastAsia"/>
        </w:rPr>
        <w:t>’</w:t>
      </w:r>
      <w:r w:rsidRPr="003210F5">
        <w:rPr>
          <w:rFonts w:eastAsiaTheme="minorEastAsia"/>
        </w:rPr>
        <w:t>était pas un recours susceptible de remédier à la violation alléguée de l</w:t>
      </w:r>
      <w:r w:rsidRPr="003210F5" w:rsidR="003210F5">
        <w:rPr>
          <w:rFonts w:eastAsiaTheme="minorEastAsia"/>
        </w:rPr>
        <w:t>’</w:t>
      </w:r>
      <w:r w:rsidRPr="003210F5">
        <w:rPr>
          <w:rFonts w:eastAsiaTheme="minorEastAsia"/>
        </w:rPr>
        <w:t>article 3 de la Convention. Ils citent en outre l</w:t>
      </w:r>
      <w:r w:rsidRPr="003210F5" w:rsidR="003210F5">
        <w:rPr>
          <w:rFonts w:eastAsiaTheme="minorEastAsia"/>
        </w:rPr>
        <w:t>’</w:t>
      </w:r>
      <w:r w:rsidRPr="003210F5">
        <w:rPr>
          <w:rFonts w:eastAsiaTheme="minorEastAsia"/>
        </w:rPr>
        <w:t xml:space="preserve">arrêt </w:t>
      </w:r>
      <w:r w:rsidRPr="003210F5">
        <w:rPr>
          <w:rFonts w:eastAsiaTheme="minorEastAsia"/>
          <w:i/>
        </w:rPr>
        <w:t>Mamedova c. Russie</w:t>
      </w:r>
      <w:r w:rsidRPr="003210F5">
        <w:rPr>
          <w:rFonts w:eastAsiaTheme="minorEastAsia"/>
        </w:rPr>
        <w:t xml:space="preserve"> (n</w:t>
      </w:r>
      <w:r w:rsidRPr="003210F5">
        <w:rPr>
          <w:rFonts w:eastAsiaTheme="minorEastAsia"/>
          <w:vertAlign w:val="superscript"/>
        </w:rPr>
        <w:t>o</w:t>
      </w:r>
      <w:r w:rsidRPr="003210F5">
        <w:rPr>
          <w:rFonts w:eastAsiaTheme="minorEastAsia"/>
        </w:rPr>
        <w:t> </w:t>
      </w:r>
      <w:hyperlink w:tgtFrame="_blank" w:history="1" w:anchor="{%22appno%22:[%227064/05%22]}" r:id="rId14">
        <w:r w:rsidRPr="003210F5">
          <w:rPr>
            <w:rFonts w:eastAsiaTheme="minorEastAsia"/>
          </w:rPr>
          <w:t>7064/05</w:t>
        </w:r>
      </w:hyperlink>
      <w:r w:rsidRPr="003210F5">
        <w:rPr>
          <w:rFonts w:eastAsiaTheme="minorEastAsia"/>
        </w:rPr>
        <w:t>, § 56, 1</w:t>
      </w:r>
      <w:r w:rsidRPr="003210F5">
        <w:rPr>
          <w:rFonts w:eastAsiaTheme="minorEastAsia"/>
          <w:vertAlign w:val="superscript"/>
        </w:rPr>
        <w:t>er</w:t>
      </w:r>
      <w:r w:rsidRPr="003210F5">
        <w:rPr>
          <w:rFonts w:eastAsiaTheme="minorEastAsia"/>
        </w:rPr>
        <w:t> juin 2006) ainsi que l</w:t>
      </w:r>
      <w:r w:rsidRPr="003210F5" w:rsidR="003210F5">
        <w:rPr>
          <w:rFonts w:eastAsiaTheme="minorEastAsia"/>
        </w:rPr>
        <w:t>’</w:t>
      </w:r>
      <w:r w:rsidRPr="003210F5">
        <w:rPr>
          <w:rFonts w:eastAsiaTheme="minorEastAsia"/>
        </w:rPr>
        <w:t xml:space="preserve">arrêt </w:t>
      </w:r>
      <w:r w:rsidRPr="003210F5">
        <w:rPr>
          <w:rFonts w:eastAsiaTheme="minorEastAsia"/>
          <w:i/>
        </w:rPr>
        <w:t>Nieciecki c. Grèce</w:t>
      </w:r>
      <w:r w:rsidRPr="003210F5">
        <w:rPr>
          <w:rFonts w:eastAsiaTheme="minorEastAsia"/>
        </w:rPr>
        <w:t xml:space="preserve"> (n</w:t>
      </w:r>
      <w:r w:rsidRPr="003210F5">
        <w:rPr>
          <w:rFonts w:eastAsiaTheme="minorEastAsia"/>
          <w:vertAlign w:val="superscript"/>
        </w:rPr>
        <w:t>o</w:t>
      </w:r>
      <w:r w:rsidRPr="003210F5">
        <w:rPr>
          <w:rFonts w:eastAsiaTheme="minorEastAsia"/>
        </w:rPr>
        <w:t xml:space="preserve"> 11677/11, §§ 41-43, 4 décembre 2012), faisant valoir que la Cour a rejeté l</w:t>
      </w:r>
      <w:r w:rsidRPr="003210F5" w:rsidR="003210F5">
        <w:rPr>
          <w:rFonts w:eastAsiaTheme="minorEastAsia"/>
        </w:rPr>
        <w:t>’</w:t>
      </w:r>
      <w:r w:rsidRPr="003210F5">
        <w:rPr>
          <w:rFonts w:eastAsiaTheme="minorEastAsia"/>
        </w:rPr>
        <w:t xml:space="preserve">exception de non-épuisement des recours internes au motif que les griefs des requérants portaient sur </w:t>
      </w:r>
      <w:r w:rsidRPr="003210F5">
        <w:rPr>
          <w:rFonts w:eastAsia="Times New Roman" w:asciiTheme="majorHAnsi" w:hAnsiTheme="majorHAnsi" w:cstheme="majorHAnsi"/>
          <w:color w:val="000000"/>
        </w:rPr>
        <w:t>un phénomène structurel qui ne concernait pas exclusivement leur cas particulier</w:t>
      </w:r>
      <w:r w:rsidRPr="003210F5">
        <w:rPr>
          <w:rFonts w:ascii="Arial" w:hAnsi="Arial" w:eastAsia="Times New Roman" w:cs="Arial"/>
          <w:color w:val="000000"/>
        </w:rPr>
        <w:t>.</w:t>
      </w:r>
    </w:p>
    <w:bookmarkEnd w:id="31"/>
    <w:p w:rsidRPr="003210F5" w:rsidR="003A74F0" w:rsidP="003210F5" w:rsidRDefault="003A74F0" w14:paraId="45387CDF" w14:textId="5418D0CC">
      <w:pPr>
        <w:pStyle w:val="JuH1"/>
      </w:pPr>
      <w:r w:rsidRPr="003210F5">
        <w:rPr>
          <w:lang w:val="en-GB"/>
        </w:rPr>
        <w:t>L</w:t>
      </w:r>
      <w:r w:rsidRPr="003210F5" w:rsidR="003210F5">
        <w:rPr>
          <w:lang w:val="en-GB"/>
        </w:rPr>
        <w:t>’</w:t>
      </w:r>
      <w:r w:rsidRPr="003210F5">
        <w:rPr>
          <w:lang w:val="en-GB"/>
        </w:rPr>
        <w:t>appréciation</w:t>
      </w:r>
      <w:r w:rsidRPr="003210F5">
        <w:t xml:space="preserve"> de la Cour</w:t>
      </w:r>
    </w:p>
    <w:bookmarkStart w:name="sixtyone" w:id="33"/>
    <w:p w:rsidRPr="003210F5" w:rsidR="003A74F0" w:rsidP="003210F5" w:rsidRDefault="003A74F0" w14:paraId="231B5E57" w14:textId="75CCA6B0">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60</w:t>
      </w:r>
      <w:r w:rsidRPr="003210F5">
        <w:rPr>
          <w:rFonts w:eastAsiaTheme="minorEastAsia"/>
        </w:rPr>
        <w:fldChar w:fldCharType="end"/>
      </w:r>
      <w:bookmarkEnd w:id="33"/>
      <w:r w:rsidRPr="003210F5">
        <w:rPr>
          <w:rFonts w:eastAsiaTheme="minorEastAsia"/>
        </w:rPr>
        <w:t>.</w:t>
      </w:r>
      <w:r w:rsidRPr="003210F5">
        <w:t>  </w:t>
      </w:r>
      <w:r w:rsidRPr="003210F5">
        <w:rPr>
          <w:rFonts w:eastAsiaTheme="minorEastAsia"/>
        </w:rPr>
        <w:t>La Cour rappelle sa jurisprudence selon laquelle, s</w:t>
      </w:r>
      <w:r w:rsidRPr="003210F5" w:rsidR="003210F5">
        <w:rPr>
          <w:rFonts w:eastAsiaTheme="minorEastAsia"/>
        </w:rPr>
        <w:t>’</w:t>
      </w:r>
      <w:r w:rsidRPr="003210F5">
        <w:rPr>
          <w:rFonts w:eastAsiaTheme="minorEastAsia"/>
        </w:rPr>
        <w:t>agissant de l</w:t>
      </w:r>
      <w:r w:rsidRPr="003210F5" w:rsidR="003210F5">
        <w:rPr>
          <w:rFonts w:eastAsiaTheme="minorEastAsia"/>
        </w:rPr>
        <w:t>’</w:t>
      </w:r>
      <w:r w:rsidRPr="003210F5">
        <w:rPr>
          <w:rFonts w:eastAsiaTheme="minorEastAsia"/>
        </w:rPr>
        <w:t>épuisement des voies de recours internes, la situation peut être différente entre une personne qui a été détenue dans des conditions qu</w:t>
      </w:r>
      <w:r w:rsidRPr="003210F5" w:rsidR="003210F5">
        <w:rPr>
          <w:rFonts w:eastAsiaTheme="minorEastAsia"/>
        </w:rPr>
        <w:t>’</w:t>
      </w:r>
      <w:r w:rsidRPr="003210F5">
        <w:rPr>
          <w:rFonts w:eastAsiaTheme="minorEastAsia"/>
        </w:rPr>
        <w:t>elle estime contraires à l</w:t>
      </w:r>
      <w:r w:rsidRPr="003210F5" w:rsidR="003210F5">
        <w:rPr>
          <w:rFonts w:eastAsiaTheme="minorEastAsia"/>
        </w:rPr>
        <w:t>’</w:t>
      </w:r>
      <w:r w:rsidRPr="003210F5">
        <w:rPr>
          <w:rFonts w:eastAsiaTheme="minorEastAsia"/>
        </w:rPr>
        <w:t>article 3 de la Convention et qui saisit la Cour après sa mise en liberté et un individu qui la saisit alors qu</w:t>
      </w:r>
      <w:r w:rsidRPr="003210F5" w:rsidR="003210F5">
        <w:rPr>
          <w:rFonts w:eastAsiaTheme="minorEastAsia"/>
        </w:rPr>
        <w:t>’</w:t>
      </w:r>
      <w:r w:rsidRPr="003210F5">
        <w:rPr>
          <w:rFonts w:eastAsiaTheme="minorEastAsia"/>
        </w:rPr>
        <w:t>il est toujours détenu dans les conditions qu</w:t>
      </w:r>
      <w:r w:rsidRPr="003210F5" w:rsidR="003210F5">
        <w:rPr>
          <w:rFonts w:eastAsiaTheme="minorEastAsia"/>
        </w:rPr>
        <w:t>’</w:t>
      </w:r>
      <w:r w:rsidRPr="003210F5">
        <w:rPr>
          <w:rFonts w:eastAsiaTheme="minorEastAsia"/>
        </w:rPr>
        <w:t>il dénonce (</w:t>
      </w:r>
      <w:r w:rsidRPr="003210F5">
        <w:rPr>
          <w:rFonts w:eastAsiaTheme="minorEastAsia"/>
          <w:i/>
        </w:rPr>
        <w:t>Chatzivasiliadis c. Grèce</w:t>
      </w:r>
      <w:r w:rsidRPr="003210F5">
        <w:rPr>
          <w:rFonts w:eastAsiaTheme="minorEastAsia"/>
        </w:rPr>
        <w:t xml:space="preserve"> (déc.), n</w:t>
      </w:r>
      <w:r w:rsidRPr="003210F5">
        <w:rPr>
          <w:rFonts w:eastAsiaTheme="minorEastAsia"/>
          <w:vertAlign w:val="superscript"/>
        </w:rPr>
        <w:t>o</w:t>
      </w:r>
      <w:r w:rsidRPr="003210F5">
        <w:rPr>
          <w:rFonts w:eastAsiaTheme="minorEastAsia"/>
        </w:rPr>
        <w:t xml:space="preserve"> 51618/12, § 30, 26 novembre 2013).</w:t>
      </w:r>
    </w:p>
    <w:p w:rsidRPr="003210F5" w:rsidR="003A74F0" w:rsidP="003210F5" w:rsidRDefault="003A74F0" w14:paraId="6BFEF596" w14:textId="1DC689A9">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61</w:t>
      </w:r>
      <w:r w:rsidRPr="003210F5">
        <w:rPr>
          <w:rFonts w:eastAsiaTheme="minorEastAsia"/>
        </w:rPr>
        <w:fldChar w:fldCharType="end"/>
      </w:r>
      <w:r w:rsidRPr="003210F5">
        <w:rPr>
          <w:rFonts w:eastAsiaTheme="minorEastAsia"/>
        </w:rPr>
        <w:t>.  En effet, pour qu</w:t>
      </w:r>
      <w:r w:rsidRPr="003210F5" w:rsidR="003210F5">
        <w:rPr>
          <w:rFonts w:eastAsiaTheme="minorEastAsia"/>
        </w:rPr>
        <w:t>’</w:t>
      </w:r>
      <w:r w:rsidRPr="003210F5">
        <w:rPr>
          <w:rFonts w:eastAsiaTheme="minorEastAsia"/>
        </w:rPr>
        <w:t>un système de protection des droits des détenus garantis par l</w:t>
      </w:r>
      <w:r w:rsidRPr="003210F5" w:rsidR="003210F5">
        <w:rPr>
          <w:rFonts w:eastAsiaTheme="minorEastAsia"/>
        </w:rPr>
        <w:t>’</w:t>
      </w:r>
      <w:r w:rsidRPr="003210F5">
        <w:rPr>
          <w:rFonts w:eastAsiaTheme="minorEastAsia"/>
        </w:rPr>
        <w:t>article 3 de la Convention soit effectif, les recours préventifs et indemnitaires doivent coexister de façon complémentaire. L</w:t>
      </w:r>
      <w:r w:rsidRPr="003210F5" w:rsidR="003210F5">
        <w:rPr>
          <w:rFonts w:eastAsiaTheme="minorEastAsia"/>
        </w:rPr>
        <w:t>’</w:t>
      </w:r>
      <w:r w:rsidRPr="003210F5">
        <w:rPr>
          <w:rFonts w:eastAsiaTheme="minorEastAsia"/>
        </w:rPr>
        <w:t>importance particulière de cette disposition impose que les États établissent, au-delà d</w:t>
      </w:r>
      <w:r w:rsidRPr="003210F5" w:rsidR="003210F5">
        <w:rPr>
          <w:rFonts w:eastAsiaTheme="minorEastAsia"/>
        </w:rPr>
        <w:t>’</w:t>
      </w:r>
      <w:r w:rsidRPr="003210F5">
        <w:rPr>
          <w:rFonts w:eastAsiaTheme="minorEastAsia"/>
        </w:rPr>
        <w:t>un simple recours indemnitaire, un mécanisme effectif permettant de mettre rapidement un terme à tout traitement contraire à l</w:t>
      </w:r>
      <w:r w:rsidRPr="003210F5" w:rsidR="003210F5">
        <w:rPr>
          <w:rFonts w:eastAsiaTheme="minorEastAsia"/>
        </w:rPr>
        <w:t>’</w:t>
      </w:r>
      <w:r w:rsidRPr="003210F5">
        <w:rPr>
          <w:rFonts w:eastAsiaTheme="minorEastAsia"/>
        </w:rPr>
        <w:t>article 3 de la Convention. À défaut d</w:t>
      </w:r>
      <w:r w:rsidRPr="003210F5" w:rsidR="003210F5">
        <w:rPr>
          <w:rFonts w:eastAsiaTheme="minorEastAsia"/>
        </w:rPr>
        <w:t>’</w:t>
      </w:r>
      <w:r w:rsidRPr="003210F5">
        <w:rPr>
          <w:rFonts w:eastAsiaTheme="minorEastAsia"/>
        </w:rPr>
        <w:t>un tel mécanisme, la perspective d</w:t>
      </w:r>
      <w:r w:rsidRPr="003210F5" w:rsidR="003210F5">
        <w:rPr>
          <w:rFonts w:eastAsiaTheme="minorEastAsia"/>
        </w:rPr>
        <w:t>’</w:t>
      </w:r>
      <w:r w:rsidRPr="003210F5">
        <w:rPr>
          <w:rFonts w:eastAsiaTheme="minorEastAsia"/>
        </w:rPr>
        <w:t>une possible indemnisation risquerait de légitimer des souffrances incompatibles avec cet article et d</w:t>
      </w:r>
      <w:r w:rsidRPr="003210F5" w:rsidR="003210F5">
        <w:rPr>
          <w:rFonts w:eastAsiaTheme="minorEastAsia"/>
        </w:rPr>
        <w:t>’</w:t>
      </w:r>
      <w:r w:rsidRPr="003210F5">
        <w:rPr>
          <w:rFonts w:eastAsiaTheme="minorEastAsia"/>
        </w:rPr>
        <w:t>affaiblir sérieusement l</w:t>
      </w:r>
      <w:r w:rsidRPr="003210F5" w:rsidR="003210F5">
        <w:rPr>
          <w:rFonts w:eastAsiaTheme="minorEastAsia"/>
        </w:rPr>
        <w:t>’</w:t>
      </w:r>
      <w:r w:rsidRPr="003210F5">
        <w:rPr>
          <w:rFonts w:eastAsiaTheme="minorEastAsia"/>
        </w:rPr>
        <w:t>obligation pour les États de mettre leurs normes en accord avec les exigences de la Convention (</w:t>
      </w:r>
      <w:r w:rsidRPr="003210F5">
        <w:rPr>
          <w:rFonts w:eastAsiaTheme="minorEastAsia"/>
          <w:i/>
        </w:rPr>
        <w:t>Ananyev et autres c. Russie</w:t>
      </w:r>
      <w:r w:rsidRPr="003210F5">
        <w:rPr>
          <w:rFonts w:eastAsiaTheme="minorEastAsia"/>
        </w:rPr>
        <w:t>, n</w:t>
      </w:r>
      <w:r w:rsidRPr="003210F5">
        <w:rPr>
          <w:rFonts w:eastAsiaTheme="minorEastAsia"/>
          <w:vertAlign w:val="superscript"/>
        </w:rPr>
        <w:t>os</w:t>
      </w:r>
      <w:r w:rsidRPr="003210F5">
        <w:rPr>
          <w:rFonts w:eastAsiaTheme="minorEastAsia"/>
        </w:rPr>
        <w:t xml:space="preserve"> 42525/07 et 60800/08, § 98, 10 janvier 2012, et </w:t>
      </w:r>
      <w:r w:rsidRPr="003210F5">
        <w:rPr>
          <w:rFonts w:eastAsiaTheme="minorEastAsia"/>
          <w:i/>
        </w:rPr>
        <w:t>Chatzivasiliadis</w:t>
      </w:r>
      <w:r w:rsidRPr="003210F5">
        <w:rPr>
          <w:rFonts w:eastAsiaTheme="minorEastAsia"/>
        </w:rPr>
        <w:t>, décision précitée, § 29).</w:t>
      </w:r>
    </w:p>
    <w:p w:rsidRPr="003210F5" w:rsidR="003A74F0" w:rsidP="003210F5" w:rsidRDefault="003A74F0" w14:paraId="2F206E5C" w14:textId="16A49C03">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62</w:t>
      </w:r>
      <w:r w:rsidRPr="003210F5">
        <w:rPr>
          <w:rFonts w:eastAsiaTheme="minorEastAsia"/>
        </w:rPr>
        <w:fldChar w:fldCharType="end"/>
      </w:r>
      <w:r w:rsidRPr="003210F5">
        <w:rPr>
          <w:rFonts w:eastAsiaTheme="minorEastAsia"/>
        </w:rPr>
        <w:t>.  La Cour souligne aussi que l</w:t>
      </w:r>
      <w:r w:rsidRPr="003210F5" w:rsidR="003210F5">
        <w:rPr>
          <w:rFonts w:eastAsiaTheme="minorEastAsia"/>
        </w:rPr>
        <w:t>’</w:t>
      </w:r>
      <w:r w:rsidRPr="003210F5">
        <w:rPr>
          <w:rFonts w:eastAsiaTheme="minorEastAsia"/>
        </w:rPr>
        <w:t>obligation pour le requérant d</w:t>
      </w:r>
      <w:r w:rsidRPr="003210F5" w:rsidR="003210F5">
        <w:rPr>
          <w:rFonts w:eastAsiaTheme="minorEastAsia"/>
        </w:rPr>
        <w:t>’</w:t>
      </w:r>
      <w:r w:rsidRPr="003210F5">
        <w:rPr>
          <w:rFonts w:eastAsiaTheme="minorEastAsia"/>
        </w:rPr>
        <w:t>épuiser les voies de recours internes s</w:t>
      </w:r>
      <w:r w:rsidRPr="003210F5" w:rsidR="003210F5">
        <w:rPr>
          <w:rFonts w:eastAsiaTheme="minorEastAsia"/>
        </w:rPr>
        <w:t>’</w:t>
      </w:r>
      <w:r w:rsidRPr="003210F5">
        <w:rPr>
          <w:rFonts w:eastAsiaTheme="minorEastAsia"/>
        </w:rPr>
        <w:t>apprécie en principe à la date d</w:t>
      </w:r>
      <w:r w:rsidRPr="003210F5" w:rsidR="003210F5">
        <w:rPr>
          <w:rFonts w:eastAsiaTheme="minorEastAsia"/>
        </w:rPr>
        <w:t>’</w:t>
      </w:r>
      <w:r w:rsidRPr="003210F5">
        <w:rPr>
          <w:rFonts w:eastAsiaTheme="minorEastAsia"/>
        </w:rPr>
        <w:t>introduction de la requête devant elle (</w:t>
      </w:r>
      <w:r w:rsidRPr="003210F5">
        <w:rPr>
          <w:rFonts w:eastAsiaTheme="minorEastAsia"/>
          <w:i/>
        </w:rPr>
        <w:t>Zabelos et autres c. Grèce</w:t>
      </w:r>
      <w:r w:rsidRPr="003210F5">
        <w:rPr>
          <w:rFonts w:eastAsiaTheme="minorEastAsia"/>
        </w:rPr>
        <w:t>, n</w:t>
      </w:r>
      <w:r w:rsidRPr="003210F5">
        <w:rPr>
          <w:rFonts w:eastAsiaTheme="minorEastAsia"/>
          <w:vertAlign w:val="superscript"/>
        </w:rPr>
        <w:t>o</w:t>
      </w:r>
      <w:r w:rsidRPr="003210F5">
        <w:rPr>
          <w:rFonts w:eastAsiaTheme="minorEastAsia"/>
        </w:rPr>
        <w:t xml:space="preserve"> 1167/15, § 60, 17 mai 2018).</w:t>
      </w:r>
    </w:p>
    <w:p w:rsidRPr="003210F5" w:rsidR="003A74F0" w:rsidP="003210F5" w:rsidRDefault="003A74F0" w14:paraId="0A36846F" w14:textId="406F4B85">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63</w:t>
      </w:r>
      <w:r w:rsidRPr="003210F5">
        <w:rPr>
          <w:rFonts w:eastAsiaTheme="minorEastAsia"/>
        </w:rPr>
        <w:fldChar w:fldCharType="end"/>
      </w:r>
      <w:r w:rsidRPr="003210F5">
        <w:rPr>
          <w:rFonts w:eastAsiaTheme="minorEastAsia"/>
        </w:rPr>
        <w:t>.  La Cour a conclu dans plusieurs affaires qu</w:t>
      </w:r>
      <w:r w:rsidRPr="003210F5" w:rsidR="003210F5">
        <w:rPr>
          <w:rFonts w:eastAsiaTheme="minorEastAsia"/>
        </w:rPr>
        <w:t>’</w:t>
      </w:r>
      <w:r w:rsidRPr="003210F5">
        <w:rPr>
          <w:rFonts w:eastAsiaTheme="minorEastAsia"/>
        </w:rPr>
        <w:t>un requérant qui avait saisi la Cour d</w:t>
      </w:r>
      <w:r w:rsidRPr="003210F5" w:rsidR="003210F5">
        <w:rPr>
          <w:rFonts w:eastAsiaTheme="minorEastAsia"/>
        </w:rPr>
        <w:t>’</w:t>
      </w:r>
      <w:r w:rsidRPr="003210F5">
        <w:rPr>
          <w:rFonts w:eastAsiaTheme="minorEastAsia"/>
        </w:rPr>
        <w:t>un grief relatif à des conditions de détention après avoir été mis en liberté et sans avoir au préalable engagé l</w:t>
      </w:r>
      <w:r w:rsidRPr="003210F5" w:rsidR="003210F5">
        <w:rPr>
          <w:rFonts w:eastAsiaTheme="minorEastAsia"/>
        </w:rPr>
        <w:t>’</w:t>
      </w:r>
      <w:r w:rsidRPr="003210F5">
        <w:rPr>
          <w:rFonts w:eastAsiaTheme="minorEastAsia"/>
        </w:rPr>
        <w:t>action de l</w:t>
      </w:r>
      <w:r w:rsidRPr="003210F5" w:rsidR="003210F5">
        <w:rPr>
          <w:rFonts w:eastAsiaTheme="minorEastAsia"/>
        </w:rPr>
        <w:t>’</w:t>
      </w:r>
      <w:r w:rsidRPr="003210F5">
        <w:rPr>
          <w:rFonts w:eastAsiaTheme="minorEastAsia"/>
        </w:rPr>
        <w:t>article 105 précité ne s</w:t>
      </w:r>
      <w:r w:rsidRPr="003210F5" w:rsidR="003210F5">
        <w:rPr>
          <w:rFonts w:eastAsiaTheme="minorEastAsia"/>
        </w:rPr>
        <w:t>’</w:t>
      </w:r>
      <w:r w:rsidRPr="003210F5">
        <w:rPr>
          <w:rFonts w:eastAsiaTheme="minorEastAsia"/>
        </w:rPr>
        <w:t>était pas conformé à l</w:t>
      </w:r>
      <w:r w:rsidRPr="003210F5" w:rsidR="003210F5">
        <w:rPr>
          <w:rFonts w:eastAsiaTheme="minorEastAsia"/>
        </w:rPr>
        <w:t>’</w:t>
      </w:r>
      <w:r w:rsidRPr="003210F5">
        <w:rPr>
          <w:rFonts w:eastAsiaTheme="minorEastAsia"/>
        </w:rPr>
        <w:t>exigence d</w:t>
      </w:r>
      <w:r w:rsidRPr="003210F5" w:rsidR="003210F5">
        <w:rPr>
          <w:rFonts w:eastAsiaTheme="minorEastAsia"/>
        </w:rPr>
        <w:t>’</w:t>
      </w:r>
      <w:r w:rsidRPr="003210F5">
        <w:rPr>
          <w:rFonts w:eastAsiaTheme="minorEastAsia"/>
        </w:rPr>
        <w:t>épuisement des voies de recours internes (voir, parmi d</w:t>
      </w:r>
      <w:r w:rsidRPr="003210F5" w:rsidR="003210F5">
        <w:rPr>
          <w:rFonts w:eastAsiaTheme="minorEastAsia"/>
        </w:rPr>
        <w:t>’</w:t>
      </w:r>
      <w:r w:rsidRPr="003210F5">
        <w:rPr>
          <w:rFonts w:eastAsiaTheme="minorEastAsia"/>
        </w:rPr>
        <w:t xml:space="preserve">autres, </w:t>
      </w:r>
      <w:r w:rsidRPr="003210F5">
        <w:rPr>
          <w:rFonts w:eastAsiaTheme="minorEastAsia"/>
          <w:i/>
        </w:rPr>
        <w:t>Zournatzidis et autres c. Gr</w:t>
      </w:r>
      <w:r w:rsidRPr="003210F5">
        <w:rPr>
          <w:rFonts w:ascii="Times New Roman" w:hAnsi="Times New Roman" w:cs="Times New Roman" w:eastAsiaTheme="minorEastAsia"/>
          <w:i/>
        </w:rPr>
        <w:t>è</w:t>
      </w:r>
      <w:r w:rsidRPr="003210F5">
        <w:rPr>
          <w:rFonts w:eastAsiaTheme="minorEastAsia"/>
          <w:i/>
        </w:rPr>
        <w:t>ce</w:t>
      </w:r>
      <w:r w:rsidRPr="003210F5">
        <w:rPr>
          <w:rFonts w:eastAsiaTheme="minorEastAsia"/>
        </w:rPr>
        <w:t>, n</w:t>
      </w:r>
      <w:r w:rsidRPr="003210F5">
        <w:rPr>
          <w:rFonts w:eastAsiaTheme="minorEastAsia"/>
          <w:vertAlign w:val="superscript"/>
        </w:rPr>
        <w:t>o</w:t>
      </w:r>
      <w:r w:rsidRPr="003210F5">
        <w:rPr>
          <w:rFonts w:eastAsiaTheme="minorEastAsia"/>
        </w:rPr>
        <w:t xml:space="preserve"> 23261/13, </w:t>
      </w:r>
      <w:r w:rsidRPr="003210F5">
        <w:rPr>
          <w:rFonts w:ascii="Times New Roman" w:hAnsi="Times New Roman" w:cs="Times New Roman" w:eastAsiaTheme="minorEastAsia"/>
        </w:rPr>
        <w:t>§§</w:t>
      </w:r>
      <w:r w:rsidRPr="003210F5">
        <w:rPr>
          <w:rFonts w:eastAsiaTheme="minorEastAsia"/>
        </w:rPr>
        <w:t xml:space="preserve"> 31-35, 24 avril 2017, et </w:t>
      </w:r>
      <w:r w:rsidRPr="003210F5">
        <w:rPr>
          <w:rFonts w:eastAsiaTheme="minorEastAsia"/>
          <w:i/>
        </w:rPr>
        <w:t>Koureas et autres c. Grèce</w:t>
      </w:r>
      <w:r w:rsidRPr="003210F5">
        <w:rPr>
          <w:rFonts w:eastAsiaTheme="minorEastAsia"/>
        </w:rPr>
        <w:t xml:space="preserve">, </w:t>
      </w:r>
      <w:bookmarkStart w:name="_Hlk83653608" w:id="34"/>
      <w:r w:rsidRPr="003210F5">
        <w:rPr>
          <w:rFonts w:eastAsiaTheme="minorEastAsia"/>
        </w:rPr>
        <w:t>n</w:t>
      </w:r>
      <w:r w:rsidRPr="003210F5">
        <w:rPr>
          <w:rFonts w:eastAsiaTheme="minorEastAsia"/>
          <w:vertAlign w:val="superscript"/>
        </w:rPr>
        <w:t>o</w:t>
      </w:r>
      <w:bookmarkEnd w:id="34"/>
      <w:r w:rsidRPr="003210F5">
        <w:rPr>
          <w:rFonts w:eastAsiaTheme="minorEastAsia"/>
        </w:rPr>
        <w:t> 30030/15, §§ 58</w:t>
      </w:r>
      <w:r w:rsidRPr="003210F5">
        <w:rPr>
          <w:rFonts w:eastAsiaTheme="minorEastAsia"/>
        </w:rPr>
        <w:noBreakHyphen/>
        <w:t>60, 28 mai 2018).</w:t>
      </w:r>
    </w:p>
    <w:p w:rsidRPr="003210F5" w:rsidR="003A74F0" w:rsidP="003210F5" w:rsidRDefault="003A74F0" w14:paraId="688354F6" w14:textId="1E645756">
      <w:pPr>
        <w:pStyle w:val="JuPara"/>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64</w:t>
      </w:r>
      <w:r w:rsidRPr="003210F5">
        <w:rPr>
          <w:rFonts w:eastAsiaTheme="minorEastAsia"/>
        </w:rPr>
        <w:fldChar w:fldCharType="end"/>
      </w:r>
      <w:r w:rsidRPr="003210F5">
        <w:rPr>
          <w:rFonts w:eastAsiaTheme="minorEastAsia"/>
        </w:rPr>
        <w:t>.  Pour ce faire, elle a pris en considération notamment les observations des parties dans des affaires similaires qui datent de la même période. Il a été alors jugé que l</w:t>
      </w:r>
      <w:r w:rsidRPr="003210F5" w:rsidR="003210F5">
        <w:rPr>
          <w:rFonts w:eastAsiaTheme="minorEastAsia"/>
        </w:rPr>
        <w:t>’</w:t>
      </w:r>
      <w:r w:rsidRPr="003210F5">
        <w:rPr>
          <w:rFonts w:eastAsiaTheme="minorEastAsia"/>
        </w:rPr>
        <w:t>action indemnitaire fondée sur l</w:t>
      </w:r>
      <w:r w:rsidRPr="003210F5" w:rsidR="003210F5">
        <w:rPr>
          <w:rFonts w:eastAsiaTheme="minorEastAsia"/>
        </w:rPr>
        <w:t>’</w:t>
      </w:r>
      <w:r w:rsidRPr="003210F5">
        <w:rPr>
          <w:rFonts w:eastAsiaTheme="minorEastAsia"/>
        </w:rPr>
        <w:t>article 105 précité constituait une voie de recours qui aurait dû être exercée par les requérants mis en liberté. Toutefois, vu que l</w:t>
      </w:r>
      <w:r w:rsidRPr="003210F5" w:rsidR="003210F5">
        <w:rPr>
          <w:rFonts w:eastAsiaTheme="minorEastAsia"/>
        </w:rPr>
        <w:t>’</w:t>
      </w:r>
      <w:r w:rsidRPr="003210F5">
        <w:rPr>
          <w:rFonts w:eastAsiaTheme="minorEastAsia"/>
        </w:rPr>
        <w:t>obligation pour le requérant d</w:t>
      </w:r>
      <w:r w:rsidRPr="003210F5" w:rsidR="003210F5">
        <w:rPr>
          <w:rFonts w:eastAsiaTheme="minorEastAsia"/>
        </w:rPr>
        <w:t>’</w:t>
      </w:r>
      <w:r w:rsidRPr="003210F5">
        <w:rPr>
          <w:rFonts w:eastAsiaTheme="minorEastAsia"/>
        </w:rPr>
        <w:t>épuiser les voies de recours internes s</w:t>
      </w:r>
      <w:r w:rsidRPr="003210F5" w:rsidR="003210F5">
        <w:rPr>
          <w:rFonts w:eastAsiaTheme="minorEastAsia"/>
        </w:rPr>
        <w:t>’</w:t>
      </w:r>
      <w:r w:rsidRPr="003210F5">
        <w:rPr>
          <w:rFonts w:eastAsiaTheme="minorEastAsia"/>
        </w:rPr>
        <w:t>apprécie en principe à la date d</w:t>
      </w:r>
      <w:r w:rsidRPr="003210F5" w:rsidR="003210F5">
        <w:rPr>
          <w:rFonts w:eastAsiaTheme="minorEastAsia"/>
        </w:rPr>
        <w:t>’</w:t>
      </w:r>
      <w:r w:rsidRPr="003210F5">
        <w:rPr>
          <w:rFonts w:eastAsiaTheme="minorEastAsia"/>
        </w:rPr>
        <w:t>introduction de la requête devant la Cour (voir paragraphe 62 ci-dessus), elle tient à préciser que la conclusion à laquelle elle est parvenue ne préjuge en rien d</w:t>
      </w:r>
      <w:r w:rsidRPr="003210F5" w:rsidR="003210F5">
        <w:rPr>
          <w:rFonts w:eastAsiaTheme="minorEastAsia"/>
        </w:rPr>
        <w:t>’</w:t>
      </w:r>
      <w:r w:rsidRPr="003210F5">
        <w:rPr>
          <w:rFonts w:eastAsiaTheme="minorEastAsia"/>
        </w:rPr>
        <w:t>un éventuel réexamen de la question de l</w:t>
      </w:r>
      <w:r w:rsidRPr="003210F5" w:rsidR="003210F5">
        <w:rPr>
          <w:rFonts w:eastAsiaTheme="minorEastAsia"/>
        </w:rPr>
        <w:t>’</w:t>
      </w:r>
      <w:r w:rsidRPr="003210F5">
        <w:rPr>
          <w:rFonts w:eastAsiaTheme="minorEastAsia"/>
        </w:rPr>
        <w:t xml:space="preserve">effectivité du recours indemnitaire à la lumière de la pratique et </w:t>
      </w:r>
      <w:r w:rsidRPr="003210F5">
        <w:t>des éventuelles décisions rendues des juridictions nationales (voir Turgut et autres c. Turkey (dec.), no 4860/09, § 57, 26 mars 2013).</w:t>
      </w:r>
    </w:p>
    <w:bookmarkStart w:name="_Hlk85046209" w:id="35"/>
    <w:p w:rsidRPr="003210F5" w:rsidR="003A74F0" w:rsidP="003210F5" w:rsidRDefault="003A74F0" w14:paraId="048995BA" w14:textId="1E1C3F15">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65</w:t>
      </w:r>
      <w:r w:rsidRPr="003210F5">
        <w:rPr>
          <w:rFonts w:eastAsiaTheme="minorEastAsia"/>
        </w:rPr>
        <w:fldChar w:fldCharType="end"/>
      </w:r>
      <w:bookmarkEnd w:id="35"/>
      <w:r w:rsidRPr="003210F5">
        <w:rPr>
          <w:rFonts w:eastAsiaTheme="minorEastAsia"/>
        </w:rPr>
        <w:t>.  En l</w:t>
      </w:r>
      <w:r w:rsidRPr="003210F5" w:rsidR="003210F5">
        <w:rPr>
          <w:rFonts w:eastAsiaTheme="minorEastAsia"/>
        </w:rPr>
        <w:t>’</w:t>
      </w:r>
      <w:r w:rsidRPr="003210F5">
        <w:rPr>
          <w:rFonts w:eastAsiaTheme="minorEastAsia"/>
        </w:rPr>
        <w:t xml:space="preserve">espèce la Cour observe que les requérants </w:t>
      </w:r>
      <w:r w:rsidRPr="003210F5">
        <w:t>désignés sous les n</w:t>
      </w:r>
      <w:r w:rsidRPr="003210F5">
        <w:rPr>
          <w:vertAlign w:val="superscript"/>
        </w:rPr>
        <w:t>os </w:t>
      </w:r>
      <w:r w:rsidRPr="003210F5">
        <w:t xml:space="preserve">3, 8, 9, 15, 18, 21, 22, 24, 25 et 29 </w:t>
      </w:r>
      <w:r w:rsidRPr="003210F5">
        <w:rPr>
          <w:rFonts w:eastAsiaTheme="minorEastAsia"/>
        </w:rPr>
        <w:t xml:space="preserve">avaient été libérés à différentes dates entre le 24 janvier 2013 et le 25 avril 2013 (voir </w:t>
      </w:r>
      <w:r w:rsidRPr="003210F5">
        <w:rPr>
          <w:rFonts w:eastAsiaTheme="minorEastAsia"/>
          <w:szCs w:val="22"/>
        </w:rPr>
        <w:t>en détail le tableau au paragraphe</w:t>
      </w:r>
      <w:r w:rsidRPr="003210F5" w:rsidR="00E52060">
        <w:rPr>
          <w:rFonts w:eastAsiaTheme="minorEastAsia"/>
          <w:szCs w:val="22"/>
        </w:rPr>
        <w:t> </w:t>
      </w:r>
      <w:r w:rsidRPr="003210F5">
        <w:rPr>
          <w:rFonts w:eastAsiaTheme="minorEastAsia"/>
          <w:szCs w:val="22"/>
        </w:rPr>
        <w:t>4 ci-dessus)</w:t>
      </w:r>
      <w:r w:rsidRPr="003210F5">
        <w:rPr>
          <w:rFonts w:eastAsiaTheme="minorEastAsia"/>
        </w:rPr>
        <w:t>, avant de saisir la Cour.</w:t>
      </w:r>
    </w:p>
    <w:p w:rsidRPr="003210F5" w:rsidR="003A74F0" w:rsidP="003210F5" w:rsidRDefault="003A74F0" w14:paraId="1254798B" w14:textId="651209DC">
      <w:pPr>
        <w:pStyle w:val="JuPara"/>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66</w:t>
      </w:r>
      <w:r w:rsidRPr="003210F5">
        <w:rPr>
          <w:rFonts w:eastAsiaTheme="minorEastAsia"/>
          <w:szCs w:val="22"/>
        </w:rPr>
        <w:fldChar w:fldCharType="end"/>
      </w:r>
      <w:r w:rsidRPr="003210F5">
        <w:rPr>
          <w:rFonts w:eastAsiaTheme="minorEastAsia"/>
          <w:szCs w:val="22"/>
        </w:rPr>
        <w:t xml:space="preserve">.  La Cour note aussi que, </w:t>
      </w:r>
      <w:r w:rsidRPr="003210F5">
        <w:t>le 28 février 2013, le requérant désigné sous le n</w:t>
      </w:r>
      <w:r w:rsidRPr="003210F5">
        <w:rPr>
          <w:vertAlign w:val="superscript"/>
        </w:rPr>
        <w:t>o</w:t>
      </w:r>
      <w:r w:rsidRPr="003210F5">
        <w:t xml:space="preserve"> 23 a enfreint la permission de sortie qui lui avait été accordée et qu</w:t>
      </w:r>
      <w:r w:rsidRPr="003210F5" w:rsidR="003210F5">
        <w:t>’</w:t>
      </w:r>
      <w:r w:rsidRPr="003210F5">
        <w:t>il n</w:t>
      </w:r>
      <w:r w:rsidRPr="003210F5" w:rsidR="003210F5">
        <w:t>’</w:t>
      </w:r>
      <w:r w:rsidRPr="003210F5">
        <w:t>est pas rentré à la prison de Kassandra.</w:t>
      </w:r>
    </w:p>
    <w:p w:rsidRPr="003210F5" w:rsidR="003A74F0" w:rsidP="003210F5" w:rsidRDefault="003A74F0" w14:paraId="4DC782D1" w14:textId="29D4D4C8">
      <w:pPr>
        <w:pStyle w:val="JuPara"/>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67</w:t>
      </w:r>
      <w:r w:rsidRPr="003210F5">
        <w:rPr>
          <w:rFonts w:eastAsiaTheme="minorEastAsia"/>
          <w:szCs w:val="22"/>
        </w:rPr>
        <w:fldChar w:fldCharType="end"/>
      </w:r>
      <w:r w:rsidRPr="003210F5">
        <w:rPr>
          <w:rFonts w:eastAsiaTheme="minorEastAsia"/>
          <w:szCs w:val="22"/>
        </w:rPr>
        <w:t>.  </w:t>
      </w:r>
      <w:r w:rsidRPr="003210F5">
        <w:t>Concernant en particulier le requérant désigné sous le n</w:t>
      </w:r>
      <w:r w:rsidRPr="003210F5">
        <w:rPr>
          <w:vertAlign w:val="superscript"/>
        </w:rPr>
        <w:t>o</w:t>
      </w:r>
      <w:r w:rsidRPr="003210F5">
        <w:t xml:space="preserve"> 5, la Cour note qu</w:t>
      </w:r>
      <w:r w:rsidRPr="003210F5" w:rsidR="003210F5">
        <w:t>’</w:t>
      </w:r>
      <w:r w:rsidRPr="003210F5">
        <w:t>il a été libéré le 27 mars 2013 et qu</w:t>
      </w:r>
      <w:r w:rsidRPr="003210F5" w:rsidR="003210F5">
        <w:t>’</w:t>
      </w:r>
      <w:r w:rsidRPr="003210F5">
        <w:t>il a été à nouveau placé dans la prison de Kassandra le 11 octobre 2013 afin d</w:t>
      </w:r>
      <w:r w:rsidRPr="003210F5" w:rsidR="003210F5">
        <w:t>’</w:t>
      </w:r>
      <w:r w:rsidRPr="003210F5">
        <w:t>y purger une nouvelle peine dans le cadre de laquelle il a été libéré le 22 novembre 2013.</w:t>
      </w:r>
    </w:p>
    <w:p w:rsidRPr="003210F5" w:rsidR="003A74F0" w:rsidP="003210F5" w:rsidRDefault="003A74F0" w14:paraId="79F2640A" w14:textId="515431FE">
      <w:pPr>
        <w:pStyle w:val="JuPara"/>
        <w:rPr>
          <w:rFonts w:eastAsiaTheme="minorEastAsia"/>
          <w:szCs w:val="22"/>
        </w:rPr>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68</w:t>
      </w:r>
      <w:r w:rsidRPr="003210F5">
        <w:rPr>
          <w:rFonts w:eastAsiaTheme="minorEastAsia"/>
          <w:szCs w:val="22"/>
        </w:rPr>
        <w:fldChar w:fldCharType="end"/>
      </w:r>
      <w:r w:rsidRPr="003210F5">
        <w:rPr>
          <w:rFonts w:eastAsiaTheme="minorEastAsia"/>
          <w:szCs w:val="22"/>
        </w:rPr>
        <w:t>.  Étant donné que, le 30 avril 2013, date à laquelle ils ont saisi la Cour, lesdits requérants n</w:t>
      </w:r>
      <w:r w:rsidRPr="003210F5" w:rsidR="003210F5">
        <w:rPr>
          <w:rFonts w:eastAsiaTheme="minorEastAsia"/>
          <w:szCs w:val="22"/>
        </w:rPr>
        <w:t>’</w:t>
      </w:r>
      <w:r w:rsidRPr="003210F5">
        <w:rPr>
          <w:rFonts w:eastAsiaTheme="minorEastAsia"/>
          <w:szCs w:val="22"/>
        </w:rPr>
        <w:t>étaient plus détenus dans la prison de Kassandra, ils visaient de toute évidence non pas à cesser d</w:t>
      </w:r>
      <w:r w:rsidRPr="003210F5" w:rsidR="003210F5">
        <w:rPr>
          <w:rFonts w:eastAsiaTheme="minorEastAsia"/>
          <w:szCs w:val="22"/>
        </w:rPr>
        <w:t>’</w:t>
      </w:r>
      <w:r w:rsidRPr="003210F5">
        <w:rPr>
          <w:rFonts w:eastAsiaTheme="minorEastAsia"/>
          <w:szCs w:val="22"/>
        </w:rPr>
        <w:t xml:space="preserve">être maintenus en détention dans des conditions inhumaines et dégradantes, mais à obtenir </w:t>
      </w:r>
      <w:r w:rsidRPr="003210F5">
        <w:rPr>
          <w:rFonts w:eastAsiaTheme="minorEastAsia"/>
          <w:i/>
          <w:iCs/>
          <w:szCs w:val="22"/>
        </w:rPr>
        <w:t>a posteriori</w:t>
      </w:r>
      <w:r w:rsidRPr="003210F5">
        <w:rPr>
          <w:rFonts w:eastAsiaTheme="minorEastAsia"/>
          <w:szCs w:val="22"/>
        </w:rPr>
        <w:t xml:space="preserve"> de la Cour un constat de violation de l</w:t>
      </w:r>
      <w:r w:rsidRPr="003210F5" w:rsidR="003210F5">
        <w:rPr>
          <w:rFonts w:eastAsiaTheme="minorEastAsia"/>
          <w:szCs w:val="22"/>
        </w:rPr>
        <w:t>’</w:t>
      </w:r>
      <w:r w:rsidRPr="003210F5">
        <w:rPr>
          <w:rFonts w:eastAsiaTheme="minorEastAsia"/>
          <w:szCs w:val="22"/>
        </w:rPr>
        <w:t>article 3 de la Convention et, le cas échéant, une indemnité pour le dommage moral qu</w:t>
      </w:r>
      <w:r w:rsidRPr="003210F5" w:rsidR="003210F5">
        <w:rPr>
          <w:rFonts w:eastAsiaTheme="minorEastAsia"/>
          <w:szCs w:val="22"/>
        </w:rPr>
        <w:t>’</w:t>
      </w:r>
      <w:r w:rsidRPr="003210F5">
        <w:rPr>
          <w:rFonts w:eastAsiaTheme="minorEastAsia"/>
          <w:szCs w:val="22"/>
        </w:rPr>
        <w:t>ils estimaient avoir subi. La même conclusion vaut alors pour le requérant désigné sous le n</w:t>
      </w:r>
      <w:r w:rsidRPr="003210F5">
        <w:rPr>
          <w:rFonts w:eastAsiaTheme="minorEastAsia"/>
          <w:szCs w:val="22"/>
          <w:vertAlign w:val="superscript"/>
        </w:rPr>
        <w:t>o</w:t>
      </w:r>
      <w:r w:rsidRPr="003210F5">
        <w:rPr>
          <w:rFonts w:eastAsiaTheme="minorEastAsia"/>
          <w:szCs w:val="22"/>
        </w:rPr>
        <w:t xml:space="preserve"> 5 </w:t>
      </w:r>
      <w:r w:rsidRPr="003210F5">
        <w:t>puisqu</w:t>
      </w:r>
      <w:r w:rsidRPr="003210F5" w:rsidR="003210F5">
        <w:t>’</w:t>
      </w:r>
      <w:r w:rsidRPr="003210F5">
        <w:rPr>
          <w:rFonts w:eastAsiaTheme="minorEastAsia"/>
          <w:szCs w:val="22"/>
        </w:rPr>
        <w:t>à la date d</w:t>
      </w:r>
      <w:r w:rsidRPr="003210F5" w:rsidR="003210F5">
        <w:rPr>
          <w:rFonts w:eastAsiaTheme="minorEastAsia"/>
          <w:szCs w:val="22"/>
        </w:rPr>
        <w:t>’</w:t>
      </w:r>
      <w:r w:rsidRPr="003210F5">
        <w:rPr>
          <w:rFonts w:eastAsiaTheme="minorEastAsia"/>
          <w:szCs w:val="22"/>
        </w:rPr>
        <w:t>introduction de la requête devant la Cour il n</w:t>
      </w:r>
      <w:r w:rsidRPr="003210F5" w:rsidR="003210F5">
        <w:rPr>
          <w:rFonts w:eastAsiaTheme="minorEastAsia"/>
          <w:szCs w:val="22"/>
        </w:rPr>
        <w:t>’</w:t>
      </w:r>
      <w:r w:rsidRPr="003210F5">
        <w:rPr>
          <w:rFonts w:eastAsiaTheme="minorEastAsia"/>
          <w:szCs w:val="22"/>
        </w:rPr>
        <w:t>avait pas épuisé les voies de recours internes. Sa nouvelle détention dans la même prison, par l</w:t>
      </w:r>
      <w:r w:rsidRPr="003210F5" w:rsidR="003210F5">
        <w:rPr>
          <w:rFonts w:eastAsiaTheme="minorEastAsia"/>
          <w:szCs w:val="22"/>
        </w:rPr>
        <w:t>’</w:t>
      </w:r>
      <w:r w:rsidRPr="003210F5">
        <w:rPr>
          <w:rFonts w:eastAsiaTheme="minorEastAsia"/>
          <w:szCs w:val="22"/>
        </w:rPr>
        <w:t>effet d</w:t>
      </w:r>
      <w:r w:rsidRPr="003210F5" w:rsidR="003210F5">
        <w:rPr>
          <w:rFonts w:eastAsiaTheme="minorEastAsia"/>
          <w:szCs w:val="22"/>
        </w:rPr>
        <w:t>’</w:t>
      </w:r>
      <w:r w:rsidRPr="003210F5">
        <w:rPr>
          <w:rFonts w:eastAsiaTheme="minorEastAsia"/>
          <w:szCs w:val="22"/>
        </w:rPr>
        <w:t>un arrêt de condamnation du 13 mai 2013 postérieur à la date d</w:t>
      </w:r>
      <w:r w:rsidRPr="003210F5" w:rsidR="003210F5">
        <w:rPr>
          <w:rFonts w:eastAsiaTheme="minorEastAsia"/>
          <w:szCs w:val="22"/>
        </w:rPr>
        <w:t>’</w:t>
      </w:r>
      <w:r w:rsidRPr="003210F5">
        <w:rPr>
          <w:rFonts w:eastAsiaTheme="minorEastAsia"/>
          <w:szCs w:val="22"/>
        </w:rPr>
        <w:t>introduction de la requête, ne le dispensait pas de l</w:t>
      </w:r>
      <w:r w:rsidRPr="003210F5" w:rsidR="003210F5">
        <w:rPr>
          <w:rFonts w:eastAsiaTheme="minorEastAsia"/>
          <w:szCs w:val="22"/>
        </w:rPr>
        <w:t>’</w:t>
      </w:r>
      <w:r w:rsidRPr="003210F5">
        <w:rPr>
          <w:rFonts w:eastAsiaTheme="minorEastAsia"/>
          <w:szCs w:val="22"/>
        </w:rPr>
        <w:t>obligation d</w:t>
      </w:r>
      <w:r w:rsidRPr="003210F5" w:rsidR="003210F5">
        <w:rPr>
          <w:rFonts w:eastAsiaTheme="minorEastAsia"/>
          <w:szCs w:val="22"/>
        </w:rPr>
        <w:t>’</w:t>
      </w:r>
      <w:r w:rsidRPr="003210F5">
        <w:rPr>
          <w:rFonts w:eastAsiaTheme="minorEastAsia"/>
          <w:szCs w:val="22"/>
        </w:rPr>
        <w:t>épuisement.</w:t>
      </w:r>
    </w:p>
    <w:p w:rsidRPr="003210F5" w:rsidR="003A74F0" w:rsidP="003210F5" w:rsidRDefault="003A74F0" w14:paraId="62F4C4D9" w14:textId="193155DC">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69</w:t>
      </w:r>
      <w:r w:rsidRPr="003210F5">
        <w:rPr>
          <w:rFonts w:eastAsiaTheme="minorEastAsia"/>
        </w:rPr>
        <w:fldChar w:fldCharType="end"/>
      </w:r>
      <w:r w:rsidRPr="003210F5">
        <w:rPr>
          <w:rFonts w:eastAsiaTheme="minorEastAsia"/>
        </w:rPr>
        <w:t>.  Quant au requérant désigné sous le n</w:t>
      </w:r>
      <w:r w:rsidRPr="003210F5">
        <w:rPr>
          <w:rFonts w:eastAsiaTheme="minorEastAsia"/>
          <w:vertAlign w:val="superscript"/>
        </w:rPr>
        <w:t>o</w:t>
      </w:r>
      <w:r w:rsidRPr="003210F5">
        <w:rPr>
          <w:rFonts w:eastAsiaTheme="minorEastAsia"/>
        </w:rPr>
        <w:t xml:space="preserve"> 31, la Cour note qu</w:t>
      </w:r>
      <w:r w:rsidRPr="003210F5" w:rsidR="003210F5">
        <w:rPr>
          <w:rFonts w:eastAsiaTheme="minorEastAsia"/>
        </w:rPr>
        <w:t>’</w:t>
      </w:r>
      <w:r w:rsidRPr="003210F5">
        <w:rPr>
          <w:rFonts w:eastAsiaTheme="minorEastAsia"/>
        </w:rPr>
        <w:t>il a été transféré dans la prison de Diavata, à Thessalonique, le 25 janvier 2013. Il se trouvait donc incarcéré dans une autre prison le 30 avril 2013, date de la saisine de la Cour. Dès lors, à la date d</w:t>
      </w:r>
      <w:r w:rsidRPr="003210F5" w:rsidR="003210F5">
        <w:rPr>
          <w:rFonts w:eastAsiaTheme="minorEastAsia"/>
        </w:rPr>
        <w:t>’</w:t>
      </w:r>
      <w:r w:rsidRPr="003210F5">
        <w:rPr>
          <w:rFonts w:eastAsiaTheme="minorEastAsia"/>
        </w:rPr>
        <w:t>introduction de la requête devant la Cour, il n</w:t>
      </w:r>
      <w:r w:rsidRPr="003210F5" w:rsidR="003210F5">
        <w:rPr>
          <w:rFonts w:eastAsiaTheme="minorEastAsia"/>
        </w:rPr>
        <w:t>’</w:t>
      </w:r>
      <w:r w:rsidRPr="003210F5">
        <w:rPr>
          <w:rFonts w:eastAsiaTheme="minorEastAsia"/>
        </w:rPr>
        <w:t>était plus soumis aux conditions de détention dénoncées par lui. Qui plus est, ce requérant ne se plaint pas dans la requête des conditions de sa détention ultérieure dans la prison de Diavata, au sujet de laquelle il ne donne d</w:t>
      </w:r>
      <w:r w:rsidRPr="003210F5" w:rsidR="003210F5">
        <w:rPr>
          <w:rFonts w:eastAsiaTheme="minorEastAsia"/>
        </w:rPr>
        <w:t>’</w:t>
      </w:r>
      <w:r w:rsidRPr="003210F5">
        <w:rPr>
          <w:rFonts w:eastAsiaTheme="minorEastAsia"/>
        </w:rPr>
        <w:t>ailleurs aucune information dans la requête.</w:t>
      </w:r>
    </w:p>
    <w:p w:rsidRPr="003210F5" w:rsidR="003A74F0" w:rsidP="003210F5" w:rsidRDefault="003A74F0" w14:paraId="6330A45A" w14:textId="7862C873">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70</w:t>
      </w:r>
      <w:r w:rsidRPr="003210F5">
        <w:rPr>
          <w:rFonts w:eastAsiaTheme="minorEastAsia"/>
        </w:rPr>
        <w:fldChar w:fldCharType="end"/>
      </w:r>
      <w:r w:rsidRPr="003210F5">
        <w:rPr>
          <w:rFonts w:eastAsiaTheme="minorEastAsia"/>
        </w:rPr>
        <w:t>.  Il s</w:t>
      </w:r>
      <w:r w:rsidRPr="003210F5" w:rsidR="003210F5">
        <w:rPr>
          <w:rFonts w:eastAsiaTheme="minorEastAsia"/>
        </w:rPr>
        <w:t>’</w:t>
      </w:r>
      <w:r w:rsidRPr="003210F5">
        <w:rPr>
          <w:rFonts w:eastAsiaTheme="minorEastAsia"/>
        </w:rPr>
        <w:t>ensuit qu</w:t>
      </w:r>
      <w:r w:rsidRPr="003210F5" w:rsidR="003210F5">
        <w:rPr>
          <w:rFonts w:eastAsiaTheme="minorEastAsia"/>
        </w:rPr>
        <w:t>’</w:t>
      </w:r>
      <w:r w:rsidRPr="003210F5">
        <w:rPr>
          <w:rFonts w:eastAsiaTheme="minorEastAsia"/>
        </w:rPr>
        <w:t>en saisissant la Cour, le requérant n</w:t>
      </w:r>
      <w:r w:rsidRPr="003210F5">
        <w:rPr>
          <w:rFonts w:eastAsiaTheme="minorEastAsia"/>
          <w:vertAlign w:val="superscript"/>
        </w:rPr>
        <w:t>o</w:t>
      </w:r>
      <w:r w:rsidRPr="003210F5">
        <w:rPr>
          <w:rFonts w:eastAsiaTheme="minorEastAsia"/>
        </w:rPr>
        <w:t xml:space="preserve"> 31 visait non pas à mettre fin à une violation continue et à ne pas subir un traitement inhumain et dégradant dans la prison de Kassandra, mais à obtenir une décision </w:t>
      </w:r>
      <w:r w:rsidRPr="003210F5">
        <w:rPr>
          <w:rFonts w:eastAsiaTheme="minorEastAsia"/>
          <w:i/>
        </w:rPr>
        <w:t>a posteriori</w:t>
      </w:r>
      <w:r w:rsidRPr="003210F5">
        <w:rPr>
          <w:rFonts w:eastAsiaTheme="minorEastAsia"/>
        </w:rPr>
        <w:t xml:space="preserve"> de la Cour sur la violation de l</w:t>
      </w:r>
      <w:r w:rsidRPr="003210F5" w:rsidR="003210F5">
        <w:rPr>
          <w:rFonts w:eastAsiaTheme="minorEastAsia"/>
        </w:rPr>
        <w:t>’</w:t>
      </w:r>
      <w:r w:rsidRPr="003210F5">
        <w:rPr>
          <w:rFonts w:eastAsiaTheme="minorEastAsia"/>
        </w:rPr>
        <w:t>article 3 de la Convention qu</w:t>
      </w:r>
      <w:r w:rsidRPr="003210F5" w:rsidR="003210F5">
        <w:rPr>
          <w:rFonts w:eastAsiaTheme="minorEastAsia"/>
        </w:rPr>
        <w:t>’</w:t>
      </w:r>
      <w:r w:rsidRPr="003210F5">
        <w:rPr>
          <w:rFonts w:eastAsiaTheme="minorEastAsia"/>
        </w:rPr>
        <w:t>il alléguait à raison des conditions de détention dans cet établissement et, le cas échéant, à recevoir une satisfaction équitable pour le dommage moral qu</w:t>
      </w:r>
      <w:r w:rsidRPr="003210F5" w:rsidR="003210F5">
        <w:rPr>
          <w:rFonts w:eastAsiaTheme="minorEastAsia"/>
        </w:rPr>
        <w:t>’</w:t>
      </w:r>
      <w:r w:rsidRPr="003210F5">
        <w:rPr>
          <w:rFonts w:eastAsiaTheme="minorEastAsia"/>
        </w:rPr>
        <w:t>il aurait subi (</w:t>
      </w:r>
      <w:r w:rsidRPr="003210F5">
        <w:rPr>
          <w:rFonts w:eastAsiaTheme="minorEastAsia"/>
          <w:i/>
        </w:rPr>
        <w:t>Igbo et autres c. Grèce</w:t>
      </w:r>
      <w:r w:rsidRPr="003210F5">
        <w:rPr>
          <w:rFonts w:eastAsiaTheme="minorEastAsia"/>
        </w:rPr>
        <w:t>, n</w:t>
      </w:r>
      <w:r w:rsidRPr="003210F5">
        <w:rPr>
          <w:rFonts w:eastAsiaTheme="minorEastAsia"/>
          <w:vertAlign w:val="superscript"/>
        </w:rPr>
        <w:t>o</w:t>
      </w:r>
      <w:r w:rsidRPr="003210F5">
        <w:rPr>
          <w:rFonts w:eastAsiaTheme="minorEastAsia"/>
        </w:rPr>
        <w:t xml:space="preserve"> 60042/13, §§ 30-32, 9 février 2017, et </w:t>
      </w:r>
      <w:r w:rsidRPr="003210F5">
        <w:rPr>
          <w:rFonts w:eastAsiaTheme="minorEastAsia"/>
          <w:i/>
        </w:rPr>
        <w:t>Georgiou et autres c. Grèce</w:t>
      </w:r>
      <w:r w:rsidRPr="003210F5">
        <w:rPr>
          <w:rFonts w:eastAsiaTheme="minorEastAsia"/>
        </w:rPr>
        <w:t>, n</w:t>
      </w:r>
      <w:r w:rsidRPr="003210F5">
        <w:rPr>
          <w:rFonts w:eastAsiaTheme="minorEastAsia"/>
          <w:vertAlign w:val="superscript"/>
        </w:rPr>
        <w:t>o</w:t>
      </w:r>
      <w:r w:rsidRPr="003210F5">
        <w:rPr>
          <w:rFonts w:eastAsiaTheme="minorEastAsia"/>
        </w:rPr>
        <w:t xml:space="preserve"> 6813/12 §§ 40-42, 15 mars 2018).</w:t>
      </w:r>
    </w:p>
    <w:p w:rsidRPr="003210F5" w:rsidR="003A74F0" w:rsidP="003210F5" w:rsidRDefault="003A74F0" w14:paraId="5C1E03A2" w14:textId="18915B1C">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71</w:t>
      </w:r>
      <w:r w:rsidRPr="003210F5">
        <w:rPr>
          <w:rFonts w:eastAsiaTheme="minorEastAsia"/>
        </w:rPr>
        <w:fldChar w:fldCharType="end"/>
      </w:r>
      <w:r w:rsidRPr="003210F5">
        <w:rPr>
          <w:rFonts w:eastAsiaTheme="minorEastAsia"/>
        </w:rPr>
        <w:t xml:space="preserve">.  La Cour rappelle en outre que, dans son arrêt </w:t>
      </w:r>
      <w:r w:rsidRPr="003210F5">
        <w:rPr>
          <w:rFonts w:eastAsiaTheme="minorEastAsia"/>
          <w:i/>
        </w:rPr>
        <w:t>A.F. c.</w:t>
      </w:r>
      <w:r w:rsidRPr="003210F5" w:rsidR="00FE44DF">
        <w:rPr>
          <w:rFonts w:eastAsiaTheme="minorEastAsia"/>
          <w:i/>
        </w:rPr>
        <w:t> </w:t>
      </w:r>
      <w:r w:rsidRPr="003210F5">
        <w:rPr>
          <w:rFonts w:eastAsiaTheme="minorEastAsia"/>
          <w:i/>
        </w:rPr>
        <w:t>Grèce</w:t>
      </w:r>
      <w:r w:rsidRPr="003210F5">
        <w:rPr>
          <w:rFonts w:eastAsiaTheme="minorEastAsia"/>
        </w:rPr>
        <w:t xml:space="preserve"> (n</w:t>
      </w:r>
      <w:r w:rsidRPr="003210F5">
        <w:rPr>
          <w:rFonts w:eastAsiaTheme="minorEastAsia"/>
          <w:vertAlign w:val="superscript"/>
        </w:rPr>
        <w:t>o</w:t>
      </w:r>
      <w:r w:rsidRPr="003210F5">
        <w:rPr>
          <w:rFonts w:eastAsiaTheme="minorEastAsia"/>
        </w:rPr>
        <w:t> 53709/11, §§ 55-60, 13 juin 2013), elle a estimé qu</w:t>
      </w:r>
      <w:r w:rsidRPr="003210F5" w:rsidR="003210F5">
        <w:rPr>
          <w:rFonts w:eastAsiaTheme="minorEastAsia"/>
        </w:rPr>
        <w:t>’</w:t>
      </w:r>
      <w:r w:rsidRPr="003210F5">
        <w:rPr>
          <w:rFonts w:eastAsiaTheme="minorEastAsia"/>
        </w:rPr>
        <w:t>il convenait d</w:t>
      </w:r>
      <w:r w:rsidRPr="003210F5" w:rsidR="003210F5">
        <w:rPr>
          <w:rFonts w:eastAsiaTheme="minorEastAsia"/>
        </w:rPr>
        <w:t>’</w:t>
      </w:r>
      <w:r w:rsidRPr="003210F5">
        <w:rPr>
          <w:rFonts w:eastAsiaTheme="minorEastAsia"/>
        </w:rPr>
        <w:t>examiner si les dispositions d</w:t>
      </w:r>
      <w:r w:rsidRPr="003210F5" w:rsidR="003210F5">
        <w:rPr>
          <w:rFonts w:eastAsiaTheme="minorEastAsia"/>
        </w:rPr>
        <w:t>’</w:t>
      </w:r>
      <w:r w:rsidRPr="003210F5">
        <w:rPr>
          <w:rFonts w:eastAsiaTheme="minorEastAsia"/>
        </w:rPr>
        <w:t>un texte législatif ou réglementaire susceptibles d</w:t>
      </w:r>
      <w:r w:rsidRPr="003210F5" w:rsidR="003210F5">
        <w:rPr>
          <w:rFonts w:eastAsiaTheme="minorEastAsia"/>
        </w:rPr>
        <w:t>’</w:t>
      </w:r>
      <w:r w:rsidRPr="003210F5">
        <w:rPr>
          <w:rFonts w:eastAsiaTheme="minorEastAsia"/>
        </w:rPr>
        <w:t>être invoquées aux fins d</w:t>
      </w:r>
      <w:r w:rsidRPr="003210F5" w:rsidR="003210F5">
        <w:rPr>
          <w:rFonts w:eastAsiaTheme="minorEastAsia"/>
        </w:rPr>
        <w:t>’</w:t>
      </w:r>
      <w:r w:rsidRPr="003210F5">
        <w:rPr>
          <w:rFonts w:eastAsiaTheme="minorEastAsia"/>
        </w:rPr>
        <w:t>une action fondée sur l</w:t>
      </w:r>
      <w:r w:rsidRPr="003210F5" w:rsidR="003210F5">
        <w:rPr>
          <w:rFonts w:eastAsiaTheme="minorEastAsia"/>
        </w:rPr>
        <w:t>’</w:t>
      </w:r>
      <w:r w:rsidRPr="003210F5">
        <w:rPr>
          <w:rFonts w:eastAsiaTheme="minorEastAsia"/>
        </w:rPr>
        <w:t>article</w:t>
      </w:r>
      <w:r w:rsidRPr="003210F5" w:rsidR="00FE44DF">
        <w:rPr>
          <w:rFonts w:eastAsiaTheme="minorEastAsia"/>
        </w:rPr>
        <w:t> </w:t>
      </w:r>
      <w:r w:rsidRPr="003210F5">
        <w:rPr>
          <w:rFonts w:eastAsiaTheme="minorEastAsia"/>
        </w:rPr>
        <w:t>105 de la loi d</w:t>
      </w:r>
      <w:r w:rsidRPr="003210F5" w:rsidR="003210F5">
        <w:rPr>
          <w:rFonts w:eastAsiaTheme="minorEastAsia"/>
        </w:rPr>
        <w:t>’</w:t>
      </w:r>
      <w:r w:rsidRPr="003210F5">
        <w:rPr>
          <w:rFonts w:eastAsiaTheme="minorEastAsia"/>
        </w:rPr>
        <w:t>accompagnement du code civil étaient rédigées en des termes suffisamment précis et si elles garantissaient des droits « justiciables » (</w:t>
      </w:r>
      <w:r w:rsidRPr="003210F5">
        <w:rPr>
          <w:rFonts w:eastAsiaTheme="minorEastAsia"/>
          <w:i/>
        </w:rPr>
        <w:t>ibidem</w:t>
      </w:r>
      <w:r w:rsidRPr="003210F5">
        <w:rPr>
          <w:rFonts w:eastAsiaTheme="minorEastAsia"/>
        </w:rPr>
        <w:t>, § 60).</w:t>
      </w:r>
    </w:p>
    <w:p w:rsidRPr="003210F5" w:rsidR="003A74F0" w:rsidP="003210F5" w:rsidRDefault="003A74F0" w14:paraId="067E501F" w14:textId="7720B702">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72</w:t>
      </w:r>
      <w:r w:rsidRPr="003210F5">
        <w:rPr>
          <w:rFonts w:eastAsiaTheme="minorEastAsia"/>
        </w:rPr>
        <w:fldChar w:fldCharType="end"/>
      </w:r>
      <w:r w:rsidRPr="003210F5">
        <w:rPr>
          <w:rFonts w:eastAsiaTheme="minorEastAsia"/>
        </w:rPr>
        <w:t>.  À cet égard, elle relève que les requérants étaient détenus dans la prison de Kassandra et qu</w:t>
      </w:r>
      <w:r w:rsidRPr="003210F5" w:rsidR="003210F5">
        <w:rPr>
          <w:rFonts w:eastAsiaTheme="minorEastAsia"/>
        </w:rPr>
        <w:t>’</w:t>
      </w:r>
      <w:r w:rsidRPr="003210F5">
        <w:rPr>
          <w:rFonts w:eastAsiaTheme="minorEastAsia"/>
        </w:rPr>
        <w:t>ils étaient ainsi soumis aux dispositions du code pénitentiaire. Les principaux griefs qu</w:t>
      </w:r>
      <w:r w:rsidRPr="003210F5" w:rsidR="003210F5">
        <w:rPr>
          <w:rFonts w:eastAsiaTheme="minorEastAsia"/>
        </w:rPr>
        <w:t>’</w:t>
      </w:r>
      <w:r w:rsidRPr="003210F5">
        <w:rPr>
          <w:rFonts w:eastAsiaTheme="minorEastAsia"/>
        </w:rPr>
        <w:t>ils formulent devant la Cour concernant les conditions de détention qui étaient les leurs à l</w:t>
      </w:r>
      <w:r w:rsidRPr="003210F5" w:rsidR="003210F5">
        <w:rPr>
          <w:rFonts w:eastAsiaTheme="minorEastAsia"/>
        </w:rPr>
        <w:t>’</w:t>
      </w:r>
      <w:r w:rsidRPr="003210F5">
        <w:rPr>
          <w:rFonts w:eastAsiaTheme="minorEastAsia"/>
        </w:rPr>
        <w:t>époque sont notamment tirés de problèmes de surpopulation, d</w:t>
      </w:r>
      <w:r w:rsidRPr="003210F5" w:rsidR="003210F5">
        <w:rPr>
          <w:rFonts w:eastAsiaTheme="minorEastAsia"/>
        </w:rPr>
        <w:t>’</w:t>
      </w:r>
      <w:r w:rsidRPr="003210F5">
        <w:rPr>
          <w:rFonts w:eastAsiaTheme="minorEastAsia"/>
        </w:rPr>
        <w:t>hygiène et d</w:t>
      </w:r>
      <w:r w:rsidRPr="003210F5" w:rsidR="003210F5">
        <w:rPr>
          <w:rFonts w:eastAsiaTheme="minorEastAsia"/>
        </w:rPr>
        <w:t>’</w:t>
      </w:r>
      <w:r w:rsidRPr="003210F5">
        <w:rPr>
          <w:rFonts w:eastAsiaTheme="minorEastAsia"/>
        </w:rPr>
        <w:t>alimentation. Or les articles 21, 25 et 32 du code pénitentiaire grec garantissent en ces domaines des droits subjectifs invocables en justice (</w:t>
      </w:r>
      <w:r w:rsidRPr="003210F5">
        <w:rPr>
          <w:rFonts w:eastAsiaTheme="minorEastAsia"/>
          <w:i/>
        </w:rPr>
        <w:t>Chatzivasiliadis</w:t>
      </w:r>
      <w:r w:rsidRPr="003210F5">
        <w:rPr>
          <w:rFonts w:eastAsiaTheme="minorEastAsia"/>
        </w:rPr>
        <w:t>, décision précitée, § 34). L</w:t>
      </w:r>
      <w:r w:rsidRPr="003210F5" w:rsidR="003210F5">
        <w:rPr>
          <w:rFonts w:eastAsiaTheme="minorEastAsia"/>
        </w:rPr>
        <w:t>’</w:t>
      </w:r>
      <w:r w:rsidRPr="003210F5">
        <w:rPr>
          <w:rFonts w:eastAsiaTheme="minorEastAsia"/>
        </w:rPr>
        <w:t>action indemnitaire fondée sur l</w:t>
      </w:r>
      <w:r w:rsidRPr="003210F5" w:rsidR="003210F5">
        <w:rPr>
          <w:rFonts w:eastAsiaTheme="minorEastAsia"/>
        </w:rPr>
        <w:t>’</w:t>
      </w:r>
      <w:r w:rsidRPr="003210F5">
        <w:rPr>
          <w:rFonts w:eastAsiaTheme="minorEastAsia"/>
        </w:rPr>
        <w:t>article 105 de la loi d</w:t>
      </w:r>
      <w:r w:rsidRPr="003210F5" w:rsidR="003210F5">
        <w:rPr>
          <w:rFonts w:eastAsiaTheme="minorEastAsia"/>
        </w:rPr>
        <w:t>’</w:t>
      </w:r>
      <w:r w:rsidRPr="003210F5">
        <w:rPr>
          <w:rFonts w:eastAsiaTheme="minorEastAsia"/>
        </w:rPr>
        <w:t>accompagnement du code civil combiné avec les articles susmentionnés du code pénitentiaire, ainsi qu</w:t>
      </w:r>
      <w:r w:rsidRPr="003210F5" w:rsidR="003210F5">
        <w:rPr>
          <w:rFonts w:eastAsiaTheme="minorEastAsia"/>
        </w:rPr>
        <w:t>’</w:t>
      </w:r>
      <w:r w:rsidRPr="003210F5">
        <w:rPr>
          <w:rFonts w:eastAsiaTheme="minorEastAsia"/>
        </w:rPr>
        <w:t>avec l</w:t>
      </w:r>
      <w:r w:rsidRPr="003210F5" w:rsidR="003210F5">
        <w:rPr>
          <w:rFonts w:eastAsiaTheme="minorEastAsia"/>
        </w:rPr>
        <w:t>’</w:t>
      </w:r>
      <w:r w:rsidRPr="003210F5">
        <w:rPr>
          <w:rFonts w:eastAsiaTheme="minorEastAsia"/>
        </w:rPr>
        <w:t>article 3 de la Convention, qui est directement applicable dans l</w:t>
      </w:r>
      <w:r w:rsidRPr="003210F5" w:rsidR="003210F5">
        <w:rPr>
          <w:rFonts w:eastAsiaTheme="minorEastAsia"/>
        </w:rPr>
        <w:t>’</w:t>
      </w:r>
      <w:r w:rsidRPr="003210F5">
        <w:rPr>
          <w:rFonts w:eastAsiaTheme="minorEastAsia"/>
        </w:rPr>
        <w:t>ordre juridique interne, constituait ainsi une voie de recours que les requérants auraient dû intenter.</w:t>
      </w:r>
    </w:p>
    <w:p w:rsidRPr="003210F5" w:rsidR="003A74F0" w:rsidP="003210F5" w:rsidRDefault="003A74F0" w14:paraId="4C71445C" w14:textId="3EA9D7E8">
      <w:pPr>
        <w:pStyle w:val="JuPara"/>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73</w:t>
      </w:r>
      <w:r w:rsidRPr="003210F5">
        <w:rPr>
          <w:rFonts w:eastAsiaTheme="minorEastAsia"/>
        </w:rPr>
        <w:fldChar w:fldCharType="end"/>
      </w:r>
      <w:r w:rsidRPr="003210F5">
        <w:rPr>
          <w:rFonts w:eastAsiaTheme="minorEastAsia"/>
        </w:rPr>
        <w:t>.  Il s</w:t>
      </w:r>
      <w:r w:rsidRPr="003210F5" w:rsidR="003210F5">
        <w:rPr>
          <w:rFonts w:eastAsiaTheme="minorEastAsia"/>
        </w:rPr>
        <w:t>’</w:t>
      </w:r>
      <w:r w:rsidRPr="003210F5">
        <w:rPr>
          <w:rFonts w:eastAsiaTheme="minorEastAsia"/>
        </w:rPr>
        <w:t xml:space="preserve">ensuit que, pour autant que le grief concerne les requérants </w:t>
      </w:r>
      <w:r w:rsidRPr="003210F5">
        <w:t>désignés sous les</w:t>
      </w:r>
      <w:r w:rsidRPr="003210F5">
        <w:rPr>
          <w:rFonts w:eastAsiaTheme="minorEastAsia"/>
        </w:rPr>
        <w:t xml:space="preserve"> </w:t>
      </w:r>
      <w:bookmarkStart w:name="_Hlk85634549" w:id="36"/>
      <w:bookmarkStart w:name="_Hlk85634274" w:id="37"/>
      <w:r w:rsidRPr="003210F5">
        <w:t>n</w:t>
      </w:r>
      <w:r w:rsidRPr="003210F5">
        <w:rPr>
          <w:vertAlign w:val="superscript"/>
        </w:rPr>
        <w:t>os</w:t>
      </w:r>
      <w:bookmarkEnd w:id="36"/>
      <w:r w:rsidRPr="003210F5">
        <w:rPr>
          <w:vertAlign w:val="superscript"/>
        </w:rPr>
        <w:t xml:space="preserve"> </w:t>
      </w:r>
      <w:r w:rsidRPr="003210F5">
        <w:t>3, 5, 8, 9, 15, 18, 21 à 25, 29 et 31</w:t>
      </w:r>
      <w:bookmarkEnd w:id="37"/>
      <w:r w:rsidRPr="003210F5">
        <w:t>, </w:t>
      </w:r>
      <w:r w:rsidRPr="003210F5">
        <w:rPr>
          <w:rFonts w:eastAsiaTheme="minorEastAsia"/>
        </w:rPr>
        <w:t>il doit être rejeté pour non-épuisement des voies de recours internes, en application de l</w:t>
      </w:r>
      <w:r w:rsidRPr="003210F5" w:rsidR="003210F5">
        <w:rPr>
          <w:rFonts w:eastAsiaTheme="minorEastAsia"/>
        </w:rPr>
        <w:t>’</w:t>
      </w:r>
      <w:r w:rsidRPr="003210F5">
        <w:rPr>
          <w:rFonts w:eastAsiaTheme="minorEastAsia"/>
        </w:rPr>
        <w:t>article 35 §§ 1 et 4 de la Convention.</w:t>
      </w:r>
    </w:p>
    <w:bookmarkStart w:name="seventyfour" w:id="38"/>
    <w:p w:rsidRPr="003210F5" w:rsidR="003A74F0" w:rsidP="003210F5" w:rsidRDefault="003A74F0" w14:paraId="0DC5CC35" w14:textId="632E28C5">
      <w:pPr>
        <w:pStyle w:val="JuPara"/>
        <w:rPr>
          <w:rFonts w:eastAsiaTheme="minorEastAsia"/>
        </w:rPr>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74</w:t>
      </w:r>
      <w:r w:rsidRPr="003210F5">
        <w:rPr>
          <w:rFonts w:eastAsiaTheme="minorEastAsia"/>
          <w:szCs w:val="22"/>
        </w:rPr>
        <w:fldChar w:fldCharType="end"/>
      </w:r>
      <w:bookmarkEnd w:id="38"/>
      <w:r w:rsidRPr="003210F5">
        <w:rPr>
          <w:rFonts w:eastAsiaTheme="minorEastAsia"/>
          <w:szCs w:val="22"/>
        </w:rPr>
        <w:t>.  Concernant en particulier les requérants</w:t>
      </w:r>
      <w:r w:rsidRPr="003210F5">
        <w:rPr>
          <w:rFonts w:eastAsiaTheme="minorEastAsia"/>
        </w:rPr>
        <w:t xml:space="preserve"> désignés sous les </w:t>
      </w:r>
      <w:r w:rsidRPr="003210F5">
        <w:t>n</w:t>
      </w:r>
      <w:r w:rsidRPr="003210F5">
        <w:rPr>
          <w:vertAlign w:val="superscript"/>
        </w:rPr>
        <w:t xml:space="preserve">os </w:t>
      </w:r>
      <w:r w:rsidRPr="003210F5">
        <w:t>1, 2, 4, 6, 7, 10 à 14, 16, 17, 19, 20, 26 à 28, 30 et 32 à 34</w:t>
      </w:r>
      <w:r w:rsidRPr="003210F5">
        <w:rPr>
          <w:b/>
          <w:bCs/>
        </w:rPr>
        <w:t xml:space="preserve"> </w:t>
      </w:r>
      <w:r w:rsidRPr="003210F5">
        <w:rPr>
          <w:rFonts w:eastAsiaTheme="minorEastAsia"/>
        </w:rPr>
        <w:t>la Cour observe que, à la date d</w:t>
      </w:r>
      <w:r w:rsidRPr="003210F5" w:rsidR="003210F5">
        <w:rPr>
          <w:rFonts w:eastAsiaTheme="minorEastAsia"/>
        </w:rPr>
        <w:t>’</w:t>
      </w:r>
      <w:r w:rsidRPr="003210F5">
        <w:rPr>
          <w:rFonts w:eastAsiaTheme="minorEastAsia"/>
        </w:rPr>
        <w:t>introduction de la requête, le 30 avril 2013, ils étaient détenus dans la prison de Kassandra. Il en résulte que le recours indemnitaire fondé sur l</w:t>
      </w:r>
      <w:r w:rsidRPr="003210F5" w:rsidR="003210F5">
        <w:rPr>
          <w:rFonts w:eastAsiaTheme="minorEastAsia"/>
        </w:rPr>
        <w:t>’</w:t>
      </w:r>
      <w:r w:rsidRPr="003210F5">
        <w:rPr>
          <w:rFonts w:eastAsiaTheme="minorEastAsia"/>
        </w:rPr>
        <w:t>article 105 de la loi d</w:t>
      </w:r>
      <w:r w:rsidRPr="003210F5" w:rsidR="003210F5">
        <w:rPr>
          <w:rFonts w:eastAsiaTheme="minorEastAsia"/>
        </w:rPr>
        <w:t>’</w:t>
      </w:r>
      <w:r w:rsidRPr="003210F5">
        <w:rPr>
          <w:rFonts w:eastAsiaTheme="minorEastAsia"/>
        </w:rPr>
        <w:t>accompagnement du code civil invoqué par le Gouvernement ne peut pas à leur égard être considéré comme effectif aux fins de l</w:t>
      </w:r>
      <w:r w:rsidRPr="003210F5" w:rsidR="003210F5">
        <w:rPr>
          <w:rFonts w:eastAsiaTheme="minorEastAsia"/>
        </w:rPr>
        <w:t>’</w:t>
      </w:r>
      <w:r w:rsidRPr="003210F5">
        <w:rPr>
          <w:rFonts w:eastAsiaTheme="minorEastAsia"/>
        </w:rPr>
        <w:t xml:space="preserve">épuisement des voies de recours car il manque à cette action un caractère préventif au sens de la jurisprudence de la Cour (voir </w:t>
      </w:r>
      <w:r w:rsidRPr="003210F5">
        <w:rPr>
          <w:rFonts w:eastAsiaTheme="minorEastAsia"/>
          <w:i/>
          <w:iCs/>
        </w:rPr>
        <w:t>Pilalis et autres c.</w:t>
      </w:r>
      <w:r w:rsidRPr="003210F5" w:rsidR="00DB42D4">
        <w:rPr>
          <w:rFonts w:eastAsiaTheme="minorEastAsia"/>
          <w:i/>
          <w:iCs/>
        </w:rPr>
        <w:t> </w:t>
      </w:r>
      <w:r w:rsidRPr="003210F5">
        <w:rPr>
          <w:rFonts w:eastAsiaTheme="minorEastAsia"/>
          <w:i/>
          <w:iCs/>
        </w:rPr>
        <w:t>Grèce</w:t>
      </w:r>
      <w:r w:rsidRPr="003210F5">
        <w:rPr>
          <w:rFonts w:eastAsiaTheme="minorEastAsia"/>
        </w:rPr>
        <w:t>, n</w:t>
      </w:r>
      <w:r w:rsidRPr="003210F5">
        <w:rPr>
          <w:rFonts w:eastAsiaTheme="minorEastAsia"/>
          <w:vertAlign w:val="superscript"/>
        </w:rPr>
        <w:t>o</w:t>
      </w:r>
      <w:r w:rsidRPr="003210F5">
        <w:rPr>
          <w:rFonts w:eastAsiaTheme="minorEastAsia"/>
        </w:rPr>
        <w:t xml:space="preserve"> 5574/16, § 44, 17 mai 2018). La Cour rejette l</w:t>
      </w:r>
      <w:r w:rsidRPr="003210F5" w:rsidR="003210F5">
        <w:rPr>
          <w:rFonts w:eastAsiaTheme="minorEastAsia"/>
        </w:rPr>
        <w:t>’</w:t>
      </w:r>
      <w:r w:rsidRPr="003210F5">
        <w:rPr>
          <w:rFonts w:eastAsiaTheme="minorEastAsia"/>
        </w:rPr>
        <w:t>exception du Gouvernement tirée du non-épuisement des voies de recours internes pour autant qu</w:t>
      </w:r>
      <w:r w:rsidRPr="003210F5" w:rsidR="003210F5">
        <w:rPr>
          <w:rFonts w:eastAsiaTheme="minorEastAsia"/>
        </w:rPr>
        <w:t>’</w:t>
      </w:r>
      <w:r w:rsidRPr="003210F5">
        <w:rPr>
          <w:rFonts w:eastAsiaTheme="minorEastAsia"/>
        </w:rPr>
        <w:t>il concerne ces requérants.</w:t>
      </w:r>
    </w:p>
    <w:bookmarkEnd w:id="24"/>
    <w:p w:rsidRPr="003210F5" w:rsidR="003A74F0" w:rsidP="003210F5" w:rsidRDefault="003A74F0" w14:paraId="7837BC28" w14:textId="77777777">
      <w:pPr>
        <w:pStyle w:val="JuHA"/>
        <w:rPr>
          <w:rFonts w:eastAsiaTheme="minorEastAsia"/>
        </w:rPr>
      </w:pPr>
      <w:r w:rsidRPr="003210F5">
        <w:rPr>
          <w:rFonts w:eastAsiaTheme="minorEastAsia"/>
        </w:rPr>
        <w:t xml:space="preserve">La </w:t>
      </w:r>
      <w:r w:rsidRPr="003210F5">
        <w:t>détention</w:t>
      </w:r>
      <w:r w:rsidRPr="003210F5">
        <w:rPr>
          <w:rFonts w:eastAsiaTheme="minorEastAsia"/>
        </w:rPr>
        <w:t xml:space="preserve"> dans les immeubles B et C (locaux ouverts) et en semi-liberté</w:t>
      </w:r>
    </w:p>
    <w:bookmarkStart w:name="_Hlk62738017" w:id="39"/>
    <w:p w:rsidRPr="003210F5" w:rsidR="003A74F0" w:rsidP="003210F5" w:rsidRDefault="003A74F0" w14:paraId="0D3A3F7F" w14:textId="5C2172EB">
      <w:pPr>
        <w:pStyle w:val="JuPara"/>
        <w:rPr>
          <w:rFonts w:asciiTheme="majorHAnsi" w:hAnsiTheme="majorHAnsi" w:eastAsiaTheme="majorEastAsia" w:cstheme="majorBidi"/>
          <w:bCs/>
          <w:caps/>
          <w:szCs w:val="26"/>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75</w:t>
      </w:r>
      <w:r w:rsidRPr="003210F5">
        <w:rPr>
          <w:rFonts w:eastAsiaTheme="minorEastAsia"/>
        </w:rPr>
        <w:fldChar w:fldCharType="end"/>
      </w:r>
      <w:r w:rsidRPr="003210F5">
        <w:rPr>
          <w:rFonts w:eastAsiaTheme="minorEastAsia"/>
        </w:rPr>
        <w:t>.  La Cour note que, pendant certaines périodes indiquées en détail dans le tableau précité (paragraphe 4 ci-dessus), les requérants désignés sous les n</w:t>
      </w:r>
      <w:r w:rsidRPr="003210F5">
        <w:rPr>
          <w:rFonts w:eastAsiaTheme="minorEastAsia"/>
          <w:vertAlign w:val="superscript"/>
        </w:rPr>
        <w:t>os</w:t>
      </w:r>
      <w:r w:rsidRPr="003210F5">
        <w:rPr>
          <w:rFonts w:eastAsiaTheme="minorEastAsia"/>
        </w:rPr>
        <w:t> 1, 2, 4, 6, 7, 10, 11, 13, 14, 16, 17, 19, 20, 26 à 28, 30 et 32 à 34 ont été détenus dans les immeubles B, C ou dans la salle des soins, qui fonctionnait en tant que prison ouverte, ou en régime de semi-liberté.</w:t>
      </w:r>
    </w:p>
    <w:bookmarkEnd w:id="39"/>
    <w:p w:rsidRPr="003210F5" w:rsidR="003A74F0" w:rsidP="003210F5" w:rsidRDefault="003A74F0" w14:paraId="0EA2B372" w14:textId="77777777">
      <w:pPr>
        <w:pStyle w:val="JuH1"/>
      </w:pPr>
      <w:r w:rsidRPr="003210F5">
        <w:t>Les arguments des parties</w:t>
      </w:r>
    </w:p>
    <w:p w:rsidRPr="003210F5" w:rsidR="003A74F0" w:rsidP="003210F5" w:rsidRDefault="003A74F0" w14:paraId="12CADAC2" w14:textId="77777777">
      <w:pPr>
        <w:pStyle w:val="JuHa0"/>
      </w:pPr>
      <w:bookmarkStart w:name="_Hlk62830562" w:id="40"/>
      <w:r w:rsidRPr="003210F5">
        <w:t>Le Gouvernement</w:t>
      </w:r>
    </w:p>
    <w:bookmarkStart w:name="eightyfour" w:id="41"/>
    <w:bookmarkEnd w:id="40"/>
    <w:p w:rsidRPr="003210F5" w:rsidR="003A74F0" w:rsidP="003210F5" w:rsidRDefault="003A74F0" w14:paraId="0B36FCC0" w14:textId="5350C5BA">
      <w:pPr>
        <w:pStyle w:val="JuPara"/>
        <w:rPr>
          <w:rFonts w:eastAsiaTheme="minorEastAsia"/>
        </w:rPr>
      </w:pPr>
      <w:r w:rsidRPr="003210F5">
        <w:rPr>
          <w:rFonts w:cs="Times New Roman" w:eastAsiaTheme="minorEastAsia"/>
        </w:rPr>
        <w:fldChar w:fldCharType="begin"/>
      </w:r>
      <w:r w:rsidRPr="003210F5">
        <w:rPr>
          <w:rFonts w:cs="Times New Roman" w:eastAsiaTheme="minorEastAsia"/>
        </w:rPr>
        <w:instrText xml:space="preserve"> SEQ level0 \*arabic </w:instrText>
      </w:r>
      <w:r w:rsidRPr="003210F5">
        <w:rPr>
          <w:rFonts w:cs="Times New Roman" w:eastAsiaTheme="minorEastAsia"/>
        </w:rPr>
        <w:fldChar w:fldCharType="separate"/>
      </w:r>
      <w:r w:rsidRPr="003210F5" w:rsidR="003210F5">
        <w:rPr>
          <w:rFonts w:cs="Times New Roman" w:eastAsiaTheme="minorEastAsia"/>
          <w:noProof/>
        </w:rPr>
        <w:t>76</w:t>
      </w:r>
      <w:r w:rsidRPr="003210F5">
        <w:rPr>
          <w:rFonts w:cs="Times New Roman" w:eastAsiaTheme="minorEastAsia"/>
        </w:rPr>
        <w:fldChar w:fldCharType="end"/>
      </w:r>
      <w:bookmarkEnd w:id="41"/>
      <w:r w:rsidRPr="003210F5">
        <w:rPr>
          <w:rFonts w:cs="Times New Roman" w:eastAsiaTheme="minorEastAsia"/>
        </w:rPr>
        <w:t>.  </w:t>
      </w:r>
      <w:r w:rsidRPr="003210F5">
        <w:rPr>
          <w:rFonts w:eastAsiaTheme="minorEastAsia"/>
        </w:rPr>
        <w:t>Pour l</w:t>
      </w:r>
      <w:r w:rsidRPr="003210F5" w:rsidR="003210F5">
        <w:rPr>
          <w:rFonts w:eastAsiaTheme="minorEastAsia"/>
        </w:rPr>
        <w:t>’</w:t>
      </w:r>
      <w:r w:rsidRPr="003210F5">
        <w:rPr>
          <w:rFonts w:eastAsiaTheme="minorEastAsia"/>
        </w:rPr>
        <w:t xml:space="preserve">intégralité des arguments du Gouvernement, la Cour renvoie à ce que dit le Gouvernement sur les conditions de détention des requérants dans la prison de Kassandra (paragraphes </w:t>
      </w:r>
      <w:r w:rsidRPr="003210F5">
        <w:rPr>
          <w:rFonts w:cs="Times New Roman" w:eastAsiaTheme="minorEastAsia"/>
        </w:rPr>
        <w:fldChar w:fldCharType="begin"/>
      </w:r>
      <w:r w:rsidRPr="003210F5">
        <w:rPr>
          <w:rFonts w:cs="Times New Roman" w:eastAsiaTheme="minorEastAsia"/>
        </w:rPr>
        <w:instrText xml:space="preserve"> REF thirteen \h  \* MERGEFORMAT </w:instrText>
      </w:r>
      <w:r w:rsidRPr="003210F5">
        <w:rPr>
          <w:rFonts w:cs="Times New Roman" w:eastAsiaTheme="minorEastAsia"/>
        </w:rPr>
      </w:r>
      <w:r w:rsidRPr="003210F5">
        <w:rPr>
          <w:rFonts w:cs="Times New Roman" w:eastAsiaTheme="minorEastAsia"/>
        </w:rPr>
        <w:fldChar w:fldCharType="separate"/>
      </w:r>
      <w:r w:rsidRPr="003210F5" w:rsidR="003210F5">
        <w:t>13</w:t>
      </w:r>
      <w:r w:rsidRPr="003210F5">
        <w:rPr>
          <w:rFonts w:cs="Times New Roman" w:eastAsiaTheme="minorEastAsia"/>
        </w:rPr>
        <w:fldChar w:fldCharType="end"/>
      </w:r>
      <w:r w:rsidRPr="003210F5">
        <w:rPr>
          <w:rFonts w:cs="Times New Roman" w:eastAsiaTheme="minorEastAsia"/>
        </w:rPr>
        <w:t>-</w:t>
      </w:r>
      <w:r w:rsidRPr="003210F5">
        <w:rPr>
          <w:rFonts w:cs="Times New Roman" w:eastAsiaTheme="minorEastAsia"/>
        </w:rPr>
        <w:fldChar w:fldCharType="begin"/>
      </w:r>
      <w:r w:rsidRPr="003210F5">
        <w:rPr>
          <w:rFonts w:cs="Times New Roman" w:eastAsiaTheme="minorEastAsia"/>
        </w:rPr>
        <w:instrText xml:space="preserve"> REF thirtytwo \h  \* MERGEFORMAT </w:instrText>
      </w:r>
      <w:r w:rsidRPr="003210F5">
        <w:rPr>
          <w:rFonts w:cs="Times New Roman" w:eastAsiaTheme="minorEastAsia"/>
        </w:rPr>
      </w:r>
      <w:r w:rsidRPr="003210F5">
        <w:rPr>
          <w:rFonts w:cs="Times New Roman" w:eastAsiaTheme="minorEastAsia"/>
        </w:rPr>
        <w:fldChar w:fldCharType="separate"/>
      </w:r>
      <w:r w:rsidRPr="003210F5" w:rsidR="003210F5">
        <w:t>32</w:t>
      </w:r>
      <w:r w:rsidRPr="003210F5">
        <w:rPr>
          <w:rFonts w:cs="Times New Roman" w:eastAsiaTheme="minorEastAsia"/>
        </w:rPr>
        <w:fldChar w:fldCharType="end"/>
      </w:r>
      <w:r w:rsidRPr="003210F5">
        <w:rPr>
          <w:rFonts w:cs="Times New Roman" w:eastAsiaTheme="minorEastAsia"/>
        </w:rPr>
        <w:t xml:space="preserve"> ci-dessus)</w:t>
      </w:r>
      <w:r w:rsidRPr="003210F5">
        <w:rPr>
          <w:rFonts w:eastAsiaTheme="minorEastAsia"/>
        </w:rPr>
        <w:t>.</w:t>
      </w:r>
    </w:p>
    <w:p w:rsidRPr="003210F5" w:rsidR="003A74F0" w:rsidP="003210F5" w:rsidRDefault="003A74F0" w14:paraId="578B1509" w14:textId="02950646">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77</w:t>
      </w:r>
      <w:r w:rsidRPr="003210F5">
        <w:rPr>
          <w:rFonts w:eastAsiaTheme="minorEastAsia"/>
        </w:rPr>
        <w:fldChar w:fldCharType="end"/>
      </w:r>
      <w:r w:rsidRPr="003210F5">
        <w:rPr>
          <w:rFonts w:eastAsiaTheme="minorEastAsia"/>
        </w:rPr>
        <w:t>.  Renvoyant à ce qu</w:t>
      </w:r>
      <w:r w:rsidRPr="003210F5" w:rsidR="003210F5">
        <w:rPr>
          <w:rFonts w:eastAsiaTheme="minorEastAsia"/>
        </w:rPr>
        <w:t>’</w:t>
      </w:r>
      <w:r w:rsidRPr="003210F5">
        <w:rPr>
          <w:rFonts w:eastAsiaTheme="minorEastAsia"/>
        </w:rPr>
        <w:t xml:space="preserve">il dit au sujet des conditions de détention dans la prison de Kassandra (paragraphes </w:t>
      </w:r>
      <w:r w:rsidRPr="003210F5">
        <w:rPr>
          <w:rFonts w:eastAsiaTheme="minorEastAsia"/>
        </w:rPr>
        <w:fldChar w:fldCharType="begin"/>
      </w:r>
      <w:r w:rsidRPr="003210F5">
        <w:rPr>
          <w:rFonts w:eastAsiaTheme="minorEastAsia"/>
        </w:rPr>
        <w:instrText xml:space="preserve"> REF thirteen \h  \* MERGEFORMAT </w:instrText>
      </w:r>
      <w:r w:rsidRPr="003210F5">
        <w:rPr>
          <w:rFonts w:eastAsiaTheme="minorEastAsia"/>
        </w:rPr>
      </w:r>
      <w:r w:rsidRPr="003210F5">
        <w:rPr>
          <w:rFonts w:eastAsiaTheme="minorEastAsia"/>
        </w:rPr>
        <w:fldChar w:fldCharType="separate"/>
      </w:r>
      <w:r w:rsidRPr="003210F5" w:rsidR="003210F5">
        <w:t>13</w:t>
      </w:r>
      <w:r w:rsidRPr="003210F5">
        <w:rPr>
          <w:rFonts w:eastAsiaTheme="minorEastAsia"/>
        </w:rPr>
        <w:fldChar w:fldCharType="end"/>
      </w:r>
      <w:r w:rsidRPr="003210F5">
        <w:rPr>
          <w:rFonts w:eastAsiaTheme="minorEastAsia"/>
        </w:rPr>
        <w:t>-</w:t>
      </w:r>
      <w:r w:rsidRPr="003210F5">
        <w:rPr>
          <w:rFonts w:eastAsiaTheme="minorEastAsia"/>
        </w:rPr>
        <w:fldChar w:fldCharType="begin"/>
      </w:r>
      <w:r w:rsidRPr="003210F5">
        <w:rPr>
          <w:rFonts w:eastAsiaTheme="minorEastAsia"/>
        </w:rPr>
        <w:instrText xml:space="preserve"> REF thirtytwo \h  \* MERGEFORMAT </w:instrText>
      </w:r>
      <w:r w:rsidRPr="003210F5">
        <w:rPr>
          <w:rFonts w:eastAsiaTheme="minorEastAsia"/>
        </w:rPr>
      </w:r>
      <w:r w:rsidRPr="003210F5">
        <w:rPr>
          <w:rFonts w:eastAsiaTheme="minorEastAsia"/>
        </w:rPr>
        <w:fldChar w:fldCharType="separate"/>
      </w:r>
      <w:r w:rsidRPr="003210F5" w:rsidR="003210F5">
        <w:t>32</w:t>
      </w:r>
      <w:r w:rsidRPr="003210F5">
        <w:rPr>
          <w:rFonts w:eastAsiaTheme="minorEastAsia"/>
        </w:rPr>
        <w:fldChar w:fldCharType="end"/>
      </w:r>
      <w:r w:rsidRPr="003210F5">
        <w:rPr>
          <w:rFonts w:eastAsiaTheme="minorEastAsia"/>
        </w:rPr>
        <w:t xml:space="preserve"> ci-dessus), le Gouvernement s</w:t>
      </w:r>
      <w:r w:rsidRPr="003210F5" w:rsidR="003210F5">
        <w:rPr>
          <w:rFonts w:eastAsiaTheme="minorEastAsia"/>
        </w:rPr>
        <w:t>’</w:t>
      </w:r>
      <w:r w:rsidRPr="003210F5">
        <w:rPr>
          <w:rFonts w:eastAsiaTheme="minorEastAsia"/>
        </w:rPr>
        <w:t>en tient à sa position selon laquelle ces conditions sont substantiellement différentes, voire meilleures que celles dans des autres établissements pénitentiaires en Grèce et que les griefs de traitements inhumains ou dégradants formulés par les requérants sont infondés.</w:t>
      </w:r>
    </w:p>
    <w:p w:rsidRPr="003210F5" w:rsidR="003A74F0" w:rsidP="003210F5" w:rsidRDefault="003A74F0" w14:paraId="0DB2D875" w14:textId="04F4956D">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78</w:t>
      </w:r>
      <w:r w:rsidRPr="003210F5">
        <w:rPr>
          <w:rFonts w:eastAsiaTheme="minorEastAsia"/>
        </w:rPr>
        <w:fldChar w:fldCharType="end"/>
      </w:r>
      <w:r w:rsidRPr="003210F5">
        <w:rPr>
          <w:rFonts w:eastAsiaTheme="minorEastAsia"/>
        </w:rPr>
        <w:t>.  Le Gouvernement admet l</w:t>
      </w:r>
      <w:r w:rsidRPr="003210F5" w:rsidR="003210F5">
        <w:rPr>
          <w:rFonts w:eastAsiaTheme="minorEastAsia"/>
        </w:rPr>
        <w:t>’</w:t>
      </w:r>
      <w:r w:rsidRPr="003210F5">
        <w:rPr>
          <w:rFonts w:eastAsiaTheme="minorEastAsia"/>
        </w:rPr>
        <w:t>existence de problèmes et d</w:t>
      </w:r>
      <w:r w:rsidRPr="003210F5" w:rsidR="003210F5">
        <w:rPr>
          <w:rFonts w:eastAsiaTheme="minorEastAsia"/>
        </w:rPr>
        <w:t>’</w:t>
      </w:r>
      <w:r w:rsidRPr="003210F5">
        <w:rPr>
          <w:rFonts w:eastAsiaTheme="minorEastAsia"/>
        </w:rPr>
        <w:t>une possibilité d</w:t>
      </w:r>
      <w:r w:rsidRPr="003210F5" w:rsidR="003210F5">
        <w:rPr>
          <w:rFonts w:eastAsiaTheme="minorEastAsia"/>
        </w:rPr>
        <w:t>’</w:t>
      </w:r>
      <w:r w:rsidRPr="003210F5">
        <w:rPr>
          <w:rFonts w:eastAsiaTheme="minorEastAsia"/>
        </w:rPr>
        <w:t>amélioration des conditions de détention. Il nie cependant le problème de surpopulation, d</w:t>
      </w:r>
      <w:r w:rsidRPr="003210F5" w:rsidR="003210F5">
        <w:rPr>
          <w:rFonts w:eastAsiaTheme="minorEastAsia"/>
        </w:rPr>
        <w:t>’</w:t>
      </w:r>
      <w:r w:rsidRPr="003210F5">
        <w:rPr>
          <w:rFonts w:eastAsiaTheme="minorEastAsia"/>
        </w:rPr>
        <w:t>alimentation, de propreté et de suivi médical. Il soutient que les détenus sont en contact direct et quotidien avec la nature, que la qualité et la quantité de la nourriture sont suffisantes, que le suivi médical des problèmes de santé est assuré d</w:t>
      </w:r>
      <w:r w:rsidRPr="003210F5" w:rsidR="003210F5">
        <w:rPr>
          <w:rFonts w:eastAsiaTheme="minorEastAsia"/>
        </w:rPr>
        <w:t>’</w:t>
      </w:r>
      <w:r w:rsidRPr="003210F5">
        <w:rPr>
          <w:rFonts w:eastAsiaTheme="minorEastAsia"/>
        </w:rPr>
        <w:t>une manière scientifiquement indiquée et que les relations entre le personnel et les détenus sont excellentes.</w:t>
      </w:r>
    </w:p>
    <w:p w:rsidRPr="003210F5" w:rsidR="003A74F0" w:rsidP="003210F5" w:rsidRDefault="003A74F0" w14:paraId="2126C058" w14:textId="00239888">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79</w:t>
      </w:r>
      <w:r w:rsidRPr="003210F5">
        <w:rPr>
          <w:rFonts w:eastAsiaTheme="minorEastAsia"/>
        </w:rPr>
        <w:fldChar w:fldCharType="end"/>
      </w:r>
      <w:r w:rsidRPr="003210F5">
        <w:rPr>
          <w:rFonts w:eastAsiaTheme="minorEastAsia"/>
        </w:rPr>
        <w:t>.  En ce qui concerne les griefs tirés du traitement des toxicomanes et du tabagisme passif, le Gouvernement affirme qu</w:t>
      </w:r>
      <w:r w:rsidRPr="003210F5" w:rsidR="003210F5">
        <w:rPr>
          <w:rFonts w:eastAsiaTheme="minorEastAsia"/>
        </w:rPr>
        <w:t>’</w:t>
      </w:r>
      <w:r w:rsidRPr="003210F5">
        <w:rPr>
          <w:rFonts w:eastAsiaTheme="minorEastAsia"/>
        </w:rPr>
        <w:t>aucun requérant ne soutient précisément qu</w:t>
      </w:r>
      <w:r w:rsidRPr="003210F5" w:rsidR="003210F5">
        <w:rPr>
          <w:rFonts w:eastAsiaTheme="minorEastAsia"/>
        </w:rPr>
        <w:t>’</w:t>
      </w:r>
      <w:r w:rsidRPr="003210F5">
        <w:rPr>
          <w:rFonts w:eastAsiaTheme="minorEastAsia"/>
        </w:rPr>
        <w:t>il est toxicomane et qu</w:t>
      </w:r>
      <w:r w:rsidRPr="003210F5" w:rsidR="003210F5">
        <w:rPr>
          <w:rFonts w:eastAsiaTheme="minorEastAsia"/>
        </w:rPr>
        <w:t>’</w:t>
      </w:r>
      <w:r w:rsidRPr="003210F5">
        <w:rPr>
          <w:rFonts w:eastAsiaTheme="minorEastAsia"/>
        </w:rPr>
        <w:t>il a été obligé lors de son placement dans la prison de Kassandra d</w:t>
      </w:r>
      <w:r w:rsidRPr="003210F5" w:rsidR="003210F5">
        <w:rPr>
          <w:rFonts w:eastAsiaTheme="minorEastAsia"/>
        </w:rPr>
        <w:t>’</w:t>
      </w:r>
      <w:r w:rsidRPr="003210F5">
        <w:rPr>
          <w:rFonts w:eastAsiaTheme="minorEastAsia"/>
        </w:rPr>
        <w:t>interrompre soudainement son traitement, qu</w:t>
      </w:r>
      <w:r w:rsidRPr="003210F5" w:rsidR="003210F5">
        <w:rPr>
          <w:rFonts w:eastAsiaTheme="minorEastAsia"/>
        </w:rPr>
        <w:t>’</w:t>
      </w:r>
      <w:r w:rsidRPr="003210F5">
        <w:rPr>
          <w:rFonts w:eastAsiaTheme="minorEastAsia"/>
        </w:rPr>
        <w:t>il a été privé des produits de substitution ou qu</w:t>
      </w:r>
      <w:r w:rsidRPr="003210F5" w:rsidR="003210F5">
        <w:rPr>
          <w:rFonts w:eastAsiaTheme="minorEastAsia"/>
        </w:rPr>
        <w:t>’</w:t>
      </w:r>
      <w:r w:rsidRPr="003210F5">
        <w:rPr>
          <w:rFonts w:eastAsiaTheme="minorEastAsia"/>
        </w:rPr>
        <w:t>il est non-fumeur. Ces griefs sont exposés de manière vague et doivent être rejetés.</w:t>
      </w:r>
    </w:p>
    <w:p w:rsidRPr="003210F5" w:rsidR="003A74F0" w:rsidP="003210F5" w:rsidRDefault="003A74F0" w14:paraId="66ADC084" w14:textId="0F62241C">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80</w:t>
      </w:r>
      <w:r w:rsidRPr="003210F5">
        <w:rPr>
          <w:rFonts w:eastAsiaTheme="minorEastAsia"/>
        </w:rPr>
        <w:fldChar w:fldCharType="end"/>
      </w:r>
      <w:r w:rsidRPr="003210F5">
        <w:rPr>
          <w:rFonts w:eastAsiaTheme="minorEastAsia"/>
        </w:rPr>
        <w:t>.</w:t>
      </w:r>
      <w:r w:rsidRPr="003210F5" w:rsidR="00C91052">
        <w:rPr>
          <w:rFonts w:eastAsiaTheme="minorEastAsia"/>
        </w:rPr>
        <w:t>  </w:t>
      </w:r>
      <w:r w:rsidRPr="003210F5">
        <w:rPr>
          <w:rFonts w:eastAsiaTheme="minorEastAsia"/>
        </w:rPr>
        <w:t>Le Gouvernement se réfère au rapport du médiateur de la République du 17 octobre 2014 relatant sa visite dans la prison de Kassandra (paragraphes </w:t>
      </w:r>
      <w:r w:rsidRPr="003210F5">
        <w:rPr>
          <w:rFonts w:eastAsiaTheme="minorEastAsia"/>
        </w:rPr>
        <w:fldChar w:fldCharType="begin"/>
      </w:r>
      <w:r w:rsidRPr="003210F5">
        <w:rPr>
          <w:rFonts w:eastAsiaTheme="minorEastAsia"/>
        </w:rPr>
        <w:instrText xml:space="preserve"> REF thirtyseven \h  \* MERGEFORMAT </w:instrText>
      </w:r>
      <w:r w:rsidRPr="003210F5">
        <w:rPr>
          <w:rFonts w:eastAsiaTheme="minorEastAsia"/>
        </w:rPr>
      </w:r>
      <w:r w:rsidRPr="003210F5">
        <w:rPr>
          <w:rFonts w:eastAsiaTheme="minorEastAsia"/>
        </w:rPr>
        <w:fldChar w:fldCharType="separate"/>
      </w:r>
      <w:r w:rsidRPr="003210F5" w:rsidR="003210F5">
        <w:t>36</w:t>
      </w:r>
      <w:r w:rsidRPr="003210F5">
        <w:rPr>
          <w:rFonts w:eastAsiaTheme="minorEastAsia"/>
        </w:rPr>
        <w:fldChar w:fldCharType="end"/>
      </w:r>
      <w:r w:rsidRPr="003210F5">
        <w:rPr>
          <w:rFonts w:eastAsiaTheme="minorEastAsia"/>
        </w:rPr>
        <w:t>-</w:t>
      </w:r>
      <w:r w:rsidRPr="003210F5">
        <w:rPr>
          <w:rFonts w:eastAsiaTheme="minorEastAsia"/>
        </w:rPr>
        <w:fldChar w:fldCharType="begin"/>
      </w:r>
      <w:r w:rsidRPr="003210F5">
        <w:rPr>
          <w:rFonts w:eastAsiaTheme="minorEastAsia"/>
        </w:rPr>
        <w:instrText xml:space="preserve"> REF fiftythree \h  \* MERGEFORMAT </w:instrText>
      </w:r>
      <w:r w:rsidRPr="003210F5">
        <w:rPr>
          <w:rFonts w:eastAsiaTheme="minorEastAsia"/>
        </w:rPr>
      </w:r>
      <w:r w:rsidRPr="003210F5">
        <w:rPr>
          <w:rFonts w:eastAsiaTheme="minorEastAsia"/>
        </w:rPr>
        <w:fldChar w:fldCharType="separate"/>
      </w:r>
      <w:r w:rsidRPr="003210F5" w:rsidR="003210F5">
        <w:t>52</w:t>
      </w:r>
      <w:r w:rsidRPr="003210F5">
        <w:rPr>
          <w:rFonts w:eastAsiaTheme="minorEastAsia"/>
        </w:rPr>
        <w:fldChar w:fldCharType="end"/>
      </w:r>
      <w:r w:rsidRPr="003210F5">
        <w:rPr>
          <w:rFonts w:eastAsiaTheme="minorEastAsia"/>
        </w:rPr>
        <w:t xml:space="preserve"> ci-dessus), en notant que le médiateur a établi son rapport après avoir rencontré en personne le directeur de la prison et après avoir parlé avec les détenus. Il dit que, hormis certaines défaillances révélées par le médiateur et certains points appelant des améliorations, ses constats ne faisaient état d</w:t>
      </w:r>
      <w:r w:rsidRPr="003210F5" w:rsidR="003210F5">
        <w:rPr>
          <w:rFonts w:eastAsiaTheme="minorEastAsia"/>
        </w:rPr>
        <w:t>’</w:t>
      </w:r>
      <w:r w:rsidRPr="003210F5">
        <w:rPr>
          <w:rFonts w:eastAsiaTheme="minorEastAsia"/>
        </w:rPr>
        <w:t>aucun cas permettant de qualifier la détention dans cette prison de traitement en cause inhumain ou dégradant, au sens de l</w:t>
      </w:r>
      <w:r w:rsidRPr="003210F5" w:rsidR="003210F5">
        <w:rPr>
          <w:rFonts w:eastAsiaTheme="minorEastAsia"/>
        </w:rPr>
        <w:t>’</w:t>
      </w:r>
      <w:r w:rsidRPr="003210F5">
        <w:rPr>
          <w:rFonts w:eastAsiaTheme="minorEastAsia"/>
        </w:rPr>
        <w:t>article 3 de la Convention.</w:t>
      </w:r>
    </w:p>
    <w:p w:rsidRPr="003210F5" w:rsidR="003A74F0" w:rsidP="003210F5" w:rsidRDefault="003A74F0" w14:paraId="32BF6BE9" w14:textId="42CEC55B">
      <w:pPr>
        <w:pStyle w:val="JuPara"/>
        <w:rPr>
          <w:rFonts w:eastAsiaTheme="minorEastAsia"/>
          <w:szCs w:val="22"/>
        </w:rPr>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81</w:t>
      </w:r>
      <w:r w:rsidRPr="003210F5">
        <w:rPr>
          <w:rFonts w:eastAsiaTheme="minorEastAsia"/>
          <w:szCs w:val="22"/>
        </w:rPr>
        <w:fldChar w:fldCharType="end"/>
      </w:r>
      <w:r w:rsidRPr="003210F5">
        <w:rPr>
          <w:rFonts w:eastAsiaTheme="minorEastAsia"/>
          <w:szCs w:val="22"/>
        </w:rPr>
        <w:t>. </w:t>
      </w:r>
      <w:r w:rsidRPr="003210F5" w:rsidR="00C91052">
        <w:rPr>
          <w:rFonts w:eastAsiaTheme="minorEastAsia"/>
          <w:szCs w:val="22"/>
        </w:rPr>
        <w:t> </w:t>
      </w:r>
      <w:r w:rsidRPr="003210F5">
        <w:rPr>
          <w:rFonts w:eastAsia="Times New Roman"/>
        </w:rPr>
        <w:t>Le Gouvernement soutient que la moyenne des détenus par chambrée était de dix et que chacun avait à sa disposition en moyenne 8 m</w:t>
      </w:r>
      <w:r w:rsidRPr="003210F5">
        <w:rPr>
          <w:rFonts w:eastAsia="Times New Roman"/>
          <w:vertAlign w:val="superscript"/>
        </w:rPr>
        <w:t>2</w:t>
      </w:r>
      <w:r w:rsidRPr="003210F5">
        <w:rPr>
          <w:rFonts w:eastAsia="Times New Roman"/>
        </w:rPr>
        <w:t xml:space="preserve">. </w:t>
      </w:r>
      <w:r w:rsidRPr="003210F5">
        <w:rPr>
          <w:rFonts w:eastAsiaTheme="minorEastAsia"/>
          <w:szCs w:val="22"/>
        </w:rPr>
        <w:t>Il n</w:t>
      </w:r>
      <w:r w:rsidRPr="003210F5" w:rsidR="003210F5">
        <w:rPr>
          <w:rFonts w:eastAsiaTheme="minorEastAsia"/>
          <w:szCs w:val="22"/>
        </w:rPr>
        <w:t>’</w:t>
      </w:r>
      <w:r w:rsidRPr="003210F5">
        <w:rPr>
          <w:rFonts w:eastAsiaTheme="minorEastAsia"/>
          <w:szCs w:val="22"/>
        </w:rPr>
        <w:t>y avait donc pas selon lui de problème de manque d</w:t>
      </w:r>
      <w:r w:rsidRPr="003210F5" w:rsidR="003210F5">
        <w:rPr>
          <w:rFonts w:eastAsiaTheme="minorEastAsia"/>
          <w:szCs w:val="22"/>
        </w:rPr>
        <w:t>’</w:t>
      </w:r>
      <w:r w:rsidRPr="003210F5">
        <w:rPr>
          <w:rFonts w:eastAsiaTheme="minorEastAsia"/>
          <w:szCs w:val="22"/>
        </w:rPr>
        <w:t>espace.</w:t>
      </w:r>
    </w:p>
    <w:bookmarkStart w:name="ninetythree" w:id="42"/>
    <w:p w:rsidRPr="003210F5" w:rsidR="003A74F0" w:rsidP="003210F5" w:rsidRDefault="003A74F0" w14:paraId="749B88F5" w14:textId="7687AA24">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82</w:t>
      </w:r>
      <w:r w:rsidRPr="003210F5">
        <w:rPr>
          <w:rFonts w:eastAsiaTheme="minorEastAsia"/>
        </w:rPr>
        <w:fldChar w:fldCharType="end"/>
      </w:r>
      <w:bookmarkEnd w:id="42"/>
      <w:r w:rsidRPr="003210F5">
        <w:rPr>
          <w:rFonts w:eastAsiaTheme="minorEastAsia"/>
        </w:rPr>
        <w:t>.  Le Gouvernement expose enfin que les requérants désignés sous les n</w:t>
      </w:r>
      <w:r w:rsidRPr="003210F5">
        <w:rPr>
          <w:rFonts w:eastAsiaTheme="minorEastAsia"/>
          <w:vertAlign w:val="superscript"/>
        </w:rPr>
        <w:t>os </w:t>
      </w:r>
      <w:r w:rsidRPr="003210F5">
        <w:rPr>
          <w:rFonts w:eastAsiaTheme="minorEastAsia"/>
        </w:rPr>
        <w:t>1, 4, 10, 16, 17, 19, 20, 26 et 33 ont été transférés d</w:t>
      </w:r>
      <w:r w:rsidRPr="003210F5" w:rsidR="003210F5">
        <w:rPr>
          <w:rFonts w:eastAsiaTheme="minorEastAsia"/>
        </w:rPr>
        <w:t>’</w:t>
      </w:r>
      <w:r w:rsidRPr="003210F5">
        <w:rPr>
          <w:rFonts w:eastAsiaTheme="minorEastAsia"/>
        </w:rPr>
        <w:t>autres prisons dans la prison de Kassandra à leur propre demande.</w:t>
      </w:r>
    </w:p>
    <w:p w:rsidRPr="003210F5" w:rsidR="003A74F0" w:rsidP="003210F5" w:rsidRDefault="003A74F0" w14:paraId="0DE20B81" w14:textId="77777777">
      <w:pPr>
        <w:pStyle w:val="JuHa0"/>
      </w:pPr>
      <w:r w:rsidRPr="003210F5">
        <w:t xml:space="preserve">Les </w:t>
      </w:r>
      <w:r w:rsidRPr="003210F5">
        <w:rPr>
          <w:lang w:val="en-GB"/>
        </w:rPr>
        <w:t>requéra</w:t>
      </w:r>
      <w:r w:rsidRPr="003210F5">
        <w:t>nts</w:t>
      </w:r>
    </w:p>
    <w:bookmarkStart w:name="seventysix" w:id="43"/>
    <w:p w:rsidRPr="003210F5" w:rsidR="003A74F0" w:rsidP="003210F5" w:rsidRDefault="003A74F0" w14:paraId="33E007F1" w14:textId="05A1A355">
      <w:pPr>
        <w:pStyle w:val="JuPara"/>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83</w:t>
      </w:r>
      <w:r w:rsidRPr="003210F5">
        <w:rPr>
          <w:rFonts w:eastAsiaTheme="minorEastAsia"/>
        </w:rPr>
        <w:fldChar w:fldCharType="end"/>
      </w:r>
      <w:bookmarkEnd w:id="43"/>
      <w:r w:rsidRPr="003210F5">
        <w:rPr>
          <w:rFonts w:eastAsiaTheme="minorEastAsia"/>
        </w:rPr>
        <w:t>.</w:t>
      </w:r>
      <w:bookmarkStart w:name="_Hlk62822484" w:id="44"/>
      <w:r w:rsidRPr="003210F5">
        <w:rPr>
          <w:rFonts w:eastAsiaTheme="minorEastAsia"/>
        </w:rPr>
        <w:t>  Pour l</w:t>
      </w:r>
      <w:r w:rsidRPr="003210F5" w:rsidR="003210F5">
        <w:rPr>
          <w:rFonts w:eastAsiaTheme="minorEastAsia"/>
        </w:rPr>
        <w:t>’</w:t>
      </w:r>
      <w:r w:rsidRPr="003210F5">
        <w:rPr>
          <w:rFonts w:eastAsiaTheme="minorEastAsia"/>
        </w:rPr>
        <w:t xml:space="preserve">intégralité des arguments des requérants, la Cour renvoie à ce que disent </w:t>
      </w:r>
      <w:bookmarkStart w:name="_Hlk98164872" w:id="45"/>
      <w:r w:rsidRPr="003210F5">
        <w:rPr>
          <w:rFonts w:eastAsiaTheme="minorEastAsia"/>
        </w:rPr>
        <w:t xml:space="preserve">les requérants </w:t>
      </w:r>
      <w:bookmarkEnd w:id="45"/>
      <w:r w:rsidRPr="003210F5">
        <w:rPr>
          <w:rFonts w:eastAsiaTheme="minorEastAsia"/>
        </w:rPr>
        <w:t xml:space="preserve">au sujet de leurs conditions de détention dans la prison de Kassandra (paragraphes </w:t>
      </w:r>
      <w:r w:rsidRPr="003210F5">
        <w:rPr>
          <w:rFonts w:cs="Times New Roman" w:eastAsiaTheme="minorEastAsia"/>
        </w:rPr>
        <w:fldChar w:fldCharType="begin"/>
      </w:r>
      <w:r w:rsidRPr="003210F5">
        <w:rPr>
          <w:rFonts w:cs="Times New Roman" w:eastAsiaTheme="minorEastAsia"/>
        </w:rPr>
        <w:instrText xml:space="preserve"> REF six \h  \* MERGEFORMAT </w:instrText>
      </w:r>
      <w:r w:rsidRPr="003210F5">
        <w:rPr>
          <w:rFonts w:cs="Times New Roman" w:eastAsiaTheme="minorEastAsia"/>
        </w:rPr>
      </w:r>
      <w:r w:rsidRPr="003210F5">
        <w:rPr>
          <w:rFonts w:cs="Times New Roman" w:eastAsiaTheme="minorEastAsia"/>
        </w:rPr>
        <w:fldChar w:fldCharType="separate"/>
      </w:r>
      <w:r w:rsidRPr="003210F5" w:rsidR="003210F5">
        <w:t>6</w:t>
      </w:r>
      <w:r w:rsidRPr="003210F5">
        <w:rPr>
          <w:rFonts w:cs="Times New Roman" w:eastAsiaTheme="minorEastAsia"/>
        </w:rPr>
        <w:fldChar w:fldCharType="end"/>
      </w:r>
      <w:r w:rsidRPr="003210F5">
        <w:rPr>
          <w:rFonts w:cs="Times New Roman" w:eastAsiaTheme="minorEastAsia"/>
        </w:rPr>
        <w:t>-</w:t>
      </w:r>
      <w:r w:rsidRPr="003210F5">
        <w:rPr>
          <w:rFonts w:cs="Times New Roman" w:eastAsiaTheme="minorEastAsia"/>
        </w:rPr>
        <w:fldChar w:fldCharType="begin"/>
      </w:r>
      <w:r w:rsidRPr="003210F5">
        <w:rPr>
          <w:rFonts w:cs="Times New Roman" w:eastAsiaTheme="minorEastAsia"/>
        </w:rPr>
        <w:instrText xml:space="preserve"> REF twelve \h  \* MERGEFORMAT </w:instrText>
      </w:r>
      <w:r w:rsidRPr="003210F5">
        <w:rPr>
          <w:rFonts w:cs="Times New Roman" w:eastAsiaTheme="minorEastAsia"/>
        </w:rPr>
      </w:r>
      <w:r w:rsidRPr="003210F5">
        <w:rPr>
          <w:rFonts w:cs="Times New Roman" w:eastAsiaTheme="minorEastAsia"/>
        </w:rPr>
        <w:fldChar w:fldCharType="separate"/>
      </w:r>
      <w:r w:rsidRPr="003210F5" w:rsidR="003210F5">
        <w:t>12</w:t>
      </w:r>
      <w:r w:rsidRPr="003210F5">
        <w:rPr>
          <w:rFonts w:cs="Times New Roman" w:eastAsiaTheme="minorEastAsia"/>
        </w:rPr>
        <w:fldChar w:fldCharType="end"/>
      </w:r>
      <w:r w:rsidRPr="003210F5">
        <w:rPr>
          <w:rFonts w:cs="Times New Roman" w:eastAsiaTheme="minorEastAsia"/>
        </w:rPr>
        <w:t xml:space="preserve"> ci-dessus)</w:t>
      </w:r>
      <w:r w:rsidRPr="003210F5">
        <w:rPr>
          <w:rFonts w:eastAsiaTheme="minorEastAsia"/>
        </w:rPr>
        <w:t xml:space="preserve">. </w:t>
      </w:r>
      <w:bookmarkEnd w:id="44"/>
      <w:r w:rsidRPr="003210F5">
        <w:rPr>
          <w:rFonts w:eastAsiaTheme="minorEastAsia"/>
        </w:rPr>
        <w:t>En principe, les requérants se plaignent des conditions de détention dans cette prison et d</w:t>
      </w:r>
      <w:r w:rsidRPr="003210F5" w:rsidR="003210F5">
        <w:rPr>
          <w:rFonts w:eastAsiaTheme="minorEastAsia"/>
        </w:rPr>
        <w:t>’</w:t>
      </w:r>
      <w:r w:rsidRPr="003210F5">
        <w:rPr>
          <w:rFonts w:eastAsiaTheme="minorEastAsia"/>
        </w:rPr>
        <w:t>une incompatibilité entre l</w:t>
      </w:r>
      <w:r w:rsidRPr="003210F5" w:rsidR="003210F5">
        <w:rPr>
          <w:rFonts w:eastAsiaTheme="minorEastAsia"/>
        </w:rPr>
        <w:t>’</w:t>
      </w:r>
      <w:r w:rsidRPr="003210F5">
        <w:rPr>
          <w:rFonts w:eastAsiaTheme="minorEastAsia"/>
        </w:rPr>
        <w:t xml:space="preserve">état de santé corporel et mental des détenus et leur détention. Ils dénoncent aussi une absence de </w:t>
      </w:r>
      <w:r w:rsidRPr="003210F5">
        <w:t>processus thérapeutique de désintoxication des toxicomanes.</w:t>
      </w:r>
    </w:p>
    <w:p w:rsidRPr="003210F5" w:rsidR="003A74F0" w:rsidP="003210F5" w:rsidRDefault="003A74F0" w14:paraId="349D653E" w14:textId="59A90D5C">
      <w:pPr>
        <w:pStyle w:val="JuPara"/>
        <w:rPr>
          <w:rFonts w:eastAsiaTheme="minorEastAsia"/>
          <w:szCs w:val="22"/>
        </w:rPr>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84</w:t>
      </w:r>
      <w:r w:rsidRPr="003210F5">
        <w:rPr>
          <w:rFonts w:eastAsiaTheme="minorEastAsia"/>
          <w:szCs w:val="22"/>
        </w:rPr>
        <w:fldChar w:fldCharType="end"/>
      </w:r>
      <w:r w:rsidRPr="003210F5">
        <w:rPr>
          <w:rFonts w:eastAsiaTheme="minorEastAsia"/>
          <w:szCs w:val="22"/>
        </w:rPr>
        <w:t>.  Ils renvoient aussi à ce qu</w:t>
      </w:r>
      <w:r w:rsidRPr="003210F5" w:rsidR="003210F5">
        <w:rPr>
          <w:rFonts w:eastAsiaTheme="minorEastAsia"/>
          <w:szCs w:val="22"/>
        </w:rPr>
        <w:t>’</w:t>
      </w:r>
      <w:r w:rsidRPr="003210F5">
        <w:rPr>
          <w:rFonts w:eastAsiaTheme="minorEastAsia"/>
          <w:szCs w:val="22"/>
        </w:rPr>
        <w:t xml:space="preserve">ils ont indiqué au sujet de leurs conditions de détention dans la </w:t>
      </w:r>
      <w:r w:rsidRPr="003210F5">
        <w:t xml:space="preserve">requête </w:t>
      </w:r>
      <w:r w:rsidRPr="003210F5">
        <w:rPr>
          <w:rFonts w:eastAsiaTheme="minorEastAsia"/>
          <w:szCs w:val="22"/>
        </w:rPr>
        <w:t>du</w:t>
      </w:r>
      <w:r w:rsidRPr="003210F5">
        <w:t xml:space="preserve"> 15 mars 2013 fondée sur l</w:t>
      </w:r>
      <w:r w:rsidRPr="003210F5" w:rsidR="003210F5">
        <w:t>’</w:t>
      </w:r>
      <w:r w:rsidRPr="003210F5">
        <w:t>article 572 du code de procédure pénale et adressée au procureur superviseur compétent, soulignant qu</w:t>
      </w:r>
      <w:r w:rsidRPr="003210F5" w:rsidR="003210F5">
        <w:t>’</w:t>
      </w:r>
      <w:r w:rsidRPr="003210F5">
        <w:t>ils n</w:t>
      </w:r>
      <w:r w:rsidRPr="003210F5" w:rsidR="003210F5">
        <w:t>’</w:t>
      </w:r>
      <w:r w:rsidRPr="003210F5">
        <w:t xml:space="preserve">ont reçu aucune réponse de ce dernier </w:t>
      </w:r>
      <w:r w:rsidRPr="003210F5">
        <w:rPr>
          <w:rFonts w:eastAsiaTheme="minorEastAsia"/>
          <w:szCs w:val="22"/>
        </w:rPr>
        <w:t xml:space="preserve">(paragraphe </w:t>
      </w:r>
      <w:r w:rsidRPr="003210F5">
        <w:rPr>
          <w:rFonts w:eastAsiaTheme="minorEastAsia"/>
          <w:szCs w:val="22"/>
        </w:rPr>
        <w:fldChar w:fldCharType="begin"/>
      </w:r>
      <w:r w:rsidRPr="003210F5">
        <w:rPr>
          <w:rFonts w:eastAsiaTheme="minorEastAsia"/>
          <w:szCs w:val="22"/>
        </w:rPr>
        <w:instrText xml:space="preserve"> REF five \h  \* MERGEFORMAT </w:instrText>
      </w:r>
      <w:r w:rsidRPr="003210F5">
        <w:rPr>
          <w:rFonts w:eastAsiaTheme="minorEastAsia"/>
          <w:szCs w:val="22"/>
        </w:rPr>
      </w:r>
      <w:r w:rsidRPr="003210F5">
        <w:rPr>
          <w:rFonts w:eastAsiaTheme="minorEastAsia"/>
          <w:szCs w:val="22"/>
        </w:rPr>
        <w:fldChar w:fldCharType="separate"/>
      </w:r>
      <w:r w:rsidRPr="003210F5" w:rsidR="003210F5">
        <w:t>5</w:t>
      </w:r>
      <w:r w:rsidRPr="003210F5">
        <w:rPr>
          <w:rFonts w:eastAsiaTheme="minorEastAsia"/>
          <w:szCs w:val="22"/>
        </w:rPr>
        <w:fldChar w:fldCharType="end"/>
      </w:r>
      <w:r w:rsidRPr="003210F5">
        <w:rPr>
          <w:rFonts w:eastAsiaTheme="minorEastAsia"/>
          <w:szCs w:val="22"/>
        </w:rPr>
        <w:t xml:space="preserve"> ci-dessus).</w:t>
      </w:r>
    </w:p>
    <w:p w:rsidRPr="003210F5" w:rsidR="003A74F0" w:rsidP="003210F5" w:rsidRDefault="003A74F0" w14:paraId="1541DA50" w14:textId="447BF93E">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85</w:t>
      </w:r>
      <w:r w:rsidRPr="003210F5">
        <w:rPr>
          <w:rFonts w:eastAsiaTheme="minorEastAsia"/>
        </w:rPr>
        <w:fldChar w:fldCharType="end"/>
      </w:r>
      <w:r w:rsidRPr="003210F5">
        <w:rPr>
          <w:rFonts w:eastAsiaTheme="minorEastAsia"/>
        </w:rPr>
        <w:t>.  Les requérants se référent en outre à la lettre du 21</w:t>
      </w:r>
      <w:r w:rsidRPr="003210F5" w:rsidR="000A38BF">
        <w:rPr>
          <w:rFonts w:eastAsiaTheme="minorEastAsia"/>
        </w:rPr>
        <w:t> </w:t>
      </w:r>
      <w:r w:rsidRPr="003210F5">
        <w:rPr>
          <w:rFonts w:eastAsiaTheme="minorEastAsia"/>
        </w:rPr>
        <w:t>novembre 2014 adressée au secrétaire général du ministre de la Justice par le médiateur de la République, jointe au rapport du 17 octobre 2014 relatant la visite de ce dernier dans la prison de Kassandra. Ils</w:t>
      </w:r>
      <w:r w:rsidRPr="003210F5">
        <w:t xml:space="preserve"> </w:t>
      </w:r>
      <w:r w:rsidRPr="003210F5">
        <w:rPr>
          <w:rFonts w:eastAsiaTheme="minorEastAsia"/>
        </w:rPr>
        <w:t>renvoient notamment aux points suivants soulignés par le médiateur : la nécessité urgente d</w:t>
      </w:r>
      <w:r w:rsidRPr="003210F5" w:rsidR="003210F5">
        <w:rPr>
          <w:rFonts w:eastAsiaTheme="minorEastAsia"/>
        </w:rPr>
        <w:t>’</w:t>
      </w:r>
      <w:r w:rsidRPr="003210F5">
        <w:rPr>
          <w:rFonts w:eastAsiaTheme="minorEastAsia"/>
        </w:rPr>
        <w:t xml:space="preserve">une conception </w:t>
      </w:r>
      <w:r w:rsidRPr="003210F5">
        <w:t xml:space="preserve">centralisée et </w:t>
      </w:r>
      <w:r w:rsidRPr="003210F5">
        <w:rPr>
          <w:rFonts w:eastAsiaTheme="minorEastAsia"/>
        </w:rPr>
        <w:t xml:space="preserve">stratégique du fonctionnement des prisons agricoles, de la rénovation des lieux sanitaires et du changement des </w:t>
      </w:r>
      <w:r w:rsidRPr="003210F5">
        <w:t xml:space="preserve">couvertures et </w:t>
      </w:r>
      <w:r w:rsidRPr="003210F5">
        <w:rPr>
          <w:rFonts w:eastAsiaTheme="minorEastAsia"/>
        </w:rPr>
        <w:t>de l</w:t>
      </w:r>
      <w:r w:rsidRPr="003210F5" w:rsidR="003210F5">
        <w:rPr>
          <w:rFonts w:eastAsiaTheme="minorEastAsia"/>
        </w:rPr>
        <w:t>’</w:t>
      </w:r>
      <w:r w:rsidRPr="003210F5">
        <w:rPr>
          <w:rFonts w:eastAsiaTheme="minorEastAsia"/>
        </w:rPr>
        <w:t xml:space="preserve">affectation de personnel médical, de personnel pénitentiaire spécialisé et de psychologues (paragraphe </w:t>
      </w:r>
      <w:r w:rsidRPr="003210F5">
        <w:rPr>
          <w:rFonts w:eastAsiaTheme="minorEastAsia"/>
        </w:rPr>
        <w:fldChar w:fldCharType="begin"/>
      </w:r>
      <w:r w:rsidRPr="003210F5">
        <w:rPr>
          <w:rFonts w:eastAsiaTheme="minorEastAsia"/>
        </w:rPr>
        <w:instrText xml:space="preserve"> REF fiftythree \h  \* MERGEFORMAT </w:instrText>
      </w:r>
      <w:r w:rsidRPr="003210F5">
        <w:rPr>
          <w:rFonts w:eastAsiaTheme="minorEastAsia"/>
        </w:rPr>
      </w:r>
      <w:r w:rsidRPr="003210F5">
        <w:rPr>
          <w:rFonts w:eastAsiaTheme="minorEastAsia"/>
        </w:rPr>
        <w:fldChar w:fldCharType="separate"/>
      </w:r>
      <w:r w:rsidRPr="003210F5" w:rsidR="003210F5">
        <w:t>52</w:t>
      </w:r>
      <w:r w:rsidRPr="003210F5">
        <w:rPr>
          <w:rFonts w:eastAsiaTheme="minorEastAsia"/>
        </w:rPr>
        <w:fldChar w:fldCharType="end"/>
      </w:r>
      <w:r w:rsidRPr="003210F5">
        <w:rPr>
          <w:rFonts w:eastAsiaTheme="minorEastAsia"/>
        </w:rPr>
        <w:t xml:space="preserve"> ci-dessus).</w:t>
      </w:r>
    </w:p>
    <w:p w:rsidRPr="003210F5" w:rsidR="003A74F0" w:rsidP="003210F5" w:rsidRDefault="003A74F0" w14:paraId="1A60D9ED" w14:textId="60E60270">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86</w:t>
      </w:r>
      <w:r w:rsidRPr="003210F5">
        <w:rPr>
          <w:rFonts w:eastAsiaTheme="minorEastAsia"/>
        </w:rPr>
        <w:fldChar w:fldCharType="end"/>
      </w:r>
      <w:r w:rsidRPr="003210F5">
        <w:rPr>
          <w:rFonts w:eastAsiaTheme="minorEastAsia"/>
        </w:rPr>
        <w:t xml:space="preserve">.  Renvoyant au rapport du médiateur du 17 octobre 2014 relatant sa visite dans la prison de Kassandra, les requérants font leurs ses constats concernant notamment les mauvaises infrastructures, les couvertures et matelas, le chauffage, </w:t>
      </w:r>
      <w:r w:rsidRPr="003210F5">
        <w:t>l</w:t>
      </w:r>
      <w:r w:rsidRPr="003210F5" w:rsidR="003210F5">
        <w:t>’</w:t>
      </w:r>
      <w:r w:rsidRPr="003210F5">
        <w:t>insuffisance de soins médicaux et l</w:t>
      </w:r>
      <w:r w:rsidRPr="003210F5" w:rsidR="003210F5">
        <w:t>’</w:t>
      </w:r>
      <w:r w:rsidRPr="003210F5">
        <w:t>absence de programmes d</w:t>
      </w:r>
      <w:r w:rsidRPr="003210F5" w:rsidR="003210F5">
        <w:t>’</w:t>
      </w:r>
      <w:r w:rsidRPr="003210F5">
        <w:t xml:space="preserve">éducation professionnelle </w:t>
      </w:r>
      <w:r w:rsidRPr="003210F5">
        <w:rPr>
          <w:rFonts w:eastAsiaTheme="minorEastAsia"/>
        </w:rPr>
        <w:t xml:space="preserve">(paragraphes </w:t>
      </w:r>
      <w:bookmarkStart w:name="_Hlk62818127" w:id="46"/>
      <w:r w:rsidRPr="003210F5">
        <w:rPr>
          <w:rFonts w:eastAsiaTheme="minorEastAsia"/>
        </w:rPr>
        <w:fldChar w:fldCharType="begin"/>
      </w:r>
      <w:r w:rsidRPr="003210F5">
        <w:rPr>
          <w:rFonts w:eastAsiaTheme="minorEastAsia"/>
        </w:rPr>
        <w:instrText xml:space="preserve"> REF thirtyseven \h  \* MERGEFORMAT </w:instrText>
      </w:r>
      <w:r w:rsidRPr="003210F5">
        <w:rPr>
          <w:rFonts w:eastAsiaTheme="minorEastAsia"/>
        </w:rPr>
      </w:r>
      <w:r w:rsidRPr="003210F5">
        <w:rPr>
          <w:rFonts w:eastAsiaTheme="minorEastAsia"/>
        </w:rPr>
        <w:fldChar w:fldCharType="separate"/>
      </w:r>
      <w:r w:rsidRPr="003210F5" w:rsidR="003210F5">
        <w:t>36</w:t>
      </w:r>
      <w:r w:rsidRPr="003210F5">
        <w:rPr>
          <w:rFonts w:eastAsiaTheme="minorEastAsia"/>
        </w:rPr>
        <w:fldChar w:fldCharType="end"/>
      </w:r>
      <w:r w:rsidRPr="003210F5">
        <w:rPr>
          <w:rFonts w:eastAsiaTheme="minorEastAsia"/>
        </w:rPr>
        <w:t>-</w:t>
      </w:r>
      <w:r w:rsidRPr="003210F5">
        <w:rPr>
          <w:rFonts w:eastAsiaTheme="minorEastAsia"/>
        </w:rPr>
        <w:fldChar w:fldCharType="begin"/>
      </w:r>
      <w:r w:rsidRPr="003210F5">
        <w:rPr>
          <w:rFonts w:eastAsiaTheme="minorEastAsia"/>
        </w:rPr>
        <w:instrText xml:space="preserve"> REF fiftythree \h  \* MERGEFORMAT </w:instrText>
      </w:r>
      <w:r w:rsidRPr="003210F5">
        <w:rPr>
          <w:rFonts w:eastAsiaTheme="minorEastAsia"/>
        </w:rPr>
      </w:r>
      <w:r w:rsidRPr="003210F5">
        <w:rPr>
          <w:rFonts w:eastAsiaTheme="minorEastAsia"/>
        </w:rPr>
        <w:fldChar w:fldCharType="separate"/>
      </w:r>
      <w:r w:rsidRPr="003210F5" w:rsidR="003210F5">
        <w:t>52</w:t>
      </w:r>
      <w:r w:rsidRPr="003210F5">
        <w:rPr>
          <w:rFonts w:eastAsiaTheme="minorEastAsia"/>
        </w:rPr>
        <w:fldChar w:fldCharType="end"/>
      </w:r>
      <w:bookmarkEnd w:id="46"/>
      <w:r w:rsidRPr="003210F5">
        <w:rPr>
          <w:rFonts w:eastAsiaTheme="minorEastAsia"/>
        </w:rPr>
        <w:t xml:space="preserve"> ci-dessus).</w:t>
      </w:r>
    </w:p>
    <w:p w:rsidRPr="003210F5" w:rsidR="003A74F0" w:rsidP="003210F5" w:rsidRDefault="003A74F0" w14:paraId="109508AE" w14:textId="402FE1E8">
      <w:pPr>
        <w:pStyle w:val="JuPara"/>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87</w:t>
      </w:r>
      <w:r w:rsidRPr="003210F5">
        <w:rPr>
          <w:rFonts w:eastAsiaTheme="minorEastAsia"/>
          <w:szCs w:val="22"/>
        </w:rPr>
        <w:fldChar w:fldCharType="end"/>
      </w:r>
      <w:r w:rsidRPr="003210F5">
        <w:rPr>
          <w:rFonts w:eastAsiaTheme="minorEastAsia"/>
          <w:szCs w:val="22"/>
        </w:rPr>
        <w:t xml:space="preserve">.  Cependant, ils contestent </w:t>
      </w:r>
      <w:r w:rsidRPr="003210F5">
        <w:rPr>
          <w:rFonts w:ascii="Times New Roman" w:hAnsi="Times New Roman" w:eastAsia="Times New Roman"/>
        </w:rPr>
        <w:t>le nombre des détenus par chambrée en soutenant qu</w:t>
      </w:r>
      <w:r w:rsidRPr="003210F5" w:rsidR="003210F5">
        <w:rPr>
          <w:rFonts w:ascii="Times New Roman" w:hAnsi="Times New Roman" w:eastAsia="Times New Roman"/>
        </w:rPr>
        <w:t>’</w:t>
      </w:r>
      <w:r w:rsidRPr="003210F5">
        <w:rPr>
          <w:rFonts w:ascii="Times New Roman" w:hAnsi="Times New Roman" w:eastAsia="Times New Roman"/>
        </w:rPr>
        <w:t xml:space="preserve">environ 17 personnes partageaient chaque chambrée et que </w:t>
      </w:r>
      <w:r w:rsidRPr="003210F5">
        <w:t>chaque détenu disposait de moins de 3 m</w:t>
      </w:r>
      <w:r w:rsidRPr="003210F5">
        <w:rPr>
          <w:sz w:val="22"/>
          <w:vertAlign w:val="superscript"/>
        </w:rPr>
        <w:t>2</w:t>
      </w:r>
      <w:r w:rsidRPr="003210F5">
        <w:t xml:space="preserve"> d</w:t>
      </w:r>
      <w:r w:rsidRPr="003210F5" w:rsidR="003210F5">
        <w:t>’</w:t>
      </w:r>
      <w:r w:rsidRPr="003210F5">
        <w:t xml:space="preserve">espace personnel </w:t>
      </w:r>
      <w:r w:rsidRPr="003210F5">
        <w:rPr>
          <w:rFonts w:eastAsiaTheme="minorEastAsia"/>
          <w:szCs w:val="22"/>
        </w:rPr>
        <w:t>(paragraphe </w:t>
      </w:r>
      <w:r w:rsidRPr="003210F5">
        <w:rPr>
          <w:rFonts w:eastAsiaTheme="minorEastAsia"/>
          <w:szCs w:val="22"/>
        </w:rPr>
        <w:fldChar w:fldCharType="begin"/>
      </w:r>
      <w:r w:rsidRPr="003210F5">
        <w:rPr>
          <w:rFonts w:eastAsiaTheme="minorEastAsia"/>
          <w:szCs w:val="22"/>
        </w:rPr>
        <w:instrText xml:space="preserve"> REF six \h  \* MERGEFORMAT </w:instrText>
      </w:r>
      <w:r w:rsidRPr="003210F5">
        <w:rPr>
          <w:rFonts w:eastAsiaTheme="minorEastAsia"/>
          <w:szCs w:val="22"/>
        </w:rPr>
      </w:r>
      <w:r w:rsidRPr="003210F5">
        <w:rPr>
          <w:rFonts w:eastAsiaTheme="minorEastAsia"/>
          <w:szCs w:val="22"/>
        </w:rPr>
        <w:fldChar w:fldCharType="separate"/>
      </w:r>
      <w:r w:rsidRPr="003210F5" w:rsidR="003210F5">
        <w:t>6</w:t>
      </w:r>
      <w:r w:rsidRPr="003210F5">
        <w:rPr>
          <w:rFonts w:eastAsiaTheme="minorEastAsia"/>
          <w:szCs w:val="22"/>
        </w:rPr>
        <w:fldChar w:fldCharType="end"/>
      </w:r>
      <w:r w:rsidRPr="003210F5">
        <w:rPr>
          <w:rFonts w:eastAsiaTheme="minorEastAsia"/>
          <w:szCs w:val="22"/>
        </w:rPr>
        <w:t xml:space="preserve"> ci-dessus)</w:t>
      </w:r>
      <w:r w:rsidRPr="003210F5">
        <w:t>.</w:t>
      </w:r>
    </w:p>
    <w:p w:rsidRPr="003210F5" w:rsidR="003A74F0" w:rsidP="003210F5" w:rsidRDefault="003A74F0" w14:paraId="407ABBCD" w14:textId="0E18057D">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88</w:t>
      </w:r>
      <w:r w:rsidRPr="003210F5">
        <w:rPr>
          <w:rFonts w:eastAsiaTheme="minorEastAsia"/>
        </w:rPr>
        <w:fldChar w:fldCharType="end"/>
      </w:r>
      <w:r w:rsidRPr="003210F5">
        <w:rPr>
          <w:rFonts w:eastAsiaTheme="minorEastAsia"/>
        </w:rPr>
        <w:t>.  Concernant l</w:t>
      </w:r>
      <w:r w:rsidRPr="003210F5" w:rsidR="003210F5">
        <w:rPr>
          <w:rFonts w:eastAsiaTheme="minorEastAsia"/>
        </w:rPr>
        <w:t>’</w:t>
      </w:r>
      <w:r w:rsidRPr="003210F5">
        <w:rPr>
          <w:rFonts w:eastAsiaTheme="minorEastAsia"/>
        </w:rPr>
        <w:t>alimentation, ils contestent l</w:t>
      </w:r>
      <w:r w:rsidRPr="003210F5" w:rsidR="003210F5">
        <w:rPr>
          <w:rFonts w:eastAsiaTheme="minorEastAsia"/>
        </w:rPr>
        <w:t>’</w:t>
      </w:r>
      <w:r w:rsidRPr="003210F5">
        <w:rPr>
          <w:rFonts w:eastAsiaTheme="minorEastAsia"/>
        </w:rPr>
        <w:t>observation du médiateur selon laquelle l</w:t>
      </w:r>
      <w:r w:rsidRPr="003210F5">
        <w:t xml:space="preserve">a quantité et la qualité de la nourriture ne posaient aucun problème aux détenus </w:t>
      </w:r>
      <w:r w:rsidRPr="003210F5">
        <w:rPr>
          <w:rFonts w:eastAsiaTheme="minorEastAsia"/>
        </w:rPr>
        <w:t xml:space="preserve">(paragraphe </w:t>
      </w:r>
      <w:r w:rsidRPr="003210F5">
        <w:rPr>
          <w:rFonts w:eastAsiaTheme="minorEastAsia"/>
        </w:rPr>
        <w:fldChar w:fldCharType="begin"/>
      </w:r>
      <w:r w:rsidRPr="003210F5">
        <w:rPr>
          <w:rFonts w:eastAsiaTheme="minorEastAsia"/>
        </w:rPr>
        <w:instrText xml:space="preserve"> REF fourtyeight \h  \* MERGEFORMAT </w:instrText>
      </w:r>
      <w:r w:rsidRPr="003210F5">
        <w:rPr>
          <w:rFonts w:eastAsiaTheme="minorEastAsia"/>
        </w:rPr>
      </w:r>
      <w:r w:rsidRPr="003210F5">
        <w:rPr>
          <w:rFonts w:eastAsiaTheme="minorEastAsia"/>
        </w:rPr>
        <w:fldChar w:fldCharType="separate"/>
      </w:r>
      <w:r w:rsidRPr="003210F5" w:rsidR="003210F5">
        <w:t>47</w:t>
      </w:r>
      <w:r w:rsidRPr="003210F5">
        <w:rPr>
          <w:rFonts w:eastAsiaTheme="minorEastAsia"/>
        </w:rPr>
        <w:fldChar w:fldCharType="end"/>
      </w:r>
      <w:r w:rsidRPr="003210F5">
        <w:rPr>
          <w:rFonts w:eastAsiaTheme="minorEastAsia"/>
        </w:rPr>
        <w:t xml:space="preserve"> ci-dessus)</w:t>
      </w:r>
      <w:r w:rsidRPr="003210F5">
        <w:t>,</w:t>
      </w:r>
      <w:r w:rsidRPr="003210F5">
        <w:rPr>
          <w:rFonts w:eastAsiaTheme="minorEastAsia"/>
        </w:rPr>
        <w:t xml:space="preserve"> soutenant que l</w:t>
      </w:r>
      <w:r w:rsidRPr="003210F5" w:rsidR="003210F5">
        <w:rPr>
          <w:rFonts w:eastAsiaTheme="minorEastAsia"/>
        </w:rPr>
        <w:t>’</w:t>
      </w:r>
      <w:r w:rsidRPr="003210F5">
        <w:rPr>
          <w:rFonts w:eastAsiaTheme="minorEastAsia"/>
        </w:rPr>
        <w:t>alimentation était un point problématique pour les requérants et que ceux-ci avaient donné leurs réponses en la présence du directeur de la prison, ce qui avait eu selon eux une incidence sur le retour d</w:t>
      </w:r>
      <w:r w:rsidRPr="003210F5" w:rsidR="003210F5">
        <w:rPr>
          <w:rFonts w:eastAsiaTheme="minorEastAsia"/>
        </w:rPr>
        <w:t>’</w:t>
      </w:r>
      <w:r w:rsidRPr="003210F5">
        <w:rPr>
          <w:rFonts w:eastAsiaTheme="minorEastAsia"/>
        </w:rPr>
        <w:t>informations au médiateur.</w:t>
      </w:r>
    </w:p>
    <w:p w:rsidRPr="003210F5" w:rsidR="003A74F0" w:rsidP="003210F5" w:rsidRDefault="003A74F0" w14:paraId="3F8370FA" w14:textId="3E77BABD">
      <w:pPr>
        <w:pStyle w:val="JuPara"/>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89</w:t>
      </w:r>
      <w:r w:rsidRPr="003210F5">
        <w:rPr>
          <w:rFonts w:eastAsiaTheme="minorEastAsia"/>
        </w:rPr>
        <w:fldChar w:fldCharType="end"/>
      </w:r>
      <w:r w:rsidRPr="003210F5">
        <w:rPr>
          <w:rFonts w:eastAsiaTheme="minorEastAsia"/>
        </w:rPr>
        <w:t>.  Concernant leurs griefs tirés d</w:t>
      </w:r>
      <w:r w:rsidRPr="003210F5" w:rsidR="003210F5">
        <w:rPr>
          <w:rFonts w:eastAsiaTheme="minorEastAsia"/>
        </w:rPr>
        <w:t>’</w:t>
      </w:r>
      <w:r w:rsidRPr="003210F5">
        <w:rPr>
          <w:rFonts w:eastAsiaTheme="minorEastAsia"/>
        </w:rPr>
        <w:t xml:space="preserve">une absence de </w:t>
      </w:r>
      <w:r w:rsidRPr="003210F5">
        <w:t>processus thérapeutique de désintoxication des détenus toxicomanes, l</w:t>
      </w:r>
      <w:r w:rsidRPr="003210F5">
        <w:rPr>
          <w:rFonts w:eastAsiaTheme="minorEastAsia"/>
        </w:rPr>
        <w:t>es requérants reprennent les observations du médiateur (</w:t>
      </w:r>
      <w:bookmarkStart w:name="_Hlk62733899" w:id="47"/>
      <w:r w:rsidRPr="003210F5">
        <w:rPr>
          <w:rFonts w:eastAsiaTheme="minorEastAsia"/>
        </w:rPr>
        <w:t xml:space="preserve">paragraphe </w:t>
      </w:r>
      <w:r w:rsidRPr="003210F5">
        <w:rPr>
          <w:rFonts w:eastAsiaTheme="minorEastAsia"/>
        </w:rPr>
        <w:fldChar w:fldCharType="begin"/>
      </w:r>
      <w:r w:rsidRPr="003210F5">
        <w:rPr>
          <w:rFonts w:eastAsiaTheme="minorEastAsia"/>
        </w:rPr>
        <w:instrText xml:space="preserve"> REF fourtynine \h  \* MERGEFORMAT </w:instrText>
      </w:r>
      <w:r w:rsidRPr="003210F5">
        <w:rPr>
          <w:rFonts w:eastAsiaTheme="minorEastAsia"/>
        </w:rPr>
      </w:r>
      <w:r w:rsidRPr="003210F5">
        <w:rPr>
          <w:rFonts w:eastAsiaTheme="minorEastAsia"/>
        </w:rPr>
        <w:fldChar w:fldCharType="separate"/>
      </w:r>
      <w:r w:rsidRPr="003210F5" w:rsidR="003210F5">
        <w:t>48</w:t>
      </w:r>
      <w:r w:rsidRPr="003210F5">
        <w:rPr>
          <w:rFonts w:eastAsiaTheme="minorEastAsia"/>
        </w:rPr>
        <w:fldChar w:fldCharType="end"/>
      </w:r>
      <w:r w:rsidRPr="003210F5">
        <w:rPr>
          <w:rFonts w:eastAsiaTheme="minorEastAsia"/>
        </w:rPr>
        <w:t xml:space="preserve"> ci-dessus</w:t>
      </w:r>
      <w:bookmarkEnd w:id="47"/>
      <w:r w:rsidRPr="003210F5">
        <w:rPr>
          <w:rFonts w:eastAsiaTheme="minorEastAsia"/>
        </w:rPr>
        <w:t>)</w:t>
      </w:r>
      <w:r w:rsidRPr="003210F5">
        <w:t xml:space="preserve">, </w:t>
      </w:r>
      <w:r w:rsidRPr="003210F5">
        <w:rPr>
          <w:rFonts w:eastAsiaTheme="minorEastAsia"/>
        </w:rPr>
        <w:t xml:space="preserve">et citent </w:t>
      </w:r>
      <w:r w:rsidRPr="003210F5">
        <w:t>une publication – qu</w:t>
      </w:r>
      <w:r w:rsidRPr="003210F5" w:rsidR="003210F5">
        <w:t>’</w:t>
      </w:r>
      <w:r w:rsidRPr="003210F5">
        <w:t>ils ne soumettent pas à la Cour – des agents pénitentiaires de la prison selon laquelle au moins la moitié des détenus étaient des toxicomanes.</w:t>
      </w:r>
    </w:p>
    <w:bookmarkStart w:name="eightythree" w:id="48"/>
    <w:p w:rsidRPr="003210F5" w:rsidR="003A74F0" w:rsidP="003210F5" w:rsidRDefault="003A74F0" w14:paraId="309207EE" w14:textId="2D56AB92">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 MERGEFORMAT </w:instrText>
      </w:r>
      <w:r w:rsidRPr="003210F5">
        <w:rPr>
          <w:rFonts w:eastAsiaTheme="minorEastAsia"/>
        </w:rPr>
        <w:fldChar w:fldCharType="separate"/>
      </w:r>
      <w:r w:rsidRPr="003210F5" w:rsidR="003210F5">
        <w:rPr>
          <w:rFonts w:eastAsiaTheme="minorEastAsia"/>
          <w:noProof/>
        </w:rPr>
        <w:t>90</w:t>
      </w:r>
      <w:r w:rsidRPr="003210F5">
        <w:rPr>
          <w:rFonts w:eastAsiaTheme="minorEastAsia"/>
        </w:rPr>
        <w:fldChar w:fldCharType="end"/>
      </w:r>
      <w:bookmarkEnd w:id="48"/>
      <w:r w:rsidRPr="003210F5">
        <w:rPr>
          <w:rFonts w:eastAsiaTheme="minorEastAsia"/>
        </w:rPr>
        <w:t>.  Enfin ils notent que les requérants avaient demandé à être transférés dans la prison de Kassandra non pas parce que les conditions de détention y auraient été bonnes mais afin de profiter du système de calcul des peines selon lequel la durée de détention comptait double.</w:t>
      </w:r>
    </w:p>
    <w:p w:rsidRPr="003210F5" w:rsidR="003A74F0" w:rsidP="003210F5" w:rsidRDefault="003A74F0" w14:paraId="6D46F885" w14:textId="4CC4BC9A">
      <w:pPr>
        <w:pStyle w:val="JuH1"/>
      </w:pPr>
      <w:r w:rsidRPr="003210F5">
        <w:t>L</w:t>
      </w:r>
      <w:r w:rsidRPr="003210F5" w:rsidR="003210F5">
        <w:t>’</w:t>
      </w:r>
      <w:r w:rsidRPr="003210F5">
        <w:t>appréciation de la Cour</w:t>
      </w:r>
    </w:p>
    <w:p w:rsidRPr="003210F5" w:rsidR="003A74F0" w:rsidP="003210F5" w:rsidRDefault="003A74F0" w14:paraId="56B8F5F5" w14:textId="77777777">
      <w:pPr>
        <w:pStyle w:val="JuHa0"/>
      </w:pPr>
      <w:bookmarkStart w:name="_Hlk62830430" w:id="49"/>
      <w:r w:rsidRPr="003210F5">
        <w:t xml:space="preserve">Les </w:t>
      </w:r>
      <w:r w:rsidRPr="003210F5">
        <w:rPr>
          <w:lang w:val="en-GB"/>
        </w:rPr>
        <w:t>principes</w:t>
      </w:r>
      <w:r w:rsidRPr="003210F5">
        <w:t xml:space="preserve"> généraux</w:t>
      </w:r>
    </w:p>
    <w:bookmarkStart w:name="ninetyfour" w:id="50"/>
    <w:bookmarkEnd w:id="49"/>
    <w:p w:rsidRPr="003210F5" w:rsidR="003A74F0" w:rsidP="003210F5" w:rsidRDefault="003A74F0" w14:paraId="10C0AAB9" w14:textId="6E88A894">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91</w:t>
      </w:r>
      <w:r w:rsidRPr="003210F5">
        <w:rPr>
          <w:rFonts w:eastAsiaTheme="minorEastAsia"/>
        </w:rPr>
        <w:fldChar w:fldCharType="end"/>
      </w:r>
      <w:bookmarkEnd w:id="50"/>
      <w:r w:rsidRPr="003210F5">
        <w:rPr>
          <w:rFonts w:eastAsiaTheme="minorEastAsia"/>
        </w:rPr>
        <w:t>.  En ce qui concerne les principes généraux d</w:t>
      </w:r>
      <w:r w:rsidRPr="003210F5" w:rsidR="003210F5">
        <w:rPr>
          <w:rFonts w:eastAsiaTheme="minorEastAsia"/>
        </w:rPr>
        <w:t>’</w:t>
      </w:r>
      <w:r w:rsidRPr="003210F5">
        <w:rPr>
          <w:rFonts w:eastAsiaTheme="minorEastAsia"/>
        </w:rPr>
        <w:t>application de l</w:t>
      </w:r>
      <w:r w:rsidRPr="003210F5" w:rsidR="003210F5">
        <w:rPr>
          <w:rFonts w:eastAsiaTheme="minorEastAsia"/>
        </w:rPr>
        <w:t>’</w:t>
      </w:r>
      <w:r w:rsidRPr="003210F5">
        <w:rPr>
          <w:rFonts w:eastAsiaTheme="minorEastAsia"/>
        </w:rPr>
        <w:t>article 3 de la Convention dans des affaires soulevant des questions similaires à celles posées par la présente cause, la Cour renvoie à sa jurisprudence pertinente en la matière (</w:t>
      </w:r>
      <w:r w:rsidRPr="003210F5">
        <w:rPr>
          <w:rFonts w:eastAsiaTheme="minorEastAsia"/>
          <w:i/>
        </w:rPr>
        <w:t>Muršić c. Croatie</w:t>
      </w:r>
      <w:r w:rsidRPr="003210F5">
        <w:rPr>
          <w:rFonts w:eastAsiaTheme="minorEastAsia"/>
        </w:rPr>
        <w:t xml:space="preserve"> [GC], n</w:t>
      </w:r>
      <w:r w:rsidRPr="003210F5">
        <w:rPr>
          <w:rFonts w:eastAsiaTheme="minorEastAsia"/>
          <w:vertAlign w:val="superscript"/>
        </w:rPr>
        <w:t>o</w:t>
      </w:r>
      <w:r w:rsidRPr="003210F5">
        <w:rPr>
          <w:rFonts w:eastAsiaTheme="minorEastAsia"/>
        </w:rPr>
        <w:t> 7334/13, §§ 96</w:t>
      </w:r>
      <w:r w:rsidRPr="003210F5">
        <w:rPr>
          <w:rFonts w:eastAsiaTheme="minorEastAsia"/>
        </w:rPr>
        <w:noBreakHyphen/>
        <w:t>141, 20 octobre 2016).</w:t>
      </w:r>
    </w:p>
    <w:p w:rsidRPr="003210F5" w:rsidR="003A74F0" w:rsidP="003210F5" w:rsidRDefault="003A74F0" w14:paraId="4A623234" w14:textId="51D8A2FF">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92</w:t>
      </w:r>
      <w:r w:rsidRPr="003210F5">
        <w:rPr>
          <w:rFonts w:eastAsiaTheme="minorEastAsia"/>
        </w:rPr>
        <w:fldChar w:fldCharType="end"/>
      </w:r>
      <w:r w:rsidRPr="003210F5">
        <w:rPr>
          <w:rFonts w:eastAsiaTheme="minorEastAsia"/>
        </w:rPr>
        <w:t>.  La Cour rappelle que l</w:t>
      </w:r>
      <w:r w:rsidRPr="003210F5" w:rsidR="003210F5">
        <w:rPr>
          <w:rFonts w:eastAsiaTheme="minorEastAsia"/>
        </w:rPr>
        <w:t>’</w:t>
      </w:r>
      <w:r w:rsidRPr="003210F5">
        <w:rPr>
          <w:rFonts w:eastAsiaTheme="minorEastAsia"/>
        </w:rPr>
        <w:t>article 3 de la Convention fait peser sur les autorités une obligation positive qui consiste à s</w:t>
      </w:r>
      <w:r w:rsidRPr="003210F5" w:rsidR="003210F5">
        <w:rPr>
          <w:rFonts w:eastAsiaTheme="minorEastAsia"/>
        </w:rPr>
        <w:t>’</w:t>
      </w:r>
      <w:r w:rsidRPr="003210F5">
        <w:rPr>
          <w:rFonts w:eastAsiaTheme="minorEastAsia"/>
        </w:rPr>
        <w:t>assurer que tout prisonnier est détenu dans des conditions qui sont compatibles avec le respect de la dignité humaine et que les modalités d</w:t>
      </w:r>
      <w:r w:rsidRPr="003210F5" w:rsidR="003210F5">
        <w:rPr>
          <w:rFonts w:eastAsiaTheme="minorEastAsia"/>
        </w:rPr>
        <w:t>’</w:t>
      </w:r>
      <w:r w:rsidRPr="003210F5">
        <w:rPr>
          <w:rFonts w:eastAsiaTheme="minorEastAsia"/>
        </w:rPr>
        <w:t>exécution de la mesure en cause ne soumettent pas l</w:t>
      </w:r>
      <w:r w:rsidRPr="003210F5" w:rsidR="003210F5">
        <w:rPr>
          <w:rFonts w:eastAsiaTheme="minorEastAsia"/>
        </w:rPr>
        <w:t>’</w:t>
      </w:r>
      <w:r w:rsidRPr="003210F5">
        <w:rPr>
          <w:rFonts w:eastAsiaTheme="minorEastAsia"/>
        </w:rPr>
        <w:t>intéressé à une détresse ou à une épreuve d</w:t>
      </w:r>
      <w:r w:rsidRPr="003210F5" w:rsidR="003210F5">
        <w:rPr>
          <w:rFonts w:eastAsiaTheme="minorEastAsia"/>
        </w:rPr>
        <w:t>’</w:t>
      </w:r>
      <w:r w:rsidRPr="003210F5">
        <w:rPr>
          <w:rFonts w:eastAsiaTheme="minorEastAsia"/>
        </w:rPr>
        <w:t>une intensité qui excède le niveau inévitable de souffrance inhérent à la détention (</w:t>
      </w:r>
      <w:r w:rsidRPr="003210F5">
        <w:rPr>
          <w:rFonts w:eastAsiaTheme="minorEastAsia"/>
          <w:i/>
        </w:rPr>
        <w:t>Kudła c. Pologne</w:t>
      </w:r>
      <w:r w:rsidRPr="003210F5">
        <w:rPr>
          <w:rFonts w:eastAsiaTheme="minorEastAsia"/>
        </w:rPr>
        <w:t xml:space="preserve"> [GC], n</w:t>
      </w:r>
      <w:r w:rsidRPr="003210F5">
        <w:rPr>
          <w:rFonts w:eastAsiaTheme="minorEastAsia"/>
          <w:vertAlign w:val="superscript"/>
        </w:rPr>
        <w:t>o</w:t>
      </w:r>
      <w:r w:rsidRPr="003210F5">
        <w:rPr>
          <w:rFonts w:eastAsiaTheme="minorEastAsia"/>
        </w:rPr>
        <w:t xml:space="preserve"> 30210/96, § 94, CEDH 2000-XI, et </w:t>
      </w:r>
      <w:r w:rsidRPr="003210F5">
        <w:rPr>
          <w:rFonts w:eastAsiaTheme="minorEastAsia"/>
          <w:i/>
        </w:rPr>
        <w:t>Ananyev et autres c. Russie</w:t>
      </w:r>
      <w:r w:rsidRPr="003210F5">
        <w:rPr>
          <w:rFonts w:eastAsiaTheme="minorEastAsia"/>
        </w:rPr>
        <w:t>, n</w:t>
      </w:r>
      <w:r w:rsidRPr="003210F5">
        <w:rPr>
          <w:rFonts w:eastAsiaTheme="minorEastAsia"/>
          <w:vertAlign w:val="superscript"/>
        </w:rPr>
        <w:t>os</w:t>
      </w:r>
      <w:r w:rsidRPr="003210F5">
        <w:rPr>
          <w:rFonts w:eastAsiaTheme="minorEastAsia"/>
        </w:rPr>
        <w:t xml:space="preserve"> 42525/07 et 60800/08, § 141, 10 janvier 2012).</w:t>
      </w:r>
    </w:p>
    <w:bookmarkStart w:name="ninetysix" w:id="51"/>
    <w:p w:rsidRPr="003210F5" w:rsidR="003A74F0" w:rsidP="003210F5" w:rsidRDefault="003A74F0" w14:paraId="342CDB2B" w14:textId="69C1573D">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93</w:t>
      </w:r>
      <w:r w:rsidRPr="003210F5">
        <w:rPr>
          <w:rFonts w:eastAsiaTheme="minorEastAsia"/>
        </w:rPr>
        <w:fldChar w:fldCharType="end"/>
      </w:r>
      <w:bookmarkEnd w:id="51"/>
      <w:r w:rsidRPr="003210F5">
        <w:rPr>
          <w:rFonts w:eastAsiaTheme="minorEastAsia"/>
        </w:rPr>
        <w:t>.  Dans l</w:t>
      </w:r>
      <w:r w:rsidRPr="003210F5" w:rsidR="003210F5">
        <w:rPr>
          <w:rFonts w:eastAsiaTheme="minorEastAsia"/>
        </w:rPr>
        <w:t>’</w:t>
      </w:r>
      <w:r w:rsidRPr="003210F5">
        <w:rPr>
          <w:rFonts w:eastAsiaTheme="minorEastAsia"/>
        </w:rPr>
        <w:t xml:space="preserve">arrêt </w:t>
      </w:r>
      <w:r w:rsidRPr="003210F5">
        <w:rPr>
          <w:rFonts w:eastAsiaTheme="minorEastAsia"/>
          <w:i/>
        </w:rPr>
        <w:t>Muršić c. Croatie</w:t>
      </w:r>
      <w:r w:rsidRPr="003210F5">
        <w:rPr>
          <w:rFonts w:eastAsiaTheme="minorEastAsia"/>
        </w:rPr>
        <w:t xml:space="preserve"> [GC], précité, §§ 96-141), la Cour a exposé les principes pertinents, notamment ceux relatifs à la surpopulation carcérale et aux facteurs susceptibles de compenser le manque d</w:t>
      </w:r>
      <w:r w:rsidRPr="003210F5" w:rsidR="003210F5">
        <w:rPr>
          <w:rFonts w:eastAsiaTheme="minorEastAsia"/>
        </w:rPr>
        <w:t>’</w:t>
      </w:r>
      <w:r w:rsidRPr="003210F5">
        <w:rPr>
          <w:rFonts w:eastAsiaTheme="minorEastAsia"/>
        </w:rPr>
        <w:t>espace personnel. Elle a dit notamment que, lorsque la surface au sol dont dispose une personne détenue en cellule collective est inférieure à 3 m², le manque d</w:t>
      </w:r>
      <w:r w:rsidRPr="003210F5" w:rsidR="003210F5">
        <w:rPr>
          <w:rFonts w:eastAsiaTheme="minorEastAsia"/>
        </w:rPr>
        <w:t>’</w:t>
      </w:r>
      <w:r w:rsidRPr="003210F5">
        <w:rPr>
          <w:rFonts w:eastAsiaTheme="minorEastAsia"/>
        </w:rPr>
        <w:t>espace personnel est considéré comme étant à ce point grave qu</w:t>
      </w:r>
      <w:r w:rsidRPr="003210F5" w:rsidR="003210F5">
        <w:rPr>
          <w:rFonts w:eastAsiaTheme="minorEastAsia"/>
        </w:rPr>
        <w:t>’</w:t>
      </w:r>
      <w:r w:rsidRPr="003210F5">
        <w:rPr>
          <w:rFonts w:eastAsiaTheme="minorEastAsia"/>
        </w:rPr>
        <w:t>il donne lieu à une forte présomption de violation de l</w:t>
      </w:r>
      <w:r w:rsidRPr="003210F5" w:rsidR="003210F5">
        <w:rPr>
          <w:rFonts w:eastAsiaTheme="minorEastAsia"/>
        </w:rPr>
        <w:t>’</w:t>
      </w:r>
      <w:r w:rsidRPr="003210F5">
        <w:rPr>
          <w:rFonts w:eastAsiaTheme="minorEastAsia"/>
        </w:rPr>
        <w:t>article 3 de la Convention. La charge de la preuve pèse alors sur le gouvernement défendeur, qui peut toutefois réfuter la présomption en démontrant la présence d</w:t>
      </w:r>
      <w:r w:rsidRPr="003210F5" w:rsidR="003210F5">
        <w:rPr>
          <w:rFonts w:eastAsiaTheme="minorEastAsia"/>
        </w:rPr>
        <w:t>’</w:t>
      </w:r>
      <w:r w:rsidRPr="003210F5">
        <w:rPr>
          <w:rFonts w:eastAsiaTheme="minorEastAsia"/>
        </w:rPr>
        <w:t>éléments propres à compenser cette circonstance de manière adéquate (</w:t>
      </w:r>
      <w:r w:rsidRPr="003210F5">
        <w:rPr>
          <w:rFonts w:eastAsiaTheme="minorEastAsia"/>
          <w:i/>
        </w:rPr>
        <w:t>ibidem</w:t>
      </w:r>
      <w:r w:rsidRPr="003210F5">
        <w:rPr>
          <w:rFonts w:eastAsiaTheme="minorEastAsia"/>
        </w:rPr>
        <w:t>, § 137). En revanche, lorsqu</w:t>
      </w:r>
      <w:r w:rsidRPr="003210F5" w:rsidR="003210F5">
        <w:rPr>
          <w:rFonts w:eastAsiaTheme="minorEastAsia"/>
        </w:rPr>
        <w:t>’</w:t>
      </w:r>
      <w:r w:rsidRPr="003210F5">
        <w:rPr>
          <w:rFonts w:eastAsiaTheme="minorEastAsia"/>
        </w:rPr>
        <w:t>un détenu dispose dans la cellule d</w:t>
      </w:r>
      <w:r w:rsidRPr="003210F5" w:rsidR="003210F5">
        <w:rPr>
          <w:rFonts w:eastAsiaTheme="minorEastAsia"/>
        </w:rPr>
        <w:t>’</w:t>
      </w:r>
      <w:r w:rsidRPr="003210F5">
        <w:rPr>
          <w:rFonts w:eastAsiaTheme="minorEastAsia"/>
        </w:rPr>
        <w:t>un espace personnel compris entre 3 et 4 m², le facteur spatial demeure un élément de poids dans l</w:t>
      </w:r>
      <w:r w:rsidRPr="003210F5" w:rsidR="003210F5">
        <w:rPr>
          <w:rFonts w:eastAsiaTheme="minorEastAsia"/>
        </w:rPr>
        <w:t>’</w:t>
      </w:r>
      <w:r w:rsidRPr="003210F5">
        <w:rPr>
          <w:rFonts w:eastAsiaTheme="minorEastAsia"/>
        </w:rPr>
        <w:t>appréciation que la Cour fait du caractère adéquat ou non des conditions de détention. En pareil cas, la Cour conclura à la violation de l</w:t>
      </w:r>
      <w:r w:rsidRPr="003210F5" w:rsidR="003210F5">
        <w:rPr>
          <w:rFonts w:eastAsiaTheme="minorEastAsia"/>
        </w:rPr>
        <w:t>’</w:t>
      </w:r>
      <w:r w:rsidRPr="003210F5">
        <w:rPr>
          <w:rFonts w:eastAsiaTheme="minorEastAsia"/>
        </w:rPr>
        <w:t>article 3 si le manque d</w:t>
      </w:r>
      <w:r w:rsidRPr="003210F5" w:rsidR="003210F5">
        <w:rPr>
          <w:rFonts w:eastAsiaTheme="minorEastAsia"/>
        </w:rPr>
        <w:t>’</w:t>
      </w:r>
      <w:r w:rsidRPr="003210F5">
        <w:rPr>
          <w:rFonts w:eastAsiaTheme="minorEastAsia"/>
        </w:rPr>
        <w:t>espace s</w:t>
      </w:r>
      <w:r w:rsidRPr="003210F5" w:rsidR="003210F5">
        <w:rPr>
          <w:rFonts w:eastAsiaTheme="minorEastAsia"/>
        </w:rPr>
        <w:t>’</w:t>
      </w:r>
      <w:r w:rsidRPr="003210F5">
        <w:rPr>
          <w:rFonts w:eastAsiaTheme="minorEastAsia"/>
        </w:rPr>
        <w:t>accompagne d</w:t>
      </w:r>
      <w:r w:rsidRPr="003210F5" w:rsidR="003210F5">
        <w:rPr>
          <w:rFonts w:eastAsiaTheme="minorEastAsia"/>
        </w:rPr>
        <w:t>’</w:t>
      </w:r>
      <w:r w:rsidRPr="003210F5">
        <w:rPr>
          <w:rFonts w:eastAsiaTheme="minorEastAsia"/>
        </w:rPr>
        <w:t>autres mauvaises conditions matérielles de détention, notamment d</w:t>
      </w:r>
      <w:r w:rsidRPr="003210F5" w:rsidR="003210F5">
        <w:rPr>
          <w:rFonts w:eastAsiaTheme="minorEastAsia"/>
        </w:rPr>
        <w:t>’</w:t>
      </w:r>
      <w:r w:rsidRPr="003210F5">
        <w:rPr>
          <w:rFonts w:eastAsiaTheme="minorEastAsia"/>
        </w:rPr>
        <w:t>un défaut d</w:t>
      </w:r>
      <w:r w:rsidRPr="003210F5" w:rsidR="003210F5">
        <w:rPr>
          <w:rFonts w:eastAsiaTheme="minorEastAsia"/>
        </w:rPr>
        <w:t>’</w:t>
      </w:r>
      <w:r w:rsidRPr="003210F5">
        <w:rPr>
          <w:rFonts w:eastAsiaTheme="minorEastAsia"/>
        </w:rPr>
        <w:t>accès à la cour de promenade ou à l</w:t>
      </w:r>
      <w:r w:rsidRPr="003210F5" w:rsidR="003210F5">
        <w:rPr>
          <w:rFonts w:eastAsiaTheme="minorEastAsia"/>
        </w:rPr>
        <w:t>’</w:t>
      </w:r>
      <w:r w:rsidRPr="003210F5">
        <w:rPr>
          <w:rFonts w:eastAsiaTheme="minorEastAsia"/>
        </w:rPr>
        <w:t>air et à la lumière naturelle, d</w:t>
      </w:r>
      <w:r w:rsidRPr="003210F5" w:rsidR="003210F5">
        <w:rPr>
          <w:rFonts w:eastAsiaTheme="minorEastAsia"/>
        </w:rPr>
        <w:t>’</w:t>
      </w:r>
      <w:r w:rsidRPr="003210F5">
        <w:rPr>
          <w:rFonts w:eastAsiaTheme="minorEastAsia"/>
        </w:rPr>
        <w:t>une mauvaise aération, d</w:t>
      </w:r>
      <w:r w:rsidRPr="003210F5" w:rsidR="003210F5">
        <w:rPr>
          <w:rFonts w:eastAsiaTheme="minorEastAsia"/>
        </w:rPr>
        <w:t>’</w:t>
      </w:r>
      <w:r w:rsidRPr="003210F5">
        <w:rPr>
          <w:rFonts w:eastAsiaTheme="minorEastAsia"/>
        </w:rPr>
        <w:t>une température insuffisante ou trop élevée dans les locaux, d</w:t>
      </w:r>
      <w:r w:rsidRPr="003210F5" w:rsidR="003210F5">
        <w:rPr>
          <w:rFonts w:eastAsiaTheme="minorEastAsia"/>
        </w:rPr>
        <w:t>’</w:t>
      </w:r>
      <w:r w:rsidRPr="003210F5">
        <w:rPr>
          <w:rFonts w:eastAsiaTheme="minorEastAsia"/>
        </w:rPr>
        <w:t>une absence d</w:t>
      </w:r>
      <w:r w:rsidRPr="003210F5" w:rsidR="003210F5">
        <w:rPr>
          <w:rFonts w:eastAsiaTheme="minorEastAsia"/>
        </w:rPr>
        <w:t>’</w:t>
      </w:r>
      <w:r w:rsidRPr="003210F5">
        <w:rPr>
          <w:rFonts w:eastAsiaTheme="minorEastAsia"/>
        </w:rPr>
        <w:t>intimité dans les toilettes ou de mauvaises conditions sanitaires et hygiéniques (</w:t>
      </w:r>
      <w:r w:rsidRPr="003210F5">
        <w:rPr>
          <w:rFonts w:eastAsiaTheme="minorEastAsia"/>
          <w:i/>
        </w:rPr>
        <w:t>ibidem</w:t>
      </w:r>
      <w:r w:rsidRPr="003210F5">
        <w:rPr>
          <w:rFonts w:eastAsiaTheme="minorEastAsia"/>
        </w:rPr>
        <w:t>, § 139).</w:t>
      </w:r>
    </w:p>
    <w:p w:rsidRPr="003210F5" w:rsidR="003A74F0" w:rsidP="003210F5" w:rsidRDefault="003A74F0" w14:paraId="37E0D823" w14:textId="77777777">
      <w:pPr>
        <w:pStyle w:val="JuHa0"/>
      </w:pPr>
      <w:r w:rsidRPr="003210F5">
        <w:t>Application des principes précités à la présente espèce</w:t>
      </w:r>
    </w:p>
    <w:p w:rsidRPr="003210F5" w:rsidR="003A74F0" w:rsidP="003210F5" w:rsidRDefault="003A74F0" w14:paraId="47D0968C" w14:textId="51583D94">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94</w:t>
      </w:r>
      <w:r w:rsidRPr="003210F5">
        <w:rPr>
          <w:rFonts w:eastAsiaTheme="minorEastAsia"/>
        </w:rPr>
        <w:fldChar w:fldCharType="end"/>
      </w:r>
      <w:r w:rsidRPr="003210F5">
        <w:rPr>
          <w:rFonts w:eastAsiaTheme="minorEastAsia"/>
        </w:rPr>
        <w:t>.  </w:t>
      </w:r>
      <w:r w:rsidRPr="003210F5">
        <w:t>En ce qui concerne la thèse de la surpopulation</w:t>
      </w:r>
      <w:r w:rsidRPr="003210F5">
        <w:rPr>
          <w:rFonts w:eastAsiaTheme="minorEastAsia"/>
        </w:rPr>
        <w:t>, notamment le nombre des détenus par chambrée, mais aussi les autres conditions dans la prison de Kassandra, les thèses des parties diffèrent. Pour former son opinion, la Cour se fondera sur les constats qu</w:t>
      </w:r>
      <w:r w:rsidRPr="003210F5" w:rsidR="003210F5">
        <w:rPr>
          <w:rFonts w:eastAsiaTheme="minorEastAsia"/>
        </w:rPr>
        <w:t>’</w:t>
      </w:r>
      <w:r w:rsidRPr="003210F5">
        <w:rPr>
          <w:rFonts w:eastAsiaTheme="minorEastAsia"/>
        </w:rPr>
        <w:t>elle juge établis car non contestés entre les parties et sur les éléments les plus objectifs. La Cour note que la requête a été introduite devant la Cour le 30 avril 2013 et le médiateur de la République a effectué sa visite le 22 janvier 2014. Or, le rapport ne se trouve pas loin dans le temps des faits allégués. Elle attache alors plus d</w:t>
      </w:r>
      <w:r w:rsidRPr="003210F5" w:rsidR="003210F5">
        <w:rPr>
          <w:rFonts w:eastAsiaTheme="minorEastAsia"/>
        </w:rPr>
        <w:t>’</w:t>
      </w:r>
      <w:r w:rsidRPr="003210F5">
        <w:rPr>
          <w:rFonts w:eastAsiaTheme="minorEastAsia"/>
        </w:rPr>
        <w:t>importance aux observations qui sont confirmées par les constats du médiateur.</w:t>
      </w:r>
    </w:p>
    <w:p w:rsidRPr="003210F5" w:rsidR="003A74F0" w:rsidP="003210F5" w:rsidRDefault="003A74F0" w14:paraId="282C5EEA" w14:textId="040CA05B">
      <w:pPr>
        <w:pStyle w:val="JuPara"/>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95</w:t>
      </w:r>
      <w:r w:rsidRPr="003210F5">
        <w:rPr>
          <w:rFonts w:cs="Times New Roman" w:eastAsiaTheme="minorEastAsia"/>
          <w:szCs w:val="22"/>
        </w:rPr>
        <w:fldChar w:fldCharType="end"/>
      </w:r>
      <w:r w:rsidRPr="003210F5">
        <w:rPr>
          <w:rFonts w:cs="Times New Roman" w:eastAsiaTheme="minorEastAsia"/>
          <w:szCs w:val="22"/>
        </w:rPr>
        <w:t>.  </w:t>
      </w:r>
      <w:r w:rsidRPr="003210F5">
        <w:t>En ce qui concerne le nombre de détenus, la Cour note que, selon les informations fournies par le médiateur de la République, au 22</w:t>
      </w:r>
      <w:r w:rsidRPr="003210F5" w:rsidR="00E012CB">
        <w:t> </w:t>
      </w:r>
      <w:r w:rsidRPr="003210F5">
        <w:t>janvier 2014, 115 personnes séjournaient dans les trois immeubles A, B et C, pour une capacité officielle de 240 détenus. En particulier, 32 détenus séjournaient dans l</w:t>
      </w:r>
      <w:r w:rsidRPr="003210F5" w:rsidR="003210F5">
        <w:t>’</w:t>
      </w:r>
      <w:r w:rsidRPr="003210F5">
        <w:t>immeuble A qui servait de prison fermée, d</w:t>
      </w:r>
      <w:r w:rsidRPr="003210F5" w:rsidR="003210F5">
        <w:t>’</w:t>
      </w:r>
      <w:r w:rsidRPr="003210F5">
        <w:t>une capacité de 80 personnes, et 83 détenus séjournaient dans les immeubles B et C qui étaient les locaux « ouverts », d</w:t>
      </w:r>
      <w:r w:rsidRPr="003210F5" w:rsidR="003210F5">
        <w:t>’</w:t>
      </w:r>
      <w:r w:rsidRPr="003210F5">
        <w:t>une capacité de 160 personnes (80 personnes par immeuble). Cette capacité est confirmée par la déclaration du directeur de la prison et par l</w:t>
      </w:r>
      <w:r w:rsidRPr="003210F5" w:rsidR="003210F5">
        <w:t>’</w:t>
      </w:r>
      <w:r w:rsidRPr="003210F5">
        <w:t>arrêté ministériel n</w:t>
      </w:r>
      <w:r w:rsidRPr="003210F5">
        <w:rPr>
          <w:vertAlign w:val="superscript"/>
        </w:rPr>
        <w:t xml:space="preserve">o </w:t>
      </w:r>
      <w:r w:rsidRPr="003210F5">
        <w:t>93316 du 15 novembre 2013.</w:t>
      </w:r>
    </w:p>
    <w:p w:rsidRPr="003210F5" w:rsidR="003A74F0" w:rsidP="003210F5" w:rsidRDefault="003A74F0" w14:paraId="4941F99E" w14:textId="1E82415B">
      <w:pPr>
        <w:pStyle w:val="JuPara"/>
      </w:pPr>
      <w:r w:rsidRPr="003210F5">
        <w:fldChar w:fldCharType="begin"/>
      </w:r>
      <w:r w:rsidRPr="003210F5">
        <w:instrText xml:space="preserve"> SEQ level0 \*arabic </w:instrText>
      </w:r>
      <w:r w:rsidRPr="003210F5">
        <w:fldChar w:fldCharType="separate"/>
      </w:r>
      <w:r w:rsidRPr="003210F5" w:rsidR="003210F5">
        <w:rPr>
          <w:noProof/>
        </w:rPr>
        <w:t>96</w:t>
      </w:r>
      <w:r w:rsidRPr="003210F5">
        <w:fldChar w:fldCharType="end"/>
      </w:r>
      <w:r w:rsidRPr="003210F5">
        <w:t xml:space="preserve">.  La Cour relève aussi que, les petites maisons </w:t>
      </w:r>
      <w:r w:rsidRPr="003210F5">
        <w:rPr>
          <w:rFonts w:eastAsiaTheme="minorEastAsia"/>
        </w:rPr>
        <w:t>dispersées autour des immeubles A, B et C accueillaient au jour de la visite du médiateur environ 45 personnes en semi-liberté. Elle note que la capacité exacte de cet espace n</w:t>
      </w:r>
      <w:r w:rsidRPr="003210F5" w:rsidR="003210F5">
        <w:rPr>
          <w:rFonts w:eastAsiaTheme="minorEastAsia"/>
        </w:rPr>
        <w:t>’</w:t>
      </w:r>
      <w:r w:rsidRPr="003210F5">
        <w:rPr>
          <w:rFonts w:eastAsiaTheme="minorEastAsia"/>
        </w:rPr>
        <w:t>était pas précisée mais qu</w:t>
      </w:r>
      <w:r w:rsidRPr="003210F5" w:rsidR="003210F5">
        <w:rPr>
          <w:rFonts w:eastAsiaTheme="minorEastAsia"/>
        </w:rPr>
        <w:t>’</w:t>
      </w:r>
      <w:r w:rsidRPr="003210F5">
        <w:rPr>
          <w:rFonts w:eastAsiaTheme="minorEastAsia"/>
        </w:rPr>
        <w:t>il était apparent qu</w:t>
      </w:r>
      <w:r w:rsidRPr="003210F5" w:rsidR="003210F5">
        <w:rPr>
          <w:rFonts w:eastAsiaTheme="minorEastAsia"/>
        </w:rPr>
        <w:t>’</w:t>
      </w:r>
      <w:r w:rsidRPr="003210F5">
        <w:rPr>
          <w:rFonts w:eastAsiaTheme="minorEastAsia"/>
        </w:rPr>
        <w:t>elle était bien supérieure au nombre des détenus (voir paragraphe 43 ci-dessus).</w:t>
      </w:r>
      <w:r w:rsidRPr="003210F5">
        <w:t xml:space="preserve"> Enfin, les trois annexes de la prison hébergeaient une vingtaine de détenus en semi-liberté affectés aux travaux d</w:t>
      </w:r>
      <w:r w:rsidRPr="003210F5" w:rsidR="003210F5">
        <w:t>’</w:t>
      </w:r>
      <w:r w:rsidRPr="003210F5">
        <w:t>élevage, dont l</w:t>
      </w:r>
      <w:r w:rsidRPr="003210F5" w:rsidR="003210F5">
        <w:t>’</w:t>
      </w:r>
      <w:r w:rsidRPr="003210F5">
        <w:t>un séjournait seul en tant que gardien des immeubles.</w:t>
      </w:r>
      <w:r w:rsidRPr="003210F5">
        <w:rPr>
          <w:rFonts w:eastAsiaTheme="minorEastAsia"/>
        </w:rPr>
        <w:t xml:space="preserve"> Il ressort </w:t>
      </w:r>
      <w:r w:rsidRPr="003210F5">
        <w:t>donc du dossier que, concernant l</w:t>
      </w:r>
      <w:r w:rsidRPr="003210F5" w:rsidR="003210F5">
        <w:t>’</w:t>
      </w:r>
      <w:r w:rsidRPr="003210F5">
        <w:t>espace dont disposaient les détenus en semi-liberté, la prison fonctionnait bien en deçà de sa capacité.</w:t>
      </w:r>
    </w:p>
    <w:p w:rsidRPr="003210F5" w:rsidR="003A74F0" w:rsidP="003210F5" w:rsidRDefault="003A74F0" w14:paraId="03120E99" w14:textId="2A9906EE">
      <w:pPr>
        <w:pStyle w:val="JuPara"/>
        <w:rPr>
          <w:rFonts w:cs="Times New Roman" w:eastAsiaTheme="minorEastAsia"/>
          <w:szCs w:val="22"/>
        </w:rPr>
      </w:pPr>
      <w:r w:rsidRPr="003210F5">
        <w:rPr>
          <w:iCs/>
        </w:rPr>
        <w:fldChar w:fldCharType="begin"/>
      </w:r>
      <w:r w:rsidRPr="003210F5">
        <w:rPr>
          <w:iCs/>
        </w:rPr>
        <w:instrText xml:space="preserve"> SEQ level0 \*arabic </w:instrText>
      </w:r>
      <w:r w:rsidRPr="003210F5">
        <w:rPr>
          <w:iCs/>
        </w:rPr>
        <w:fldChar w:fldCharType="separate"/>
      </w:r>
      <w:r w:rsidRPr="003210F5" w:rsidR="003210F5">
        <w:rPr>
          <w:iCs/>
          <w:noProof/>
        </w:rPr>
        <w:t>97</w:t>
      </w:r>
      <w:r w:rsidRPr="003210F5">
        <w:rPr>
          <w:iCs/>
        </w:rPr>
        <w:fldChar w:fldCharType="end"/>
      </w:r>
      <w:r w:rsidRPr="003210F5">
        <w:rPr>
          <w:iCs/>
        </w:rPr>
        <w:t>.  La Cour constate qu</w:t>
      </w:r>
      <w:r w:rsidRPr="003210F5" w:rsidR="003210F5">
        <w:rPr>
          <w:iCs/>
        </w:rPr>
        <w:t>’</w:t>
      </w:r>
      <w:r w:rsidRPr="003210F5">
        <w:rPr>
          <w:iCs/>
        </w:rPr>
        <w:t>il ressort du cadre législatif et du dossier que la prison de Kassandra, en tant que prison agricole, avait une finalité et une organisation qui étaient très différentes de celles des autres établissements pénitentiaires et que les détenus y étaient séparés dans les bâtiments en fonction de leurs différents statuts. Elle note d</w:t>
      </w:r>
      <w:r w:rsidRPr="003210F5" w:rsidR="003210F5">
        <w:rPr>
          <w:iCs/>
        </w:rPr>
        <w:t>’</w:t>
      </w:r>
      <w:r w:rsidRPr="003210F5">
        <w:rPr>
          <w:iCs/>
        </w:rPr>
        <w:t>emblée l</w:t>
      </w:r>
      <w:r w:rsidRPr="003210F5" w:rsidR="003210F5">
        <w:rPr>
          <w:iCs/>
        </w:rPr>
        <w:t>’</w:t>
      </w:r>
      <w:r w:rsidRPr="003210F5">
        <w:rPr>
          <w:iCs/>
        </w:rPr>
        <w:t xml:space="preserve">observation du médiateur selon laquelle la privation de liberté, surtout des détenus en semi-liberté mais aussi des détenus qui séjournaient dans les immeubles B et C, « semblait </w:t>
      </w:r>
      <w:r w:rsidRPr="003210F5">
        <w:t xml:space="preserve">objectivement avoir des </w:t>
      </w:r>
      <w:r w:rsidRPr="003210F5">
        <w:rPr>
          <w:iCs/>
        </w:rPr>
        <w:t>effets moins sévères sur leur qualité de vie ».</w:t>
      </w:r>
    </w:p>
    <w:p w:rsidRPr="003210F5" w:rsidR="003A74F0" w:rsidP="003210F5" w:rsidRDefault="003A74F0" w14:paraId="66C6C225" w14:textId="5D95B2A8">
      <w:pPr>
        <w:pStyle w:val="JuPara"/>
      </w:pPr>
      <w:r w:rsidRPr="003210F5">
        <w:fldChar w:fldCharType="begin"/>
      </w:r>
      <w:r w:rsidRPr="003210F5">
        <w:instrText xml:space="preserve"> SEQ level0 \*arabic </w:instrText>
      </w:r>
      <w:r w:rsidRPr="003210F5">
        <w:fldChar w:fldCharType="separate"/>
      </w:r>
      <w:r w:rsidRPr="003210F5" w:rsidR="003210F5">
        <w:rPr>
          <w:noProof/>
        </w:rPr>
        <w:t>98</w:t>
      </w:r>
      <w:r w:rsidRPr="003210F5">
        <w:fldChar w:fldCharType="end"/>
      </w:r>
      <w:r w:rsidRPr="003210F5">
        <w:t>.  La Cour observe que, d</w:t>
      </w:r>
      <w:r w:rsidRPr="003210F5" w:rsidR="003210F5">
        <w:t>’</w:t>
      </w:r>
      <w:r w:rsidRPr="003210F5">
        <w:t>une part, les détenus dans les immeubles B et C et, d</w:t>
      </w:r>
      <w:r w:rsidRPr="003210F5" w:rsidR="003210F5">
        <w:t>’</w:t>
      </w:r>
      <w:r w:rsidRPr="003210F5">
        <w:t>autre part, les détenus en semi-liberté (dénommés « </w:t>
      </w:r>
      <w:r w:rsidRPr="003210F5">
        <w:rPr>
          <w:i/>
          <w:iCs/>
        </w:rPr>
        <w:t>logotimites </w:t>
      </w:r>
      <w:r w:rsidRPr="003210F5">
        <w:t>») qui séjournaient autour des immeubles ou dans les trois annexes de la prison, profitaient d</w:t>
      </w:r>
      <w:r w:rsidRPr="003210F5" w:rsidR="003210F5">
        <w:t>’</w:t>
      </w:r>
      <w:r w:rsidRPr="003210F5">
        <w:t>un régime de prison ouverte qui se distinguait considérablement du régime de prison fermée dans l</w:t>
      </w:r>
      <w:r w:rsidRPr="003210F5" w:rsidR="003210F5">
        <w:t>’</w:t>
      </w:r>
      <w:r w:rsidRPr="003210F5">
        <w:t>immeuble A.</w:t>
      </w:r>
    </w:p>
    <w:p w:rsidRPr="003210F5" w:rsidR="003A74F0" w:rsidP="003210F5" w:rsidRDefault="003A74F0" w14:paraId="7212F8FB" w14:textId="0104D19E">
      <w:pPr>
        <w:pStyle w:val="JuPara"/>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99</w:t>
      </w:r>
      <w:r w:rsidRPr="003210F5">
        <w:rPr>
          <w:rFonts w:cs="Times New Roman" w:eastAsiaTheme="minorEastAsia"/>
          <w:szCs w:val="22"/>
        </w:rPr>
        <w:fldChar w:fldCharType="end"/>
      </w:r>
      <w:r w:rsidRPr="003210F5">
        <w:rPr>
          <w:rFonts w:cs="Times New Roman" w:eastAsiaTheme="minorEastAsia"/>
          <w:szCs w:val="22"/>
        </w:rPr>
        <w:t>.  En particulier, concernant les</w:t>
      </w:r>
      <w:r w:rsidRPr="003210F5">
        <w:rPr>
          <w:iCs/>
        </w:rPr>
        <w:t xml:space="preserve"> requérants désignés </w:t>
      </w:r>
      <w:r w:rsidRPr="003210F5">
        <w:t>sous les n</w:t>
      </w:r>
      <w:r w:rsidRPr="003210F5">
        <w:rPr>
          <w:vertAlign w:val="superscript"/>
        </w:rPr>
        <w:t>os</w:t>
      </w:r>
      <w:r w:rsidRPr="003210F5">
        <w:t xml:space="preserve"> 1, 4, 6, 11, 13, 14, 16, 17, 19, 20, 26 à 28, 30 et 32 à 34, la Cour note qu</w:t>
      </w:r>
      <w:r w:rsidRPr="003210F5" w:rsidR="003210F5">
        <w:t>’</w:t>
      </w:r>
      <w:r w:rsidRPr="003210F5">
        <w:t xml:space="preserve">ils ont été détenus pendant certaines périodes (exposées en détail au </w:t>
      </w:r>
      <w:r w:rsidRPr="003210F5">
        <w:rPr>
          <w:rFonts w:eastAsiaTheme="minorEastAsia"/>
          <w:szCs w:val="22"/>
        </w:rPr>
        <w:t>paragraphe 4 ci-dessus)</w:t>
      </w:r>
      <w:r w:rsidRPr="003210F5">
        <w:t xml:space="preserve"> dans les immeubles B ou C, en régime de prison ouverte. Ils travaillaient alors sous surveillance en dehors des immeubles et au sein de différentes unités de travail (par exemple la production végétale et animale, les ateliers ou les entrepôts) et jouissaient d</w:t>
      </w:r>
      <w:r w:rsidRPr="003210F5" w:rsidR="003210F5">
        <w:t>’</w:t>
      </w:r>
      <w:r w:rsidRPr="003210F5">
        <w:t>une grande liberté de mouvement puisqu</w:t>
      </w:r>
      <w:r w:rsidRPr="003210F5" w:rsidR="003210F5">
        <w:t>’</w:t>
      </w:r>
      <w:r w:rsidRPr="003210F5">
        <w:t>ils travaillaient en dehors des immeubles pendant cinq heures et demie.</w:t>
      </w:r>
    </w:p>
    <w:p w:rsidRPr="003210F5" w:rsidR="003A74F0" w:rsidP="003210F5" w:rsidRDefault="003A74F0" w14:paraId="5CE6A979" w14:textId="258F9503">
      <w:pPr>
        <w:pStyle w:val="JuPara"/>
        <w:rPr>
          <w:rFonts w:cs="Times New Roman" w:eastAsiaTheme="minorEastAsia"/>
          <w:szCs w:val="22"/>
        </w:rPr>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100</w:t>
      </w:r>
      <w:r w:rsidRPr="003210F5">
        <w:rPr>
          <w:rFonts w:cs="Times New Roman" w:eastAsiaTheme="minorEastAsia"/>
          <w:szCs w:val="22"/>
        </w:rPr>
        <w:fldChar w:fldCharType="end"/>
      </w:r>
      <w:r w:rsidRPr="003210F5">
        <w:rPr>
          <w:rFonts w:cs="Times New Roman" w:eastAsiaTheme="minorEastAsia"/>
          <w:szCs w:val="22"/>
        </w:rPr>
        <w:t xml:space="preserve">.  Il ressort du dossier que </w:t>
      </w:r>
      <w:r w:rsidRPr="003210F5">
        <w:t>le requérant désigné sous le n</w:t>
      </w:r>
      <w:r w:rsidRPr="003210F5">
        <w:rPr>
          <w:vertAlign w:val="superscript"/>
        </w:rPr>
        <w:t>o</w:t>
      </w:r>
      <w:r w:rsidRPr="003210F5">
        <w:t> 7 était détenu dans la salle des soins. La Cour ne dispose pas d</w:t>
      </w:r>
      <w:r w:rsidRPr="003210F5" w:rsidR="003210F5">
        <w:t>’</w:t>
      </w:r>
      <w:r w:rsidRPr="003210F5">
        <w:t>informations détaillées sur ce local mais, selon les observations du Gouvernement, non contestées par les requérants, il ne se trouvait pas sous le régime de prison fermée.</w:t>
      </w:r>
    </w:p>
    <w:bookmarkStart w:name="onehundred" w:id="52"/>
    <w:p w:rsidRPr="003210F5" w:rsidR="003A74F0" w:rsidP="003210F5" w:rsidRDefault="003A74F0" w14:paraId="18005D34" w14:textId="0B704A46">
      <w:pPr>
        <w:pStyle w:val="JuPara"/>
        <w:rPr>
          <w:rFonts w:eastAsiaTheme="minorEastAsia"/>
        </w:rPr>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101</w:t>
      </w:r>
      <w:r w:rsidRPr="003210F5">
        <w:rPr>
          <w:rFonts w:eastAsiaTheme="minorEastAsia"/>
          <w:szCs w:val="22"/>
        </w:rPr>
        <w:fldChar w:fldCharType="end"/>
      </w:r>
      <w:bookmarkEnd w:id="52"/>
      <w:r w:rsidRPr="003210F5">
        <w:rPr>
          <w:rFonts w:eastAsiaTheme="minorEastAsia"/>
          <w:szCs w:val="22"/>
        </w:rPr>
        <w:t xml:space="preserve">.  Concernant la question de la surpopulation, la Cour renvoie à </w:t>
      </w:r>
      <w:r w:rsidRPr="003210F5">
        <w:rPr>
          <w:rFonts w:eastAsiaTheme="minorEastAsia"/>
        </w:rPr>
        <w:t>la déclaration du directeur de la prison et l</w:t>
      </w:r>
      <w:r w:rsidRPr="003210F5" w:rsidR="003210F5">
        <w:rPr>
          <w:rFonts w:eastAsiaTheme="minorEastAsia"/>
        </w:rPr>
        <w:t>’</w:t>
      </w:r>
      <w:r w:rsidRPr="003210F5">
        <w:rPr>
          <w:rFonts w:eastAsiaTheme="minorEastAsia"/>
        </w:rPr>
        <w:t>arrêté ministériel no 93316 du 15</w:t>
      </w:r>
      <w:r w:rsidRPr="003210F5" w:rsidR="00371E50">
        <w:rPr>
          <w:rFonts w:eastAsiaTheme="minorEastAsia"/>
        </w:rPr>
        <w:t> </w:t>
      </w:r>
      <w:r w:rsidRPr="003210F5">
        <w:rPr>
          <w:rFonts w:eastAsiaTheme="minorEastAsia"/>
        </w:rPr>
        <w:t xml:space="preserve">novembre 2013 qui coïncident sur ce point avec le rapport du médiateur, selon lesquels chaque immeuble </w:t>
      </w:r>
      <w:r w:rsidRPr="003210F5">
        <w:rPr>
          <w:rFonts w:ascii="Times New Roman" w:hAnsi="Times New Roman" w:eastAsia="Times New Roman"/>
        </w:rPr>
        <w:t>disposait de quatre chambrées, chacune d</w:t>
      </w:r>
      <w:r w:rsidRPr="003210F5" w:rsidR="003210F5">
        <w:rPr>
          <w:rFonts w:ascii="Times New Roman" w:hAnsi="Times New Roman" w:eastAsia="Times New Roman"/>
        </w:rPr>
        <w:t>’</w:t>
      </w:r>
      <w:r w:rsidRPr="003210F5">
        <w:rPr>
          <w:rFonts w:ascii="Times New Roman" w:hAnsi="Times New Roman" w:eastAsia="Times New Roman"/>
        </w:rPr>
        <w:t>une superficie d</w:t>
      </w:r>
      <w:r w:rsidRPr="003210F5" w:rsidR="003210F5">
        <w:rPr>
          <w:rFonts w:ascii="Times New Roman" w:hAnsi="Times New Roman" w:eastAsia="Times New Roman"/>
        </w:rPr>
        <w:t>’</w:t>
      </w:r>
      <w:r w:rsidRPr="003210F5">
        <w:rPr>
          <w:rFonts w:ascii="Times New Roman" w:hAnsi="Times New Roman" w:eastAsia="Times New Roman"/>
        </w:rPr>
        <w:t>environ 80 m</w:t>
      </w:r>
      <w:r w:rsidRPr="003210F5">
        <w:rPr>
          <w:rFonts w:ascii="Times New Roman" w:hAnsi="Times New Roman" w:eastAsia="Times New Roman"/>
          <w:vertAlign w:val="superscript"/>
        </w:rPr>
        <w:t>2</w:t>
      </w:r>
      <w:r w:rsidRPr="003210F5">
        <w:rPr>
          <w:rFonts w:ascii="Times New Roman" w:hAnsi="Times New Roman" w:eastAsia="Times New Roman"/>
        </w:rPr>
        <w:t>, ce qui n</w:t>
      </w:r>
      <w:r w:rsidRPr="003210F5" w:rsidR="003210F5">
        <w:rPr>
          <w:rFonts w:ascii="Times New Roman" w:hAnsi="Times New Roman" w:eastAsia="Times New Roman"/>
        </w:rPr>
        <w:t>’</w:t>
      </w:r>
      <w:r w:rsidRPr="003210F5">
        <w:rPr>
          <w:rFonts w:ascii="Times New Roman" w:hAnsi="Times New Roman" w:eastAsia="Times New Roman"/>
        </w:rPr>
        <w:t>est pas contesté par les requérants. Elle se fonde sur les constatations du médiateur selon lesquelles, le jour de sa visite, environ 10 à 12 détenus séjournaient dans chaque chambrée, ce qui signifie qu</w:t>
      </w:r>
      <w:r w:rsidRPr="003210F5" w:rsidR="003210F5">
        <w:rPr>
          <w:rFonts w:ascii="Times New Roman" w:hAnsi="Times New Roman" w:eastAsia="Times New Roman"/>
        </w:rPr>
        <w:t>’</w:t>
      </w:r>
      <w:r w:rsidRPr="003210F5">
        <w:rPr>
          <w:rFonts w:ascii="Times New Roman" w:hAnsi="Times New Roman" w:eastAsia="Times New Roman"/>
        </w:rPr>
        <w:t>ils disposaient d</w:t>
      </w:r>
      <w:r w:rsidRPr="003210F5" w:rsidR="003210F5">
        <w:rPr>
          <w:rFonts w:ascii="Times New Roman" w:hAnsi="Times New Roman" w:eastAsia="Times New Roman"/>
        </w:rPr>
        <w:t>’</w:t>
      </w:r>
      <w:r w:rsidRPr="003210F5">
        <w:rPr>
          <w:rFonts w:ascii="Times New Roman" w:hAnsi="Times New Roman" w:eastAsia="Times New Roman"/>
        </w:rPr>
        <w:t>un espace personnel de 8 m</w:t>
      </w:r>
      <w:r w:rsidRPr="003210F5">
        <w:rPr>
          <w:rFonts w:ascii="Times New Roman" w:hAnsi="Times New Roman" w:eastAsia="Times New Roman"/>
          <w:vertAlign w:val="superscript"/>
        </w:rPr>
        <w:t xml:space="preserve">2 </w:t>
      </w:r>
      <w:r w:rsidRPr="003210F5">
        <w:rPr>
          <w:rFonts w:ascii="Times New Roman" w:hAnsi="Times New Roman" w:eastAsia="Times New Roman"/>
        </w:rPr>
        <w:t>à 6,67 m</w:t>
      </w:r>
      <w:r w:rsidRPr="003210F5">
        <w:rPr>
          <w:rFonts w:ascii="Times New Roman" w:hAnsi="Times New Roman" w:eastAsia="Times New Roman"/>
          <w:vertAlign w:val="superscript"/>
        </w:rPr>
        <w:t>2</w:t>
      </w:r>
      <w:r w:rsidRPr="003210F5">
        <w:rPr>
          <w:rFonts w:ascii="Times New Roman" w:hAnsi="Times New Roman" w:eastAsia="Times New Roman"/>
        </w:rPr>
        <w:t>, ce qui coïncide partiellement avec les arguments du Gouvernement selon lesquels chaque détenu disposait d</w:t>
      </w:r>
      <w:r w:rsidRPr="003210F5" w:rsidR="003210F5">
        <w:rPr>
          <w:rFonts w:ascii="Times New Roman" w:hAnsi="Times New Roman" w:eastAsia="Times New Roman"/>
        </w:rPr>
        <w:t>’</w:t>
      </w:r>
      <w:r w:rsidRPr="003210F5">
        <w:rPr>
          <w:rFonts w:ascii="Times New Roman" w:hAnsi="Times New Roman" w:eastAsia="Times New Roman"/>
        </w:rPr>
        <w:t>un espace personnel de 8 m</w:t>
      </w:r>
      <w:r w:rsidRPr="003210F5">
        <w:rPr>
          <w:rFonts w:ascii="Times New Roman" w:hAnsi="Times New Roman" w:eastAsia="Times New Roman"/>
          <w:vertAlign w:val="superscript"/>
        </w:rPr>
        <w:t>2</w:t>
      </w:r>
      <w:r w:rsidRPr="003210F5">
        <w:rPr>
          <w:rFonts w:ascii="Times New Roman" w:hAnsi="Times New Roman" w:eastAsia="Times New Roman"/>
        </w:rPr>
        <w:t>. La Cour prend note de l</w:t>
      </w:r>
      <w:r w:rsidRPr="003210F5" w:rsidR="003210F5">
        <w:rPr>
          <w:rFonts w:ascii="Times New Roman" w:hAnsi="Times New Roman" w:eastAsia="Times New Roman"/>
        </w:rPr>
        <w:t>’</w:t>
      </w:r>
      <w:r w:rsidRPr="003210F5">
        <w:rPr>
          <w:rFonts w:ascii="Times New Roman" w:hAnsi="Times New Roman" w:eastAsia="Times New Roman"/>
        </w:rPr>
        <w:t>allégation des requérants selon laquelle 17 personnes partageaient chaque chambrée et observe qu</w:t>
      </w:r>
      <w:r w:rsidRPr="003210F5" w:rsidR="003210F5">
        <w:rPr>
          <w:rFonts w:ascii="Times New Roman" w:hAnsi="Times New Roman" w:eastAsia="Times New Roman"/>
        </w:rPr>
        <w:t>’</w:t>
      </w:r>
      <w:r w:rsidRPr="003210F5">
        <w:rPr>
          <w:rFonts w:ascii="Times New Roman" w:hAnsi="Times New Roman" w:eastAsia="Times New Roman"/>
        </w:rPr>
        <w:t>aucun élément objectif ne le confirme. En tout état de cause, cette allégation reviendrait à dire que l</w:t>
      </w:r>
      <w:r w:rsidRPr="003210F5" w:rsidR="003210F5">
        <w:rPr>
          <w:rFonts w:ascii="Times New Roman" w:hAnsi="Times New Roman" w:eastAsia="Times New Roman"/>
        </w:rPr>
        <w:t>’</w:t>
      </w:r>
      <w:r w:rsidRPr="003210F5">
        <w:rPr>
          <w:rFonts w:ascii="Times New Roman" w:hAnsi="Times New Roman" w:eastAsia="Times New Roman"/>
        </w:rPr>
        <w:t>espace personnel était non pas inférieur à 3 m</w:t>
      </w:r>
      <w:r w:rsidRPr="003210F5">
        <w:rPr>
          <w:rFonts w:ascii="Times New Roman" w:hAnsi="Times New Roman" w:eastAsia="Times New Roman"/>
          <w:vertAlign w:val="superscript"/>
        </w:rPr>
        <w:t>2</w:t>
      </w:r>
      <w:r w:rsidRPr="003210F5">
        <w:rPr>
          <w:rFonts w:ascii="Times New Roman" w:hAnsi="Times New Roman" w:eastAsia="Times New Roman"/>
        </w:rPr>
        <w:t>, comme le soutiennent les requérants, mais de 4,7 m</w:t>
      </w:r>
      <w:r w:rsidRPr="003210F5">
        <w:rPr>
          <w:rFonts w:ascii="Times New Roman" w:hAnsi="Times New Roman" w:eastAsia="Times New Roman"/>
          <w:vertAlign w:val="superscript"/>
        </w:rPr>
        <w:t>2 </w:t>
      </w:r>
      <w:r w:rsidRPr="003210F5">
        <w:rPr>
          <w:rFonts w:ascii="Times New Roman" w:hAnsi="Times New Roman" w:eastAsia="Times New Roman"/>
        </w:rPr>
        <w:t>par détenu, y compris les toilettes.</w:t>
      </w:r>
    </w:p>
    <w:p w:rsidRPr="003210F5" w:rsidR="003A74F0" w:rsidP="003210F5" w:rsidRDefault="003A74F0" w14:paraId="610449FD" w14:textId="3E4B883D">
      <w:pPr>
        <w:pStyle w:val="JuPara"/>
        <w:rPr>
          <w:rFonts w:asciiTheme="majorHAnsi" w:hAnsiTheme="majorHAnsi" w:eastAsiaTheme="majorEastAsia" w:cstheme="majorBidi"/>
          <w:bCs/>
          <w:caps/>
          <w:szCs w:val="26"/>
        </w:rPr>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102</w:t>
      </w:r>
      <w:r w:rsidRPr="003210F5">
        <w:rPr>
          <w:rFonts w:cs="Times New Roman" w:eastAsiaTheme="minorEastAsia"/>
          <w:szCs w:val="22"/>
        </w:rPr>
        <w:fldChar w:fldCharType="end"/>
      </w:r>
      <w:r w:rsidRPr="003210F5">
        <w:rPr>
          <w:rFonts w:cs="Times New Roman" w:eastAsiaTheme="minorEastAsia"/>
          <w:szCs w:val="22"/>
        </w:rPr>
        <w:t xml:space="preserve">.  Quant </w:t>
      </w:r>
      <w:r w:rsidRPr="003210F5">
        <w:rPr>
          <w:iCs/>
        </w:rPr>
        <w:t xml:space="preserve">aux requérants désignés </w:t>
      </w:r>
      <w:r w:rsidRPr="003210F5">
        <w:t>sous les n</w:t>
      </w:r>
      <w:r w:rsidRPr="003210F5">
        <w:rPr>
          <w:vertAlign w:val="superscript"/>
        </w:rPr>
        <w:t>os</w:t>
      </w:r>
      <w:r w:rsidRPr="003210F5">
        <w:t xml:space="preserve"> 1, 2, 4, 6, 10, 11, 16, 19, 20, 26 et 30, la Cour relève qu</w:t>
      </w:r>
      <w:r w:rsidRPr="003210F5" w:rsidR="003210F5">
        <w:t>’</w:t>
      </w:r>
      <w:r w:rsidRPr="003210F5">
        <w:t>ils se trouvaient en semi-liberté pendant certaines périodes qui sont indiquées en détail ci-</w:t>
      </w:r>
      <w:bookmarkStart w:name="_Hlk62812672" w:id="53"/>
      <w:r w:rsidRPr="003210F5">
        <w:t>dessus (</w:t>
      </w:r>
      <w:r w:rsidRPr="003210F5">
        <w:rPr>
          <w:rFonts w:eastAsiaTheme="minorEastAsia"/>
          <w:szCs w:val="22"/>
        </w:rPr>
        <w:t>paragraphe 4)</w:t>
      </w:r>
      <w:bookmarkEnd w:id="53"/>
      <w:r w:rsidRPr="003210F5">
        <w:t>. Elle observe qu</w:t>
      </w:r>
      <w:r w:rsidRPr="003210F5" w:rsidR="003210F5">
        <w:t>’</w:t>
      </w:r>
      <w:r w:rsidRPr="003210F5">
        <w:t>ils bénéficiaient sans doute d</w:t>
      </w:r>
      <w:r w:rsidRPr="003210F5" w:rsidR="003210F5">
        <w:t>’</w:t>
      </w:r>
      <w:r w:rsidRPr="003210F5">
        <w:t>un régime spécial. Certains entre eux étaient complémentent autonomes et d</w:t>
      </w:r>
      <w:r w:rsidRPr="003210F5" w:rsidR="003210F5">
        <w:t>’</w:t>
      </w:r>
      <w:r w:rsidRPr="003210F5">
        <w:t>autres étaient affectés aux locaux de travail. Leur liberté de mouvement, inhérente à leur statut et à la nature de leur travail, est incontestable.</w:t>
      </w:r>
    </w:p>
    <w:p w:rsidRPr="003210F5" w:rsidR="003A74F0" w:rsidP="003210F5" w:rsidRDefault="003A74F0" w14:paraId="7C974E4A" w14:textId="2AC75A22">
      <w:pPr>
        <w:pStyle w:val="JuPara"/>
        <w:rPr>
          <w:rFonts w:ascii="Times New Roman" w:hAnsi="Times New Roman" w:eastAsia="Times New Roman" w:cs="Times New Roman"/>
        </w:rPr>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103</w:t>
      </w:r>
      <w:r w:rsidRPr="003210F5">
        <w:rPr>
          <w:rFonts w:cs="Times New Roman" w:eastAsiaTheme="minorEastAsia"/>
          <w:szCs w:val="22"/>
        </w:rPr>
        <w:fldChar w:fldCharType="end"/>
      </w:r>
      <w:r w:rsidRPr="003210F5">
        <w:rPr>
          <w:rFonts w:cs="Times New Roman" w:eastAsiaTheme="minorEastAsia"/>
          <w:szCs w:val="22"/>
        </w:rPr>
        <w:t>.  La Cour prend note de l</w:t>
      </w:r>
      <w:r w:rsidRPr="003210F5" w:rsidR="003210F5">
        <w:rPr>
          <w:rFonts w:cs="Times New Roman" w:eastAsiaTheme="minorEastAsia"/>
          <w:szCs w:val="22"/>
        </w:rPr>
        <w:t>’</w:t>
      </w:r>
      <w:r w:rsidRPr="003210F5">
        <w:rPr>
          <w:rFonts w:cs="Times New Roman" w:eastAsiaTheme="minorEastAsia"/>
          <w:szCs w:val="22"/>
        </w:rPr>
        <w:t>argument du médiateur selon lequel « </w:t>
      </w:r>
      <w:r w:rsidRPr="003210F5">
        <w:t>la capacité exacte de cet espace dédié aux détenus en semi-liberté n</w:t>
      </w:r>
      <w:r w:rsidRPr="003210F5" w:rsidR="003210F5">
        <w:t>’</w:t>
      </w:r>
      <w:r w:rsidRPr="003210F5">
        <w:t>était pas précisée mais il était apparent à l</w:t>
      </w:r>
      <w:r w:rsidRPr="003210F5" w:rsidR="003210F5">
        <w:t>’</w:t>
      </w:r>
      <w:r w:rsidRPr="003210F5">
        <w:t>œil nu qu</w:t>
      </w:r>
      <w:r w:rsidRPr="003210F5" w:rsidR="003210F5">
        <w:t>’</w:t>
      </w:r>
      <w:r w:rsidRPr="003210F5">
        <w:t xml:space="preserve">elle était bien supérieure au nombre des détenus ». Elle se fonde sur le constat général dans le rapport du médiateur selon lequel, </w:t>
      </w:r>
      <w:r w:rsidRPr="003210F5">
        <w:rPr>
          <w:rFonts w:cs="Times New Roman" w:eastAsiaTheme="minorEastAsia"/>
          <w:szCs w:val="22"/>
        </w:rPr>
        <w:t>dans</w:t>
      </w:r>
      <w:r w:rsidRPr="003210F5">
        <w:rPr>
          <w:rFonts w:ascii="Times New Roman" w:hAnsi="Times New Roman" w:eastAsia="Times New Roman" w:cs="Times New Roman"/>
        </w:rPr>
        <w:t xml:space="preserve"> les maisons et les chambrées des détenus en semi-liberté, les conditions étaient meilleures parce que ceux-ci bénéficiaient d</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une plus grande liberté de mouvement et d</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organisation des lieux de séjour malgré la mauvaise infrastructure.</w:t>
      </w:r>
    </w:p>
    <w:p w:rsidRPr="003210F5" w:rsidR="003A74F0" w:rsidP="003210F5" w:rsidRDefault="003A74F0" w14:paraId="53A375DA" w14:textId="25E4EE0F">
      <w:pPr>
        <w:pStyle w:val="JuPara"/>
      </w:pPr>
      <w:r w:rsidRPr="003210F5">
        <w:fldChar w:fldCharType="begin"/>
      </w:r>
      <w:r w:rsidRPr="003210F5">
        <w:instrText xml:space="preserve"> SEQ level0 \*arabic </w:instrText>
      </w:r>
      <w:r w:rsidRPr="003210F5">
        <w:fldChar w:fldCharType="separate"/>
      </w:r>
      <w:r w:rsidRPr="003210F5" w:rsidR="003210F5">
        <w:rPr>
          <w:noProof/>
        </w:rPr>
        <w:t>104</w:t>
      </w:r>
      <w:r w:rsidRPr="003210F5">
        <w:fldChar w:fldCharType="end"/>
      </w:r>
      <w:r w:rsidRPr="003210F5">
        <w:t>.</w:t>
      </w:r>
      <w:bookmarkStart w:name="_Hlk76139028" w:id="54"/>
      <w:r w:rsidRPr="003210F5">
        <w:t>  La Cour conclut des considérations qui précèdent que les détenus dans les locaux ouverts et en semi-liberté bénéficiaient d</w:t>
      </w:r>
      <w:r w:rsidRPr="003210F5" w:rsidR="003210F5">
        <w:t>’</w:t>
      </w:r>
      <w:r w:rsidRPr="003210F5">
        <w:t>une grande liberté de circulation lorsqu</w:t>
      </w:r>
      <w:r w:rsidRPr="003210F5" w:rsidR="003210F5">
        <w:t>’</w:t>
      </w:r>
      <w:r w:rsidRPr="003210F5">
        <w:t>ils travaillaient dans la journée en dehors des chambrées. Les détenus dans les locaux ouverts qui travaillaient sous surveillance se distinguaient nettement de ceux dans les prisons fermées qui étaient confinés en cellules et dont les possibilités de se promener dans la cour de la prison étaient limitées. Les détenus en semi-liberté qui séjournaient dans des maisons distinctes disposaient d</w:t>
      </w:r>
      <w:r w:rsidRPr="003210F5" w:rsidR="003210F5">
        <w:t>’</w:t>
      </w:r>
      <w:r w:rsidRPr="003210F5">
        <w:t>une autonomie considérable, qui déterminait leur statut, et d</w:t>
      </w:r>
      <w:r w:rsidRPr="003210F5" w:rsidR="003210F5">
        <w:t>’</w:t>
      </w:r>
      <w:r w:rsidRPr="003210F5">
        <w:t>une liberté de circuler sur une très grande surface. Étant donné qu</w:t>
      </w:r>
      <w:r w:rsidRPr="003210F5" w:rsidR="003210F5">
        <w:t>’</w:t>
      </w:r>
      <w:r w:rsidRPr="003210F5">
        <w:t>il a été conclu qu</w:t>
      </w:r>
      <w:r w:rsidRPr="003210F5" w:rsidR="003210F5">
        <w:t>’</w:t>
      </w:r>
      <w:r w:rsidRPr="003210F5">
        <w:t>il n</w:t>
      </w:r>
      <w:r w:rsidRPr="003210F5" w:rsidR="003210F5">
        <w:t>’</w:t>
      </w:r>
      <w:r w:rsidRPr="003210F5">
        <w:t>y avait en l</w:t>
      </w:r>
      <w:r w:rsidRPr="003210F5" w:rsidR="003210F5">
        <w:t>’</w:t>
      </w:r>
      <w:r w:rsidRPr="003210F5">
        <w:t>espèce aucun problème de surpopulation, d</w:t>
      </w:r>
      <w:r w:rsidRPr="003210F5" w:rsidR="003210F5">
        <w:t>’</w:t>
      </w:r>
      <w:r w:rsidRPr="003210F5">
        <w:t>autant plus que ces détenus disposaient d</w:t>
      </w:r>
      <w:r w:rsidRPr="003210F5" w:rsidR="003210F5">
        <w:t>’</w:t>
      </w:r>
      <w:r w:rsidRPr="003210F5">
        <w:t>une grande liberté de mouvement, et que les requérants ne décrivent pas les autres conditions de détention spécifiques et relatives à leur régime spécial et à leur situation individuelle, ni la manière dont ils ont été affectés par ces conditions pendant qu</w:t>
      </w:r>
      <w:r w:rsidRPr="003210F5" w:rsidR="003210F5">
        <w:t>’</w:t>
      </w:r>
      <w:r w:rsidRPr="003210F5">
        <w:t>ils étaient détenus sous ce régime, la Cour ne peut pas conclure qu</w:t>
      </w:r>
      <w:r w:rsidRPr="003210F5" w:rsidR="003210F5">
        <w:t>’</w:t>
      </w:r>
      <w:r w:rsidRPr="003210F5">
        <w:t>il y a eu un manque d</w:t>
      </w:r>
      <w:r w:rsidRPr="003210F5" w:rsidR="003210F5">
        <w:t>’</w:t>
      </w:r>
      <w:r w:rsidRPr="003210F5">
        <w:t>espace accompagné d</w:t>
      </w:r>
      <w:r w:rsidRPr="003210F5" w:rsidR="003210F5">
        <w:t>’</w:t>
      </w:r>
      <w:r w:rsidRPr="003210F5">
        <w:t>autres mauvaises conditions matérielles de détention.</w:t>
      </w:r>
    </w:p>
    <w:bookmarkEnd w:id="54"/>
    <w:p w:rsidRPr="003210F5" w:rsidR="003A74F0" w:rsidP="003210F5" w:rsidRDefault="003A74F0" w14:paraId="40ED0788" w14:textId="77A64000">
      <w:pPr>
        <w:pStyle w:val="JuPara"/>
      </w:pPr>
      <w:r w:rsidRPr="003210F5">
        <w:fldChar w:fldCharType="begin"/>
      </w:r>
      <w:r w:rsidRPr="003210F5">
        <w:instrText xml:space="preserve"> SEQ level0 \*arabic </w:instrText>
      </w:r>
      <w:r w:rsidRPr="003210F5">
        <w:fldChar w:fldCharType="separate"/>
      </w:r>
      <w:r w:rsidRPr="003210F5" w:rsidR="003210F5">
        <w:rPr>
          <w:noProof/>
        </w:rPr>
        <w:t>105</w:t>
      </w:r>
      <w:r w:rsidRPr="003210F5">
        <w:fldChar w:fldCharType="end"/>
      </w:r>
      <w:r w:rsidRPr="003210F5">
        <w:t>.  La Cour constate qu</w:t>
      </w:r>
      <w:r w:rsidRPr="003210F5" w:rsidR="003210F5">
        <w:t>’</w:t>
      </w:r>
      <w:r w:rsidRPr="003210F5">
        <w:t>en ce qui concerne les griefs relatifs à la toxicomanie, au tabagisme passif ainsi qu</w:t>
      </w:r>
      <w:r w:rsidRPr="003210F5" w:rsidR="003210F5">
        <w:t>’</w:t>
      </w:r>
      <w:r w:rsidRPr="003210F5">
        <w:t>au suivi médical, aucune information précise ne lui a été soumise afin d</w:t>
      </w:r>
      <w:r w:rsidRPr="003210F5" w:rsidR="003210F5">
        <w:t>’</w:t>
      </w:r>
      <w:r w:rsidRPr="003210F5">
        <w:t>identifier qui étaient les détenus affectés. Les requérants n</w:t>
      </w:r>
      <w:r w:rsidRPr="003210F5" w:rsidR="003210F5">
        <w:t>’</w:t>
      </w:r>
      <w:r w:rsidRPr="003210F5">
        <w:t>ont pas précisé s</w:t>
      </w:r>
      <w:r w:rsidRPr="003210F5" w:rsidR="003210F5">
        <w:t>’</w:t>
      </w:r>
      <w:r w:rsidRPr="003210F5">
        <w:t>ils ont été effectivement lésés ni, dans l</w:t>
      </w:r>
      <w:r w:rsidRPr="003210F5" w:rsidR="003210F5">
        <w:t>’</w:t>
      </w:r>
      <w:r w:rsidRPr="003210F5">
        <w:t>affirmative, à quel point.</w:t>
      </w:r>
    </w:p>
    <w:p w:rsidRPr="003210F5" w:rsidR="003A74F0" w:rsidP="003210F5" w:rsidRDefault="003A74F0" w14:paraId="6046D65A" w14:textId="486E210D">
      <w:pPr>
        <w:pStyle w:val="JuPara"/>
        <w:rPr>
          <w:rFonts w:ascii="Times New Roman" w:hAnsi="Times New Roman" w:eastAsia="Times New Roman" w:cs="Times New Roman"/>
        </w:rPr>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106</w:t>
      </w:r>
      <w:r w:rsidRPr="003210F5">
        <w:rPr>
          <w:rFonts w:cs="Times New Roman" w:eastAsiaTheme="minorEastAsia"/>
          <w:szCs w:val="22"/>
        </w:rPr>
        <w:fldChar w:fldCharType="end"/>
      </w:r>
      <w:r w:rsidRPr="003210F5">
        <w:rPr>
          <w:rFonts w:cs="Times New Roman" w:eastAsiaTheme="minorEastAsia"/>
          <w:szCs w:val="22"/>
        </w:rPr>
        <w:t>.  </w:t>
      </w:r>
      <w:r w:rsidRPr="003210F5">
        <w:t>Concernant le suivi médical ou pharmaceutique des détenus ayant des problèmes de santé, les requérants n</w:t>
      </w:r>
      <w:r w:rsidRPr="003210F5" w:rsidR="003210F5">
        <w:t>’</w:t>
      </w:r>
      <w:r w:rsidRPr="003210F5">
        <w:t xml:space="preserve">ont fourni aucun élément pertinent ni formulé de griefs concrets relatifs au manque de suivi. En tout état de cause, le Gouvernement fournit une liste détaillée sur laquelle sont indiqués les noms des requérants ainsi que les dates des soins médicaux et des soins dentaires reçus. </w:t>
      </w:r>
      <w:r w:rsidRPr="003210F5">
        <w:rPr>
          <w:rFonts w:cs="Times New Roman" w:eastAsiaTheme="minorEastAsia"/>
          <w:szCs w:val="22"/>
        </w:rPr>
        <w:t xml:space="preserve">La </w:t>
      </w:r>
      <w:r w:rsidRPr="003210F5">
        <w:t>Cour estime que les allégations précitées des requérants sont vagues, non individualisées et non étayées.</w:t>
      </w:r>
    </w:p>
    <w:bookmarkStart w:name="_Hlk62740366" w:id="55"/>
    <w:bookmarkStart w:name="onehundredten" w:id="56"/>
    <w:p w:rsidRPr="003210F5" w:rsidR="003A74F0" w:rsidP="003210F5" w:rsidRDefault="003A74F0" w14:paraId="189A34C2" w14:textId="37AE4700">
      <w:pPr>
        <w:pStyle w:val="JuPara"/>
        <w:rPr>
          <w:rFonts w:cstheme="minorHAnsi"/>
          <w:color w:val="262626"/>
          <w:sz w:val="22"/>
          <w:szCs w:val="22"/>
        </w:rPr>
      </w:pPr>
      <w:r w:rsidRPr="003210F5">
        <w:fldChar w:fldCharType="begin"/>
      </w:r>
      <w:r w:rsidRPr="003210F5">
        <w:instrText xml:space="preserve"> SEQ level0 \*arabic </w:instrText>
      </w:r>
      <w:r w:rsidRPr="003210F5">
        <w:fldChar w:fldCharType="separate"/>
      </w:r>
      <w:r w:rsidRPr="003210F5" w:rsidR="003210F5">
        <w:rPr>
          <w:noProof/>
        </w:rPr>
        <w:t>107</w:t>
      </w:r>
      <w:r w:rsidRPr="003210F5">
        <w:fldChar w:fldCharType="end"/>
      </w:r>
      <w:bookmarkEnd w:id="55"/>
      <w:bookmarkEnd w:id="56"/>
      <w:r w:rsidRPr="003210F5">
        <w:t>.  Il s</w:t>
      </w:r>
      <w:r w:rsidRPr="003210F5" w:rsidR="003210F5">
        <w:t>’</w:t>
      </w:r>
      <w:r w:rsidRPr="003210F5">
        <w:t xml:space="preserve">ensuit que, pour autant que les griefs des requérants désignés sous </w:t>
      </w:r>
      <w:r w:rsidRPr="003210F5">
        <w:rPr>
          <w:rFonts w:eastAsiaTheme="minorEastAsia"/>
          <w:szCs w:val="22"/>
        </w:rPr>
        <w:t>les n</w:t>
      </w:r>
      <w:r w:rsidRPr="003210F5">
        <w:rPr>
          <w:rFonts w:eastAsiaTheme="minorEastAsia"/>
          <w:szCs w:val="22"/>
          <w:vertAlign w:val="superscript"/>
        </w:rPr>
        <w:t>os</w:t>
      </w:r>
      <w:r w:rsidRPr="003210F5">
        <w:rPr>
          <w:rFonts w:eastAsiaTheme="minorEastAsia"/>
          <w:szCs w:val="22"/>
        </w:rPr>
        <w:t xml:space="preserve"> 1, 2, 4, 6, </w:t>
      </w:r>
      <w:r w:rsidRPr="003210F5" w:rsidR="0047708A">
        <w:rPr>
          <w:rFonts w:eastAsiaTheme="minorEastAsia"/>
          <w:szCs w:val="22"/>
        </w:rPr>
        <w:t xml:space="preserve">7, </w:t>
      </w:r>
      <w:r w:rsidRPr="003210F5">
        <w:rPr>
          <w:rFonts w:eastAsiaTheme="minorEastAsia"/>
          <w:szCs w:val="22"/>
        </w:rPr>
        <w:t xml:space="preserve">10, 11, 13, 14, 16, 17, 19, 20, 26 à 28, 30 et 32 à 34 </w:t>
      </w:r>
      <w:r w:rsidRPr="003210F5">
        <w:t>tirés de l</w:t>
      </w:r>
      <w:r w:rsidRPr="003210F5" w:rsidR="003210F5">
        <w:t>’</w:t>
      </w:r>
      <w:r w:rsidRPr="003210F5">
        <w:t>article 3 de la Convention,</w:t>
      </w:r>
      <w:r w:rsidRPr="003210F5">
        <w:rPr>
          <w:rFonts w:eastAsiaTheme="minorEastAsia"/>
          <w:szCs w:val="22"/>
        </w:rPr>
        <w:t xml:space="preserve"> concernent</w:t>
      </w:r>
      <w:r w:rsidRPr="003210F5">
        <w:t xml:space="preserve"> leurs périodes de détention dans les locaux ouverts et en semi-liberté, la Cour estime qu</w:t>
      </w:r>
      <w:r w:rsidRPr="003210F5" w:rsidR="003210F5">
        <w:t>’</w:t>
      </w:r>
      <w:r w:rsidRPr="003210F5">
        <w:t>ils sont manifestement mal fondés et qu</w:t>
      </w:r>
      <w:r w:rsidRPr="003210F5" w:rsidR="003210F5">
        <w:t>’</w:t>
      </w:r>
      <w:r w:rsidRPr="003210F5">
        <w:t>il convient de les déclarer irrecevables en application de l</w:t>
      </w:r>
      <w:r w:rsidRPr="003210F5" w:rsidR="003210F5">
        <w:t>’</w:t>
      </w:r>
      <w:r w:rsidRPr="003210F5">
        <w:t>article 35 §§ 3 a) et 4 de la Convention.</w:t>
      </w:r>
    </w:p>
    <w:p w:rsidRPr="003210F5" w:rsidR="003A74F0" w:rsidP="003210F5" w:rsidRDefault="003A74F0" w14:paraId="6EE6A5D4" w14:textId="3337734E">
      <w:pPr>
        <w:pStyle w:val="JuHA"/>
      </w:pPr>
      <w:r w:rsidRPr="003210F5">
        <w:t>La détention dans l</w:t>
      </w:r>
      <w:r w:rsidRPr="003210F5" w:rsidR="003210F5">
        <w:t>’</w:t>
      </w:r>
      <w:r w:rsidRPr="003210F5">
        <w:t>immeuble A et dans le local spécial des étrangers (locaux fermés)</w:t>
      </w:r>
    </w:p>
    <w:p w:rsidRPr="003210F5" w:rsidR="003A74F0" w:rsidP="003210F5" w:rsidRDefault="003A74F0" w14:paraId="2174AE6D" w14:textId="2E112ED0">
      <w:pPr>
        <w:pStyle w:val="JuPara"/>
        <w:rPr>
          <w:rFonts w:asciiTheme="majorHAnsi" w:hAnsiTheme="majorHAnsi" w:eastAsiaTheme="majorEastAsia" w:cstheme="majorBidi"/>
          <w:bCs/>
          <w:caps/>
          <w:szCs w:val="26"/>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108</w:t>
      </w:r>
      <w:r w:rsidRPr="003210F5">
        <w:rPr>
          <w:rFonts w:eastAsiaTheme="minorEastAsia"/>
        </w:rPr>
        <w:fldChar w:fldCharType="end"/>
      </w:r>
      <w:r w:rsidRPr="003210F5">
        <w:rPr>
          <w:rFonts w:eastAsiaTheme="minorEastAsia"/>
        </w:rPr>
        <w:t>.  La Cour note que les requérants désignés sous les n</w:t>
      </w:r>
      <w:r w:rsidRPr="003210F5">
        <w:rPr>
          <w:rFonts w:eastAsiaTheme="minorEastAsia"/>
          <w:vertAlign w:val="superscript"/>
        </w:rPr>
        <w:t>os</w:t>
      </w:r>
      <w:r w:rsidRPr="003210F5">
        <w:rPr>
          <w:rFonts w:eastAsiaTheme="minorEastAsia"/>
        </w:rPr>
        <w:t xml:space="preserve"> </w:t>
      </w:r>
      <w:bookmarkStart w:name="_Hlk62747798" w:id="57"/>
      <w:r w:rsidRPr="003210F5">
        <w:rPr>
          <w:rFonts w:eastAsiaTheme="minorEastAsia"/>
        </w:rPr>
        <w:t>1, 2, 4, 6, 10 à 14, 16, 17, 19, 20, 26 à 28, 30 et 32 à 34 ont été détenus dans l</w:t>
      </w:r>
      <w:r w:rsidRPr="003210F5" w:rsidR="003210F5">
        <w:rPr>
          <w:rFonts w:eastAsiaTheme="minorEastAsia"/>
        </w:rPr>
        <w:t>’</w:t>
      </w:r>
      <w:r w:rsidRPr="003210F5">
        <w:rPr>
          <w:rFonts w:eastAsiaTheme="minorEastAsia"/>
        </w:rPr>
        <w:t>immeuble A pendant certaines périodes qui sont indiquées en détail dans le tableau précité ci-</w:t>
      </w:r>
      <w:r w:rsidRPr="003210F5">
        <w:t>dessus (</w:t>
      </w:r>
      <w:r w:rsidRPr="003210F5">
        <w:rPr>
          <w:rFonts w:eastAsiaTheme="minorEastAsia"/>
        </w:rPr>
        <w:t>paragraphe 4). Les requérants désignés sous les n</w:t>
      </w:r>
      <w:r w:rsidRPr="003210F5">
        <w:rPr>
          <w:rFonts w:eastAsiaTheme="minorEastAsia"/>
          <w:vertAlign w:val="superscript"/>
        </w:rPr>
        <w:t>os</w:t>
      </w:r>
      <w:r w:rsidRPr="003210F5">
        <w:rPr>
          <w:rFonts w:eastAsiaTheme="minorEastAsia"/>
        </w:rPr>
        <w:t xml:space="preserve"> 11, 13, 16, 20 et 26</w:t>
      </w:r>
      <w:bookmarkEnd w:id="57"/>
      <w:r w:rsidRPr="003210F5">
        <w:rPr>
          <w:rFonts w:eastAsiaTheme="minorEastAsia"/>
        </w:rPr>
        <w:t xml:space="preserve"> étaient en outre détenus pendant certaines périodes dans le local spécial où séjournaient les étrangers en instance d</w:t>
      </w:r>
      <w:r w:rsidRPr="003210F5" w:rsidR="003210F5">
        <w:rPr>
          <w:rFonts w:eastAsiaTheme="minorEastAsia"/>
        </w:rPr>
        <w:t>’</w:t>
      </w:r>
      <w:r w:rsidRPr="003210F5">
        <w:rPr>
          <w:rFonts w:eastAsiaTheme="minorEastAsia"/>
        </w:rPr>
        <w:t>expulsion. Il ressort du dossier que ces locaux étaient sous un régime de prison fermée.</w:t>
      </w:r>
    </w:p>
    <w:p w:rsidRPr="003210F5" w:rsidR="003A74F0" w:rsidP="003210F5" w:rsidRDefault="003A74F0" w14:paraId="1454618B" w14:textId="77777777">
      <w:pPr>
        <w:pStyle w:val="JuH1"/>
      </w:pPr>
      <w:r w:rsidRPr="003210F5">
        <w:t xml:space="preserve">Sur la </w:t>
      </w:r>
      <w:r w:rsidRPr="003210F5">
        <w:rPr>
          <w:lang w:val="en-GB"/>
        </w:rPr>
        <w:t>recevabilité</w:t>
      </w:r>
    </w:p>
    <w:p w:rsidRPr="003210F5" w:rsidR="003A74F0" w:rsidP="003210F5" w:rsidRDefault="003A74F0" w14:paraId="042ED217" w14:textId="338310FA">
      <w:pPr>
        <w:ind w:firstLine="284"/>
        <w:jc w:val="both"/>
      </w:pPr>
      <w:r w:rsidRPr="003210F5">
        <w:rPr>
          <w:rStyle w:val="JuParaChar"/>
        </w:rPr>
        <w:fldChar w:fldCharType="begin"/>
      </w:r>
      <w:r w:rsidRPr="003210F5">
        <w:rPr>
          <w:rStyle w:val="JuParaChar"/>
        </w:rPr>
        <w:instrText xml:space="preserve"> SEQ level0 \*arabic </w:instrText>
      </w:r>
      <w:r w:rsidRPr="003210F5">
        <w:rPr>
          <w:rStyle w:val="JuParaChar"/>
        </w:rPr>
        <w:fldChar w:fldCharType="separate"/>
      </w:r>
      <w:r w:rsidRPr="003210F5" w:rsidR="003210F5">
        <w:rPr>
          <w:rStyle w:val="JuParaChar"/>
          <w:noProof/>
        </w:rPr>
        <w:t>109</w:t>
      </w:r>
      <w:r w:rsidRPr="003210F5">
        <w:rPr>
          <w:rStyle w:val="JuParaChar"/>
        </w:rPr>
        <w:fldChar w:fldCharType="end"/>
      </w:r>
      <w:r w:rsidRPr="003210F5">
        <w:rPr>
          <w:rStyle w:val="JuParaChar"/>
        </w:rPr>
        <w:t>.</w:t>
      </w:r>
      <w:bookmarkStart w:name="_Hlk62828641" w:id="58"/>
      <w:r w:rsidRPr="003210F5">
        <w:rPr>
          <w:rStyle w:val="JuParaChar"/>
        </w:rPr>
        <w:t>  La Cour constate que la partie de la requête relative aux requérants nos 1, 2, 4, 6, 10 à 14, 16, 17, 19, 20, 26 à 28, 30, 32 à 34, pour autant qu</w:t>
      </w:r>
      <w:r w:rsidRPr="003210F5" w:rsidR="003210F5">
        <w:rPr>
          <w:rStyle w:val="JuParaChar"/>
        </w:rPr>
        <w:t>’</w:t>
      </w:r>
      <w:r w:rsidRPr="003210F5">
        <w:rPr>
          <w:rStyle w:val="JuParaChar"/>
        </w:rPr>
        <w:t>elle concerne les conditions pendant leur période de détention dans des locaux de la prison qui fonctionnaient en tant que prison fermée n</w:t>
      </w:r>
      <w:r w:rsidRPr="003210F5" w:rsidR="003210F5">
        <w:rPr>
          <w:rStyle w:val="JuParaChar"/>
        </w:rPr>
        <w:t>’</w:t>
      </w:r>
      <w:r w:rsidRPr="003210F5">
        <w:rPr>
          <w:rStyle w:val="JuParaChar"/>
        </w:rPr>
        <w:t>est pas manifestement mal fondée au sens de l</w:t>
      </w:r>
      <w:r w:rsidRPr="003210F5" w:rsidR="003210F5">
        <w:rPr>
          <w:rStyle w:val="JuParaChar"/>
        </w:rPr>
        <w:t>’</w:t>
      </w:r>
      <w:r w:rsidRPr="003210F5">
        <w:rPr>
          <w:rStyle w:val="JuParaChar"/>
        </w:rPr>
        <w:t>article 35 § 3 a) de la Convention et qu</w:t>
      </w:r>
      <w:r w:rsidRPr="003210F5" w:rsidR="003210F5">
        <w:rPr>
          <w:rStyle w:val="JuParaChar"/>
        </w:rPr>
        <w:t>’</w:t>
      </w:r>
      <w:r w:rsidRPr="003210F5">
        <w:rPr>
          <w:rStyle w:val="JuParaChar"/>
        </w:rPr>
        <w:t>elle ne se heurte par ailleurs à aucun autre motif d</w:t>
      </w:r>
      <w:r w:rsidRPr="003210F5" w:rsidR="003210F5">
        <w:rPr>
          <w:rStyle w:val="JuParaChar"/>
        </w:rPr>
        <w:t>’</w:t>
      </w:r>
      <w:r w:rsidRPr="003210F5">
        <w:rPr>
          <w:rStyle w:val="JuParaChar"/>
        </w:rPr>
        <w:t>irrecevabilité. Elle la déclare donc recevable.</w:t>
      </w:r>
    </w:p>
    <w:bookmarkEnd w:id="58"/>
    <w:p w:rsidRPr="003210F5" w:rsidR="003A74F0" w:rsidP="003210F5" w:rsidRDefault="003A74F0" w14:paraId="133E5F80" w14:textId="77777777">
      <w:pPr>
        <w:pStyle w:val="JuH1"/>
      </w:pPr>
      <w:r w:rsidRPr="003210F5">
        <w:t>Sur le fond</w:t>
      </w:r>
    </w:p>
    <w:p w:rsidRPr="003210F5" w:rsidR="003A74F0" w:rsidP="003210F5" w:rsidRDefault="003A74F0" w14:paraId="5AE26C3E" w14:textId="77777777">
      <w:pPr>
        <w:pStyle w:val="JuHa0"/>
      </w:pPr>
      <w:r w:rsidRPr="003210F5">
        <w:t xml:space="preserve">Les </w:t>
      </w:r>
      <w:r w:rsidRPr="003210F5">
        <w:rPr>
          <w:lang w:val="en-GB"/>
        </w:rPr>
        <w:t>arguments</w:t>
      </w:r>
      <w:r w:rsidRPr="003210F5">
        <w:t xml:space="preserve"> des parties</w:t>
      </w:r>
    </w:p>
    <w:bookmarkStart w:name="onehundredthirteen" w:id="59"/>
    <w:p w:rsidRPr="003210F5" w:rsidR="003A74F0" w:rsidP="003210F5" w:rsidRDefault="003A74F0" w14:paraId="3B5F6FF3" w14:textId="5A4B3EBB">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110</w:t>
      </w:r>
      <w:r w:rsidRPr="003210F5">
        <w:rPr>
          <w:rFonts w:eastAsiaTheme="minorEastAsia"/>
        </w:rPr>
        <w:fldChar w:fldCharType="end"/>
      </w:r>
      <w:bookmarkEnd w:id="59"/>
      <w:r w:rsidRPr="003210F5">
        <w:rPr>
          <w:rFonts w:eastAsiaTheme="minorEastAsia"/>
        </w:rPr>
        <w:t xml:space="preserve">.  En ce qui concerne les arguments des parties la Cour renvoie aux paragraphes </w:t>
      </w:r>
      <w:r w:rsidRPr="003210F5">
        <w:rPr>
          <w:rFonts w:eastAsiaTheme="minorEastAsia"/>
        </w:rPr>
        <w:fldChar w:fldCharType="begin"/>
      </w:r>
      <w:r w:rsidRPr="003210F5">
        <w:rPr>
          <w:rFonts w:eastAsiaTheme="minorEastAsia"/>
        </w:rPr>
        <w:instrText xml:space="preserve"> REF seventysix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83</w:t>
      </w:r>
      <w:r w:rsidRPr="003210F5">
        <w:rPr>
          <w:rFonts w:eastAsiaTheme="minorEastAsia"/>
        </w:rPr>
        <w:fldChar w:fldCharType="end"/>
      </w:r>
      <w:r w:rsidRPr="003210F5">
        <w:rPr>
          <w:rFonts w:eastAsiaTheme="minorEastAsia"/>
        </w:rPr>
        <w:t>-</w:t>
      </w:r>
      <w:r w:rsidRPr="003210F5">
        <w:rPr>
          <w:rFonts w:eastAsiaTheme="minorEastAsia"/>
        </w:rPr>
        <w:fldChar w:fldCharType="begin"/>
      </w:r>
      <w:r w:rsidRPr="003210F5">
        <w:rPr>
          <w:rFonts w:eastAsiaTheme="minorEastAsia"/>
        </w:rPr>
        <w:instrText xml:space="preserve"> REF eightythree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90</w:t>
      </w:r>
      <w:r w:rsidRPr="003210F5">
        <w:rPr>
          <w:rFonts w:eastAsiaTheme="minorEastAsia"/>
        </w:rPr>
        <w:fldChar w:fldCharType="end"/>
      </w:r>
      <w:r w:rsidRPr="003210F5">
        <w:rPr>
          <w:rFonts w:eastAsiaTheme="minorEastAsia"/>
        </w:rPr>
        <w:t xml:space="preserve"> ci-dessus pour ceux avancés par les requérants et aux paragraphes </w:t>
      </w:r>
      <w:r w:rsidRPr="003210F5">
        <w:rPr>
          <w:rFonts w:eastAsiaTheme="minorEastAsia"/>
        </w:rPr>
        <w:fldChar w:fldCharType="begin"/>
      </w:r>
      <w:r w:rsidRPr="003210F5">
        <w:rPr>
          <w:rFonts w:eastAsiaTheme="minorEastAsia"/>
        </w:rPr>
        <w:instrText xml:space="preserve"> REF eightyfour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76</w:t>
      </w:r>
      <w:r w:rsidRPr="003210F5">
        <w:rPr>
          <w:rFonts w:eastAsiaTheme="minorEastAsia"/>
        </w:rPr>
        <w:fldChar w:fldCharType="end"/>
      </w:r>
      <w:r w:rsidRPr="003210F5">
        <w:rPr>
          <w:rFonts w:eastAsiaTheme="minorEastAsia"/>
        </w:rPr>
        <w:t>-</w:t>
      </w:r>
      <w:r w:rsidRPr="003210F5">
        <w:rPr>
          <w:rFonts w:eastAsiaTheme="minorEastAsia"/>
        </w:rPr>
        <w:fldChar w:fldCharType="begin"/>
      </w:r>
      <w:r w:rsidRPr="003210F5">
        <w:rPr>
          <w:rFonts w:eastAsiaTheme="minorEastAsia"/>
        </w:rPr>
        <w:instrText xml:space="preserve"> REF ninetythree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82</w:t>
      </w:r>
      <w:r w:rsidRPr="003210F5">
        <w:rPr>
          <w:rFonts w:eastAsiaTheme="minorEastAsia"/>
        </w:rPr>
        <w:fldChar w:fldCharType="end"/>
      </w:r>
      <w:r w:rsidRPr="003210F5">
        <w:rPr>
          <w:rFonts w:eastAsiaTheme="minorEastAsia"/>
        </w:rPr>
        <w:t xml:space="preserve"> ci-dessus pour ceux avancés par le </w:t>
      </w:r>
      <w:r w:rsidRPr="003210F5" w:rsidR="006103D9">
        <w:rPr>
          <w:rFonts w:eastAsiaTheme="minorEastAsia"/>
        </w:rPr>
        <w:t>Gouvernement</w:t>
      </w:r>
      <w:r w:rsidRPr="003210F5">
        <w:rPr>
          <w:rFonts w:eastAsiaTheme="minorEastAsia"/>
        </w:rPr>
        <w:t>.</w:t>
      </w:r>
    </w:p>
    <w:p w:rsidRPr="003210F5" w:rsidR="003A74F0" w:rsidP="003210F5" w:rsidRDefault="003A74F0" w14:paraId="5756868E" w14:textId="6DEC0421">
      <w:pPr>
        <w:pStyle w:val="JuHa0"/>
      </w:pPr>
      <w:r w:rsidRPr="003210F5">
        <w:rPr>
          <w:lang w:val="en-GB"/>
        </w:rPr>
        <w:t>L</w:t>
      </w:r>
      <w:r w:rsidRPr="003210F5" w:rsidR="003210F5">
        <w:rPr>
          <w:lang w:val="en-GB"/>
        </w:rPr>
        <w:t>’</w:t>
      </w:r>
      <w:r w:rsidRPr="003210F5">
        <w:rPr>
          <w:lang w:val="en-GB"/>
        </w:rPr>
        <w:t>appréciation</w:t>
      </w:r>
      <w:r w:rsidRPr="003210F5">
        <w:t xml:space="preserve"> de la Cour</w:t>
      </w:r>
    </w:p>
    <w:bookmarkStart w:name="_Hlk62740202" w:id="60"/>
    <w:p w:rsidRPr="003210F5" w:rsidR="003A74F0" w:rsidP="003210F5" w:rsidRDefault="003A74F0" w14:paraId="2D74E827" w14:textId="2CC7EFF2">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111</w:t>
      </w:r>
      <w:r w:rsidRPr="003210F5">
        <w:rPr>
          <w:rFonts w:eastAsiaTheme="minorEastAsia"/>
        </w:rPr>
        <w:fldChar w:fldCharType="end"/>
      </w:r>
      <w:r w:rsidRPr="003210F5">
        <w:rPr>
          <w:rFonts w:eastAsiaTheme="minorEastAsia"/>
        </w:rPr>
        <w:t>.  Concernant les principes généraux d</w:t>
      </w:r>
      <w:r w:rsidRPr="003210F5" w:rsidR="003210F5">
        <w:rPr>
          <w:rFonts w:eastAsiaTheme="minorEastAsia"/>
        </w:rPr>
        <w:t>’</w:t>
      </w:r>
      <w:r w:rsidRPr="003210F5">
        <w:rPr>
          <w:rFonts w:eastAsiaTheme="minorEastAsia"/>
        </w:rPr>
        <w:t>application de l</w:t>
      </w:r>
      <w:r w:rsidRPr="003210F5" w:rsidR="003210F5">
        <w:rPr>
          <w:rFonts w:eastAsiaTheme="minorEastAsia"/>
        </w:rPr>
        <w:t>’</w:t>
      </w:r>
      <w:r w:rsidRPr="003210F5">
        <w:rPr>
          <w:rFonts w:eastAsiaTheme="minorEastAsia"/>
        </w:rPr>
        <w:t>article 3 de la Convention dans des affaires soulevant des questions similaires à celles qui se posent en l</w:t>
      </w:r>
      <w:r w:rsidRPr="003210F5" w:rsidR="003210F5">
        <w:rPr>
          <w:rFonts w:eastAsiaTheme="minorEastAsia"/>
        </w:rPr>
        <w:t>’</w:t>
      </w:r>
      <w:r w:rsidRPr="003210F5">
        <w:rPr>
          <w:rFonts w:eastAsiaTheme="minorEastAsia"/>
        </w:rPr>
        <w:t>espèce, la Cour renvoie à sa jurisprudence pertinente en la matière (</w:t>
      </w:r>
      <w:r w:rsidRPr="003210F5">
        <w:rPr>
          <w:rFonts w:eastAsiaTheme="minorEastAsia"/>
          <w:i/>
          <w:iCs/>
        </w:rPr>
        <w:t xml:space="preserve">Muršić c. Croatie </w:t>
      </w:r>
      <w:r w:rsidRPr="003210F5">
        <w:rPr>
          <w:rFonts w:eastAsiaTheme="minorEastAsia"/>
        </w:rPr>
        <w:t>[GC], précité, §§ 96</w:t>
      </w:r>
      <w:r w:rsidRPr="003210F5">
        <w:rPr>
          <w:rFonts w:eastAsiaTheme="minorEastAsia"/>
        </w:rPr>
        <w:noBreakHyphen/>
        <w:t xml:space="preserve">141, paragraphes </w:t>
      </w:r>
      <w:r w:rsidRPr="003210F5">
        <w:rPr>
          <w:rFonts w:eastAsiaTheme="minorEastAsia"/>
        </w:rPr>
        <w:fldChar w:fldCharType="begin"/>
      </w:r>
      <w:r w:rsidRPr="003210F5">
        <w:rPr>
          <w:rFonts w:eastAsiaTheme="minorEastAsia"/>
        </w:rPr>
        <w:instrText xml:space="preserve"> REF ninetyfour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91</w:t>
      </w:r>
      <w:r w:rsidRPr="003210F5">
        <w:rPr>
          <w:rFonts w:eastAsiaTheme="minorEastAsia"/>
        </w:rPr>
        <w:fldChar w:fldCharType="end"/>
      </w:r>
      <w:r w:rsidRPr="003210F5">
        <w:rPr>
          <w:rFonts w:eastAsiaTheme="minorEastAsia"/>
        </w:rPr>
        <w:t>-</w:t>
      </w:r>
      <w:r w:rsidRPr="003210F5">
        <w:rPr>
          <w:rFonts w:eastAsiaTheme="minorEastAsia"/>
        </w:rPr>
        <w:fldChar w:fldCharType="begin"/>
      </w:r>
      <w:r w:rsidRPr="003210F5">
        <w:rPr>
          <w:rFonts w:eastAsiaTheme="minorEastAsia"/>
        </w:rPr>
        <w:instrText xml:space="preserve"> REF ninetysix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93</w:t>
      </w:r>
      <w:r w:rsidRPr="003210F5">
        <w:rPr>
          <w:rFonts w:eastAsiaTheme="minorEastAsia"/>
        </w:rPr>
        <w:fldChar w:fldCharType="end"/>
      </w:r>
      <w:r w:rsidRPr="003210F5">
        <w:rPr>
          <w:rFonts w:eastAsiaTheme="minorEastAsia"/>
        </w:rPr>
        <w:t xml:space="preserve"> ci</w:t>
      </w:r>
      <w:r w:rsidRPr="003210F5">
        <w:rPr>
          <w:rFonts w:eastAsiaTheme="minorEastAsia"/>
        </w:rPr>
        <w:noBreakHyphen/>
        <w:t>dessus).</w:t>
      </w:r>
      <w:bookmarkEnd w:id="60"/>
    </w:p>
    <w:bookmarkStart w:name="_Hlk62742498" w:id="61"/>
    <w:bookmarkStart w:name="_Hlk62746633" w:id="62"/>
    <w:p w:rsidRPr="003210F5" w:rsidR="003A74F0" w:rsidP="003210F5" w:rsidRDefault="003A74F0" w14:paraId="78FAEF97" w14:textId="4E3173C7">
      <w:pPr>
        <w:pStyle w:val="JuPara"/>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112</w:t>
      </w:r>
      <w:r w:rsidRPr="003210F5">
        <w:rPr>
          <w:rFonts w:cs="Times New Roman" w:eastAsiaTheme="minorEastAsia"/>
          <w:szCs w:val="22"/>
        </w:rPr>
        <w:fldChar w:fldCharType="end"/>
      </w:r>
      <w:r w:rsidRPr="003210F5">
        <w:rPr>
          <w:rFonts w:cs="Times New Roman" w:eastAsiaTheme="minorEastAsia"/>
          <w:szCs w:val="22"/>
        </w:rPr>
        <w:t>.</w:t>
      </w:r>
      <w:bookmarkEnd w:id="61"/>
      <w:r w:rsidRPr="003210F5">
        <w:rPr>
          <w:rFonts w:cs="Times New Roman" w:eastAsiaTheme="minorEastAsia"/>
          <w:szCs w:val="22"/>
        </w:rPr>
        <w:t>  </w:t>
      </w:r>
      <w:r w:rsidRPr="003210F5">
        <w:t>La Cour constate qu</w:t>
      </w:r>
      <w:r w:rsidRPr="003210F5" w:rsidR="003210F5">
        <w:t>’</w:t>
      </w:r>
      <w:r w:rsidRPr="003210F5">
        <w:t>en ce qui concerne les griefs relatifs à la toxicomanie, au tabagisme passif ainsi qu</w:t>
      </w:r>
      <w:r w:rsidRPr="003210F5" w:rsidR="003210F5">
        <w:t>’</w:t>
      </w:r>
      <w:r w:rsidRPr="003210F5">
        <w:t>au suivi médical, aucune information précise n</w:t>
      </w:r>
      <w:r w:rsidRPr="003210F5" w:rsidR="003210F5">
        <w:t>’</w:t>
      </w:r>
      <w:r w:rsidRPr="003210F5">
        <w:t>a été soumise à la Cour afin d</w:t>
      </w:r>
      <w:r w:rsidRPr="003210F5" w:rsidR="003210F5">
        <w:t>’</w:t>
      </w:r>
      <w:r w:rsidRPr="003210F5">
        <w:t>identifier qui étaient les détenus affectés. Les requérants n</w:t>
      </w:r>
      <w:r w:rsidRPr="003210F5" w:rsidR="003210F5">
        <w:t>’</w:t>
      </w:r>
      <w:r w:rsidRPr="003210F5">
        <w:t>ont pas précisé s</w:t>
      </w:r>
      <w:r w:rsidRPr="003210F5" w:rsidR="003210F5">
        <w:t>’</w:t>
      </w:r>
      <w:r w:rsidRPr="003210F5">
        <w:t>ils ont été effectivement lésés ni, dans l</w:t>
      </w:r>
      <w:r w:rsidRPr="003210F5" w:rsidR="003210F5">
        <w:t>’</w:t>
      </w:r>
      <w:r w:rsidRPr="003210F5">
        <w:t>affirmative, à quel point. Concernant l</w:t>
      </w:r>
      <w:r w:rsidRPr="003210F5" w:rsidR="003210F5">
        <w:t>’</w:t>
      </w:r>
      <w:r w:rsidRPr="003210F5">
        <w:t>allégation tirée d</w:t>
      </w:r>
      <w:r w:rsidRPr="003210F5" w:rsidR="003210F5">
        <w:t>’</w:t>
      </w:r>
      <w:r w:rsidRPr="003210F5">
        <w:t>une publication des agents pénitentiaires de la prison selon laquelle au moins la moitié des détenus étaient des toxicomanes, la Cour note que cette publication n</w:t>
      </w:r>
      <w:r w:rsidRPr="003210F5" w:rsidR="003210F5">
        <w:t>’</w:t>
      </w:r>
      <w:r w:rsidRPr="003210F5">
        <w:t>a pas été produite devant elle.</w:t>
      </w:r>
    </w:p>
    <w:p w:rsidRPr="003210F5" w:rsidR="003A74F0" w:rsidP="003210F5" w:rsidRDefault="003A74F0" w14:paraId="4DC66260" w14:textId="013C8364">
      <w:pPr>
        <w:pStyle w:val="JuPara"/>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113</w:t>
      </w:r>
      <w:r w:rsidRPr="003210F5">
        <w:rPr>
          <w:rFonts w:cs="Times New Roman" w:eastAsiaTheme="minorEastAsia"/>
          <w:szCs w:val="22"/>
        </w:rPr>
        <w:fldChar w:fldCharType="end"/>
      </w:r>
      <w:r w:rsidRPr="003210F5">
        <w:rPr>
          <w:rFonts w:cs="Times New Roman" w:eastAsiaTheme="minorEastAsia"/>
          <w:szCs w:val="22"/>
        </w:rPr>
        <w:t>.  </w:t>
      </w:r>
      <w:r w:rsidRPr="003210F5">
        <w:t>Concernant le suivi médical ou pharmaceutique des détenus atteints de problèmes de santé, les requérants n</w:t>
      </w:r>
      <w:r w:rsidRPr="003210F5" w:rsidR="003210F5">
        <w:t>’</w:t>
      </w:r>
      <w:r w:rsidRPr="003210F5">
        <w:t>ont fourni aucun élément pertinent ni formulé de griefs concrets relatifs au manque de suivi. En tout état de cause, le Gouvernement fournit une liste détaillée avec les noms des requérants ainsi que les dates des soins médicaux et des soins dentaires reçus.</w:t>
      </w:r>
    </w:p>
    <w:p w:rsidRPr="003210F5" w:rsidR="003A74F0" w:rsidP="003210F5" w:rsidRDefault="003A74F0" w14:paraId="4EB8D3B7" w14:textId="63A6A307">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114</w:t>
      </w:r>
      <w:r w:rsidRPr="003210F5">
        <w:rPr>
          <w:rFonts w:eastAsiaTheme="minorEastAsia"/>
        </w:rPr>
        <w:fldChar w:fldCharType="end"/>
      </w:r>
      <w:r w:rsidRPr="003210F5">
        <w:rPr>
          <w:rFonts w:eastAsiaTheme="minorEastAsia"/>
        </w:rPr>
        <w:t xml:space="preserve">.  La </w:t>
      </w:r>
      <w:r w:rsidRPr="003210F5">
        <w:t xml:space="preserve">Cour estime que les allégations précitées des requérants sont vagues, non individualisées et non étayées. </w:t>
      </w:r>
      <w:r w:rsidRPr="003210F5">
        <w:rPr>
          <w:rFonts w:eastAsiaTheme="minorEastAsia"/>
        </w:rPr>
        <w:t>Elle précise d</w:t>
      </w:r>
      <w:r w:rsidRPr="003210F5" w:rsidR="003210F5">
        <w:rPr>
          <w:rFonts w:eastAsiaTheme="minorEastAsia"/>
        </w:rPr>
        <w:t>’</w:t>
      </w:r>
      <w:r w:rsidRPr="003210F5">
        <w:rPr>
          <w:rFonts w:eastAsiaTheme="minorEastAsia"/>
        </w:rPr>
        <w:t>emblée qu</w:t>
      </w:r>
      <w:r w:rsidRPr="003210F5" w:rsidR="003210F5">
        <w:rPr>
          <w:rFonts w:eastAsiaTheme="minorEastAsia"/>
        </w:rPr>
        <w:t>’</w:t>
      </w:r>
      <w:r w:rsidRPr="003210F5">
        <w:rPr>
          <w:rFonts w:eastAsiaTheme="minorEastAsia"/>
        </w:rPr>
        <w:t>il lui faut limiter son examen aux griefs tirés des conditions générales de détention des requérants dans la prison de Kassandra.</w:t>
      </w:r>
      <w:bookmarkEnd w:id="62"/>
    </w:p>
    <w:bookmarkStart w:name="_Hlk62746272" w:id="63"/>
    <w:p w:rsidRPr="003210F5" w:rsidR="003A74F0" w:rsidP="003210F5" w:rsidRDefault="003A74F0" w14:paraId="29EAF7C3" w14:textId="4ECA1B86">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115</w:t>
      </w:r>
      <w:r w:rsidRPr="003210F5">
        <w:rPr>
          <w:rFonts w:eastAsiaTheme="minorEastAsia"/>
        </w:rPr>
        <w:fldChar w:fldCharType="end"/>
      </w:r>
      <w:r w:rsidRPr="003210F5">
        <w:rPr>
          <w:rFonts w:eastAsiaTheme="minorEastAsia"/>
        </w:rPr>
        <w:t>.  Quant à la surpopulation, notamment en ce qui concerne le nombre des détenus par chambrée, mais aussi les autres conditions dans la prison de Kassandra, les thèses des parties s</w:t>
      </w:r>
      <w:r w:rsidRPr="003210F5" w:rsidR="003210F5">
        <w:rPr>
          <w:rFonts w:eastAsiaTheme="minorEastAsia"/>
        </w:rPr>
        <w:t>’</w:t>
      </w:r>
      <w:r w:rsidRPr="003210F5">
        <w:rPr>
          <w:rFonts w:eastAsiaTheme="minorEastAsia"/>
        </w:rPr>
        <w:t>opposent. Pour former son opinion, la Cour se fondera sur les constats qu</w:t>
      </w:r>
      <w:r w:rsidRPr="003210F5" w:rsidR="003210F5">
        <w:rPr>
          <w:rFonts w:eastAsiaTheme="minorEastAsia"/>
        </w:rPr>
        <w:t>’</w:t>
      </w:r>
      <w:r w:rsidRPr="003210F5">
        <w:rPr>
          <w:rFonts w:eastAsiaTheme="minorEastAsia"/>
        </w:rPr>
        <w:t>elle considère établis car non contestés par les requérants et sur les éléments les plus objectifs en attachant alors plus d</w:t>
      </w:r>
      <w:r w:rsidRPr="003210F5" w:rsidR="003210F5">
        <w:rPr>
          <w:rFonts w:eastAsiaTheme="minorEastAsia"/>
        </w:rPr>
        <w:t>’</w:t>
      </w:r>
      <w:r w:rsidRPr="003210F5">
        <w:rPr>
          <w:rFonts w:eastAsiaTheme="minorEastAsia"/>
        </w:rPr>
        <w:t>importance aux observations qui sont confirmées par les constats du médiateur,</w:t>
      </w:r>
      <w:r w:rsidRPr="003210F5">
        <w:t xml:space="preserve"> </w:t>
      </w:r>
      <w:r w:rsidRPr="003210F5">
        <w:rPr>
          <w:rFonts w:eastAsiaTheme="minorEastAsia"/>
        </w:rPr>
        <w:t>ainsi qu</w:t>
      </w:r>
      <w:r w:rsidRPr="003210F5" w:rsidR="003210F5">
        <w:rPr>
          <w:rFonts w:eastAsiaTheme="minorEastAsia"/>
        </w:rPr>
        <w:t>’</w:t>
      </w:r>
      <w:r w:rsidRPr="003210F5">
        <w:rPr>
          <w:rFonts w:eastAsiaTheme="minorEastAsia"/>
        </w:rPr>
        <w:t>il a été expliqué ci-dessus (voir paragraphe 94).</w:t>
      </w:r>
    </w:p>
    <w:bookmarkEnd w:id="63"/>
    <w:p w:rsidRPr="003210F5" w:rsidR="003A74F0" w:rsidP="003210F5" w:rsidRDefault="003A74F0" w14:paraId="2602B1EF" w14:textId="7798B158">
      <w:pPr>
        <w:pStyle w:val="JuPara"/>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116</w:t>
      </w:r>
      <w:r w:rsidRPr="003210F5">
        <w:rPr>
          <w:rFonts w:cs="Times New Roman" w:eastAsiaTheme="minorEastAsia"/>
          <w:szCs w:val="22"/>
        </w:rPr>
        <w:fldChar w:fldCharType="end"/>
      </w:r>
      <w:r w:rsidRPr="003210F5">
        <w:rPr>
          <w:rFonts w:cs="Times New Roman" w:eastAsiaTheme="minorEastAsia"/>
          <w:szCs w:val="22"/>
        </w:rPr>
        <w:t>.  </w:t>
      </w:r>
      <w:r w:rsidRPr="003210F5">
        <w:t>La Cour rappelle que, selon les informations fournies par le médiateur de la République, à la date du 22 janvier 2014, 32 détenus séjournaient dans l</w:t>
      </w:r>
      <w:r w:rsidRPr="003210F5" w:rsidR="003210F5">
        <w:t>’</w:t>
      </w:r>
      <w:r w:rsidRPr="003210F5">
        <w:t>immeuble A, qui fonctionnait en tant que prison fermée d</w:t>
      </w:r>
      <w:r w:rsidRPr="003210F5" w:rsidR="003210F5">
        <w:t>’</w:t>
      </w:r>
      <w:r w:rsidRPr="003210F5">
        <w:t>une capacité de 80 personnes. La capacité de l</w:t>
      </w:r>
      <w:r w:rsidRPr="003210F5" w:rsidR="003210F5">
        <w:t>’</w:t>
      </w:r>
      <w:r w:rsidRPr="003210F5">
        <w:t>immeuble est confirmée par l</w:t>
      </w:r>
      <w:r w:rsidRPr="003210F5" w:rsidR="003210F5">
        <w:t>’</w:t>
      </w:r>
      <w:r w:rsidRPr="003210F5">
        <w:t>arrêté ministériel n</w:t>
      </w:r>
      <w:r w:rsidRPr="003210F5">
        <w:rPr>
          <w:vertAlign w:val="superscript"/>
        </w:rPr>
        <w:t xml:space="preserve">o </w:t>
      </w:r>
      <w:r w:rsidRPr="003210F5">
        <w:t>93316 du 15 novembre 2013.</w:t>
      </w:r>
    </w:p>
    <w:p w:rsidRPr="003210F5" w:rsidR="003A74F0" w:rsidP="003210F5" w:rsidRDefault="003A74F0" w14:paraId="5070DD10" w14:textId="07805026">
      <w:pPr>
        <w:pStyle w:val="JuPara"/>
        <w:rPr>
          <w:rFonts w:ascii="Times New Roman" w:hAnsi="Times New Roman" w:eastAsia="Times New Roman"/>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117</w:t>
      </w:r>
      <w:r w:rsidRPr="003210F5">
        <w:rPr>
          <w:rFonts w:eastAsiaTheme="minorEastAsia"/>
        </w:rPr>
        <w:fldChar w:fldCharType="end"/>
      </w:r>
      <w:r w:rsidRPr="003210F5">
        <w:rPr>
          <w:rFonts w:eastAsiaTheme="minorEastAsia"/>
        </w:rPr>
        <w:t>.  Selon la déclaration du directeur de la prison et le rapport du médiateur, le nombre de chambrées dans l</w:t>
      </w:r>
      <w:r w:rsidRPr="003210F5" w:rsidR="003210F5">
        <w:rPr>
          <w:rFonts w:eastAsiaTheme="minorEastAsia"/>
        </w:rPr>
        <w:t>’</w:t>
      </w:r>
      <w:r w:rsidRPr="003210F5">
        <w:rPr>
          <w:rFonts w:eastAsiaTheme="minorEastAsia"/>
        </w:rPr>
        <w:t xml:space="preserve">immeuble A, la superficie de chaque chambrée et le nombre de détenus par chambrée sont identiques à ceux qui ont été exposés concernant les immeubles B et C, auxquels la Cour renvoie (paragraphe </w:t>
      </w:r>
      <w:r w:rsidRPr="003210F5">
        <w:rPr>
          <w:rFonts w:eastAsiaTheme="minorEastAsia"/>
        </w:rPr>
        <w:fldChar w:fldCharType="begin"/>
      </w:r>
      <w:r w:rsidRPr="003210F5">
        <w:rPr>
          <w:rFonts w:eastAsiaTheme="minorEastAsia"/>
        </w:rPr>
        <w:instrText xml:space="preserve"> REF onehundred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101</w:t>
      </w:r>
      <w:r w:rsidRPr="003210F5">
        <w:rPr>
          <w:rFonts w:eastAsiaTheme="minorEastAsia"/>
        </w:rPr>
        <w:fldChar w:fldCharType="end"/>
      </w:r>
      <w:r w:rsidRPr="003210F5">
        <w:rPr>
          <w:rFonts w:eastAsiaTheme="minorEastAsia"/>
        </w:rPr>
        <w:t>)</w:t>
      </w:r>
      <w:r w:rsidRPr="003210F5">
        <w:rPr>
          <w:rFonts w:ascii="Times New Roman" w:hAnsi="Times New Roman" w:eastAsia="Times New Roman"/>
        </w:rPr>
        <w:t>.</w:t>
      </w:r>
    </w:p>
    <w:p w:rsidRPr="003210F5" w:rsidR="003A74F0" w:rsidP="003210F5" w:rsidRDefault="003A74F0" w14:paraId="14DD9458" w14:textId="2198D0CD">
      <w:pPr>
        <w:pStyle w:val="JuPara"/>
        <w:rPr>
          <w:rFonts w:cs="Times New Roman" w:eastAsiaTheme="minorEastAsia"/>
          <w:bCs/>
          <w:szCs w:val="22"/>
        </w:rPr>
      </w:pPr>
      <w:r w:rsidRPr="003210F5">
        <w:rPr>
          <w:rFonts w:cs="Times New Roman" w:eastAsiaTheme="minorEastAsia"/>
          <w:szCs w:val="22"/>
        </w:rPr>
        <w:fldChar w:fldCharType="begin"/>
      </w:r>
      <w:r w:rsidRPr="003210F5">
        <w:rPr>
          <w:rFonts w:cs="Times New Roman" w:eastAsiaTheme="minorEastAsia"/>
          <w:szCs w:val="22"/>
        </w:rPr>
        <w:instrText xml:space="preserve"> SEQ level0 \*arabic </w:instrText>
      </w:r>
      <w:r w:rsidRPr="003210F5">
        <w:rPr>
          <w:rFonts w:cs="Times New Roman" w:eastAsiaTheme="minorEastAsia"/>
          <w:szCs w:val="22"/>
        </w:rPr>
        <w:fldChar w:fldCharType="separate"/>
      </w:r>
      <w:r w:rsidRPr="003210F5" w:rsidR="003210F5">
        <w:rPr>
          <w:rFonts w:cs="Times New Roman" w:eastAsiaTheme="minorEastAsia"/>
          <w:noProof/>
          <w:szCs w:val="22"/>
        </w:rPr>
        <w:t>118</w:t>
      </w:r>
      <w:r w:rsidRPr="003210F5">
        <w:rPr>
          <w:rFonts w:cs="Times New Roman" w:eastAsiaTheme="minorEastAsia"/>
          <w:szCs w:val="22"/>
        </w:rPr>
        <w:fldChar w:fldCharType="end"/>
      </w:r>
      <w:r w:rsidRPr="003210F5">
        <w:rPr>
          <w:rFonts w:cs="Times New Roman" w:eastAsiaTheme="minorEastAsia"/>
          <w:szCs w:val="22"/>
        </w:rPr>
        <w:t>.  Par ailleurs, concernant les conditions de détention spécifiques et relatives à l</w:t>
      </w:r>
      <w:r w:rsidRPr="003210F5" w:rsidR="003210F5">
        <w:rPr>
          <w:rFonts w:cs="Times New Roman" w:eastAsiaTheme="minorEastAsia"/>
          <w:szCs w:val="22"/>
        </w:rPr>
        <w:t>’</w:t>
      </w:r>
      <w:r w:rsidRPr="003210F5">
        <w:rPr>
          <w:rFonts w:cs="Times New Roman" w:eastAsiaTheme="minorEastAsia"/>
          <w:szCs w:val="22"/>
        </w:rPr>
        <w:t xml:space="preserve">immeuble A, </w:t>
      </w:r>
      <w:r w:rsidRPr="003210F5">
        <w:rPr>
          <w:rFonts w:ascii="Times New Roman" w:hAnsi="Times New Roman" w:eastAsia="Times New Roman" w:cs="Times New Roman"/>
        </w:rPr>
        <w:t>la Cour observe que les détenus dans cet immeuble pouvaient utiliser, hormis la cour interne, une cour commune accessible par tous les immeubles. Les détenus sortaient pendant cinq heures et demie le matin et deux heures et demie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après-midi ou travaillaient à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intérieur des immeubles. Puisque le matin les détenus des immeubles B et C travaillaient en dehors des immeubles, les détenus de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immeuble A pouvaient aussi se promener seuls dans la cour commune.</w:t>
      </w:r>
      <w:r w:rsidRPr="003210F5">
        <w:rPr>
          <w:rFonts w:cs="Times New Roman" w:eastAsiaTheme="minorEastAsia"/>
          <w:bCs/>
          <w:szCs w:val="22"/>
        </w:rPr>
        <w:t xml:space="preserve"> Ces éléments prouvent que ces requérants disposaient d</w:t>
      </w:r>
      <w:r w:rsidRPr="003210F5" w:rsidR="003210F5">
        <w:rPr>
          <w:rFonts w:cs="Times New Roman" w:eastAsiaTheme="minorEastAsia"/>
          <w:bCs/>
          <w:szCs w:val="22"/>
        </w:rPr>
        <w:t>’</w:t>
      </w:r>
      <w:r w:rsidRPr="003210F5">
        <w:rPr>
          <w:rFonts w:cs="Times New Roman" w:eastAsiaTheme="minorEastAsia"/>
          <w:bCs/>
          <w:szCs w:val="22"/>
        </w:rPr>
        <w:t>une grande liberté de mouvement pendant la journée en dehors des chambrées.</w:t>
      </w:r>
    </w:p>
    <w:bookmarkStart w:name="onehundredtwentytwo" w:id="64"/>
    <w:p w:rsidRPr="003210F5" w:rsidR="003A74F0" w:rsidP="003210F5" w:rsidRDefault="003A74F0" w14:paraId="1390AC2B" w14:textId="733569C5">
      <w:pPr>
        <w:pStyle w:val="JuPara"/>
        <w:rPr>
          <w:rFonts w:eastAsia="Times New Roman"/>
        </w:rPr>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119</w:t>
      </w:r>
      <w:r w:rsidRPr="003210F5">
        <w:rPr>
          <w:rFonts w:eastAsiaTheme="minorEastAsia"/>
          <w:szCs w:val="22"/>
        </w:rPr>
        <w:fldChar w:fldCharType="end"/>
      </w:r>
      <w:bookmarkEnd w:id="64"/>
      <w:r w:rsidRPr="003210F5">
        <w:rPr>
          <w:rFonts w:eastAsiaTheme="minorEastAsia"/>
          <w:szCs w:val="22"/>
        </w:rPr>
        <w:t>.  En ce qui concerne l</w:t>
      </w:r>
      <w:r w:rsidRPr="003210F5" w:rsidR="003210F5">
        <w:rPr>
          <w:rFonts w:eastAsiaTheme="minorEastAsia"/>
          <w:szCs w:val="22"/>
        </w:rPr>
        <w:t>’</w:t>
      </w:r>
      <w:r w:rsidRPr="003210F5">
        <w:rPr>
          <w:rFonts w:eastAsiaTheme="minorEastAsia"/>
          <w:szCs w:val="22"/>
        </w:rPr>
        <w:t xml:space="preserve">alimentation, la Cour accorde du crédit aux observations du Gouvernement et aux comptes rendus du médiateur </w:t>
      </w:r>
      <w:r w:rsidRPr="003210F5">
        <w:rPr>
          <w:rFonts w:eastAsia="Times New Roman"/>
        </w:rPr>
        <w:t>qui a dit que l</w:t>
      </w:r>
      <w:r w:rsidRPr="003210F5" w:rsidR="003210F5">
        <w:rPr>
          <w:rFonts w:eastAsia="Times New Roman"/>
        </w:rPr>
        <w:t>’</w:t>
      </w:r>
      <w:r w:rsidRPr="003210F5">
        <w:rPr>
          <w:rFonts w:eastAsia="Times New Roman"/>
        </w:rPr>
        <w:t>établissement disposait d</w:t>
      </w:r>
      <w:r w:rsidRPr="003210F5" w:rsidR="003210F5">
        <w:rPr>
          <w:rFonts w:eastAsia="Times New Roman"/>
        </w:rPr>
        <w:t>’</w:t>
      </w:r>
      <w:r w:rsidRPr="003210F5">
        <w:rPr>
          <w:rFonts w:eastAsia="Times New Roman"/>
        </w:rPr>
        <w:t>un four à pain et qu</w:t>
      </w:r>
      <w:r w:rsidRPr="003210F5" w:rsidR="003210F5">
        <w:rPr>
          <w:rFonts w:eastAsia="Times New Roman"/>
        </w:rPr>
        <w:t>’</w:t>
      </w:r>
      <w:r w:rsidRPr="003210F5">
        <w:rPr>
          <w:rFonts w:eastAsia="Times New Roman"/>
        </w:rPr>
        <w:t>une partie du lait, du fromage, des légumes produits et de la viande des animaux élevés dans la prison servait à l</w:t>
      </w:r>
      <w:r w:rsidRPr="003210F5" w:rsidR="003210F5">
        <w:rPr>
          <w:rFonts w:eastAsia="Times New Roman"/>
        </w:rPr>
        <w:t>’</w:t>
      </w:r>
      <w:r w:rsidRPr="003210F5">
        <w:rPr>
          <w:rFonts w:eastAsia="Times New Roman"/>
        </w:rPr>
        <w:t>alimentation des détenus. Elle observe qu</w:t>
      </w:r>
      <w:r w:rsidRPr="003210F5" w:rsidR="003210F5">
        <w:rPr>
          <w:rFonts w:eastAsia="Times New Roman"/>
        </w:rPr>
        <w:t>’</w:t>
      </w:r>
      <w:r w:rsidRPr="003210F5">
        <w:rPr>
          <w:rFonts w:eastAsia="Times New Roman"/>
        </w:rPr>
        <w:t xml:space="preserve">en premier lieu </w:t>
      </w:r>
      <w:r w:rsidRPr="003210F5">
        <w:rPr>
          <w:rFonts w:eastAsiaTheme="minorEastAsia"/>
          <w:szCs w:val="22"/>
        </w:rPr>
        <w:t xml:space="preserve">le Gouvernement a fourni des fiches indiquant un menu hebdomadaire assez varié et que, en second lieu, le médiateur a noté que </w:t>
      </w:r>
      <w:r w:rsidRPr="003210F5">
        <w:rPr>
          <w:rFonts w:eastAsia="Times New Roman"/>
        </w:rPr>
        <w:t>l</w:t>
      </w:r>
      <w:r w:rsidRPr="003210F5" w:rsidR="003210F5">
        <w:rPr>
          <w:rFonts w:eastAsia="Times New Roman"/>
        </w:rPr>
        <w:t>’</w:t>
      </w:r>
      <w:r w:rsidRPr="003210F5">
        <w:rPr>
          <w:rFonts w:eastAsia="Times New Roman"/>
        </w:rPr>
        <w:t>excédent des produits alimentaires était fourni aux autres établissements pénitentiaires, ce qui dénote une certaine autosuffisance dans ce domaine. Elle n</w:t>
      </w:r>
      <w:r w:rsidRPr="003210F5" w:rsidR="003210F5">
        <w:rPr>
          <w:rFonts w:eastAsia="Times New Roman"/>
        </w:rPr>
        <w:t>’</w:t>
      </w:r>
      <w:r w:rsidRPr="003210F5">
        <w:rPr>
          <w:rFonts w:eastAsia="Times New Roman"/>
        </w:rPr>
        <w:t>est donc pas convaincue par la thèse des requérants selon laquelle les détenus connaissaient des problèmes pour ce qui est de la quantité et de la qualité de nourriture.</w:t>
      </w:r>
    </w:p>
    <w:p w:rsidRPr="003210F5" w:rsidR="003A74F0" w:rsidP="003210F5" w:rsidRDefault="003A74F0" w14:paraId="3029A9F1" w14:textId="664148DD">
      <w:pPr>
        <w:pStyle w:val="JuPara"/>
        <w:rPr>
          <w:rFonts w:ascii="Times New Roman" w:hAnsi="Times New Roman" w:eastAsia="Times New Roman"/>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120</w:t>
      </w:r>
      <w:r w:rsidRPr="003210F5">
        <w:rPr>
          <w:rFonts w:eastAsiaTheme="minorEastAsia"/>
        </w:rPr>
        <w:fldChar w:fldCharType="end"/>
      </w:r>
      <w:r w:rsidRPr="003210F5">
        <w:rPr>
          <w:rFonts w:eastAsiaTheme="minorEastAsia"/>
        </w:rPr>
        <w:t>.  La Cour note de surcroit qu</w:t>
      </w:r>
      <w:r w:rsidRPr="003210F5" w:rsidR="003210F5">
        <w:rPr>
          <w:rFonts w:eastAsiaTheme="minorEastAsia"/>
        </w:rPr>
        <w:t>’</w:t>
      </w:r>
      <w:r w:rsidRPr="003210F5">
        <w:rPr>
          <w:rFonts w:eastAsiaTheme="minorEastAsia"/>
        </w:rPr>
        <w:t>en ce qui concerne l</w:t>
      </w:r>
      <w:r w:rsidRPr="003210F5" w:rsidR="003210F5">
        <w:rPr>
          <w:rFonts w:eastAsiaTheme="minorEastAsia"/>
        </w:rPr>
        <w:t>’</w:t>
      </w:r>
      <w:r w:rsidRPr="003210F5">
        <w:rPr>
          <w:rFonts w:eastAsiaTheme="minorEastAsia"/>
        </w:rPr>
        <w:t>hygiène le Gouvernement a produit des factures d</w:t>
      </w:r>
      <w:r w:rsidRPr="003210F5" w:rsidR="003210F5">
        <w:rPr>
          <w:rFonts w:eastAsiaTheme="minorEastAsia"/>
        </w:rPr>
        <w:t>’</w:t>
      </w:r>
      <w:r w:rsidRPr="003210F5">
        <w:rPr>
          <w:rFonts w:eastAsiaTheme="minorEastAsia"/>
        </w:rPr>
        <w:t xml:space="preserve">une société privée qui désinfectait des parties de la prison, et que le médiateur a constaté que </w:t>
      </w:r>
      <w:r w:rsidRPr="003210F5">
        <w:rPr>
          <w:rFonts w:ascii="Times New Roman" w:hAnsi="Times New Roman" w:eastAsia="Times New Roman"/>
        </w:rPr>
        <w:t>les besoins relatifs aux produits d</w:t>
      </w:r>
      <w:r w:rsidRPr="003210F5" w:rsidR="003210F5">
        <w:rPr>
          <w:rFonts w:ascii="Times New Roman" w:hAnsi="Times New Roman" w:eastAsia="Times New Roman"/>
        </w:rPr>
        <w:t>’</w:t>
      </w:r>
      <w:r w:rsidRPr="003210F5">
        <w:rPr>
          <w:rFonts w:ascii="Times New Roman" w:hAnsi="Times New Roman" w:eastAsia="Times New Roman"/>
        </w:rPr>
        <w:t>hygiène et aux vêtements étaient couverts par des dons de l</w:t>
      </w:r>
      <w:r w:rsidRPr="003210F5" w:rsidR="003210F5">
        <w:rPr>
          <w:rFonts w:ascii="Times New Roman" w:hAnsi="Times New Roman" w:eastAsia="Times New Roman"/>
        </w:rPr>
        <w:t>’</w:t>
      </w:r>
      <w:r w:rsidRPr="003210F5">
        <w:rPr>
          <w:rFonts w:ascii="Times New Roman" w:hAnsi="Times New Roman" w:eastAsia="Times New Roman"/>
        </w:rPr>
        <w:t>église et des citoyens.</w:t>
      </w:r>
    </w:p>
    <w:bookmarkStart w:name="_Hlk62742479" w:id="65"/>
    <w:p w:rsidRPr="003210F5" w:rsidR="003A74F0" w:rsidP="003210F5" w:rsidRDefault="003A74F0" w14:paraId="49693E7E" w14:textId="362B1DAA">
      <w:pPr>
        <w:pStyle w:val="JuPara"/>
        <w:rPr>
          <w:rFonts w:ascii="Times New Roman" w:hAnsi="Times New Roman" w:eastAsia="Times New Roman"/>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121</w:t>
      </w:r>
      <w:r w:rsidRPr="003210F5">
        <w:rPr>
          <w:rFonts w:eastAsiaTheme="minorEastAsia"/>
        </w:rPr>
        <w:fldChar w:fldCharType="end"/>
      </w:r>
      <w:r w:rsidRPr="003210F5">
        <w:rPr>
          <w:rFonts w:eastAsiaTheme="minorEastAsia"/>
        </w:rPr>
        <w:t>. </w:t>
      </w:r>
      <w:bookmarkEnd w:id="65"/>
      <w:r w:rsidRPr="003210F5">
        <w:rPr>
          <w:rFonts w:eastAsiaTheme="minorEastAsia"/>
        </w:rPr>
        <w:t> La Cour observe que les détenus avaient accès à certaines activités. Le médiateur a affirmé que les chambrées étaient équipées de téléviseurs, qu</w:t>
      </w:r>
      <w:r w:rsidRPr="003210F5" w:rsidR="003210F5">
        <w:rPr>
          <w:rFonts w:eastAsiaTheme="minorEastAsia"/>
        </w:rPr>
        <w:t>’</w:t>
      </w:r>
      <w:r w:rsidRPr="003210F5">
        <w:rPr>
          <w:rFonts w:eastAsiaTheme="minorEastAsia"/>
        </w:rPr>
        <w:t xml:space="preserve">il y avait </w:t>
      </w:r>
      <w:r w:rsidRPr="003210F5">
        <w:rPr>
          <w:rFonts w:ascii="Times New Roman" w:hAnsi="Times New Roman" w:eastAsia="Times New Roman"/>
        </w:rPr>
        <w:t>un terrain de sports par immeuble</w:t>
      </w:r>
      <w:r w:rsidRPr="003210F5">
        <w:rPr>
          <w:rFonts w:eastAsiaTheme="minorEastAsia"/>
        </w:rPr>
        <w:t xml:space="preserve"> et une </w:t>
      </w:r>
      <w:r w:rsidRPr="003210F5">
        <w:rPr>
          <w:rFonts w:ascii="Times New Roman" w:hAnsi="Times New Roman" w:eastAsia="Times New Roman"/>
        </w:rPr>
        <w:t>bibliothèque. Un programme d</w:t>
      </w:r>
      <w:r w:rsidRPr="003210F5" w:rsidR="003210F5">
        <w:rPr>
          <w:rFonts w:ascii="Times New Roman" w:hAnsi="Times New Roman" w:eastAsia="Times New Roman"/>
        </w:rPr>
        <w:t>’</w:t>
      </w:r>
      <w:r w:rsidRPr="003210F5">
        <w:rPr>
          <w:rFonts w:ascii="Times New Roman" w:hAnsi="Times New Roman" w:eastAsia="Times New Roman"/>
        </w:rPr>
        <w:t>activités sportives était organisé trois fois par semaine ainsi que des matches de football. Les autorisations de sortie étaient fréquentes.</w:t>
      </w:r>
    </w:p>
    <w:bookmarkStart w:name="onehundredtwentyfive" w:id="66"/>
    <w:p w:rsidRPr="003210F5" w:rsidR="003A74F0" w:rsidP="003210F5" w:rsidRDefault="003A74F0" w14:paraId="658F4D99" w14:textId="70B910ED">
      <w:pPr>
        <w:pStyle w:val="JuPara"/>
        <w:rPr>
          <w:rFonts w:eastAsia="Times New Roman"/>
        </w:rPr>
      </w:pPr>
      <w:r w:rsidRPr="003210F5">
        <w:rPr>
          <w:rFonts w:eastAsiaTheme="minorEastAsia"/>
          <w:szCs w:val="22"/>
        </w:rPr>
        <w:fldChar w:fldCharType="begin"/>
      </w:r>
      <w:r w:rsidRPr="003210F5">
        <w:rPr>
          <w:rFonts w:eastAsiaTheme="minorEastAsia"/>
          <w:szCs w:val="22"/>
        </w:rPr>
        <w:instrText xml:space="preserve"> SEQ level0 \*arabic </w:instrText>
      </w:r>
      <w:r w:rsidRPr="003210F5">
        <w:rPr>
          <w:rFonts w:eastAsiaTheme="minorEastAsia"/>
          <w:szCs w:val="22"/>
        </w:rPr>
        <w:fldChar w:fldCharType="separate"/>
      </w:r>
      <w:r w:rsidRPr="003210F5" w:rsidR="003210F5">
        <w:rPr>
          <w:rFonts w:eastAsiaTheme="minorEastAsia"/>
          <w:noProof/>
          <w:szCs w:val="22"/>
        </w:rPr>
        <w:t>122</w:t>
      </w:r>
      <w:r w:rsidRPr="003210F5">
        <w:rPr>
          <w:rFonts w:eastAsiaTheme="minorEastAsia"/>
          <w:szCs w:val="22"/>
        </w:rPr>
        <w:fldChar w:fldCharType="end"/>
      </w:r>
      <w:bookmarkEnd w:id="66"/>
      <w:r w:rsidRPr="003210F5">
        <w:rPr>
          <w:rFonts w:eastAsiaTheme="minorEastAsia"/>
          <w:szCs w:val="22"/>
        </w:rPr>
        <w:t xml:space="preserve">.  La Cour prend note des observations des requérants et des affirmations du </w:t>
      </w:r>
      <w:r w:rsidRPr="003210F5">
        <w:rPr>
          <w:rFonts w:eastAsia="Times New Roman"/>
        </w:rPr>
        <w:t>médiateur faisant état de problèmes relatifs aux infrastructures immobilières, au chauffage et à l</w:t>
      </w:r>
      <w:r w:rsidRPr="003210F5" w:rsidR="003210F5">
        <w:rPr>
          <w:rFonts w:eastAsia="Times New Roman"/>
        </w:rPr>
        <w:t>’</w:t>
      </w:r>
      <w:r w:rsidRPr="003210F5">
        <w:rPr>
          <w:rFonts w:eastAsia="Times New Roman"/>
        </w:rPr>
        <w:t xml:space="preserve">eau chaude. Or, elle estime que ces éléments ne sauraient suffire en eux-mêmes pour conclure à une violation </w:t>
      </w:r>
      <w:bookmarkStart w:name="_Hlk62824264" w:id="67"/>
      <w:r w:rsidRPr="003210F5">
        <w:rPr>
          <w:rFonts w:eastAsia="Times New Roman"/>
        </w:rPr>
        <w:t>de l</w:t>
      </w:r>
      <w:r w:rsidRPr="003210F5" w:rsidR="003210F5">
        <w:rPr>
          <w:rFonts w:eastAsia="Times New Roman"/>
        </w:rPr>
        <w:t>’</w:t>
      </w:r>
      <w:r w:rsidRPr="003210F5">
        <w:rPr>
          <w:rFonts w:eastAsia="Times New Roman"/>
        </w:rPr>
        <w:t>article 3 de la Convention.</w:t>
      </w:r>
    </w:p>
    <w:bookmarkEnd w:id="67"/>
    <w:p w:rsidRPr="003210F5" w:rsidR="003A74F0" w:rsidP="003210F5" w:rsidRDefault="003A74F0" w14:paraId="45A0E104" w14:textId="22691DE4">
      <w:pPr>
        <w:pStyle w:val="JuPara"/>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123</w:t>
      </w:r>
      <w:r w:rsidRPr="003210F5">
        <w:rPr>
          <w:rFonts w:eastAsiaTheme="minorEastAsia"/>
        </w:rPr>
        <w:fldChar w:fldCharType="end"/>
      </w:r>
      <w:r w:rsidRPr="003210F5">
        <w:rPr>
          <w:rFonts w:eastAsiaTheme="minorEastAsia"/>
        </w:rPr>
        <w:t xml:space="preserve">.  Les requérants désignés </w:t>
      </w:r>
      <w:bookmarkStart w:name="_Hlk62747226" w:id="68"/>
      <w:r w:rsidRPr="003210F5">
        <w:rPr>
          <w:rFonts w:eastAsiaTheme="minorEastAsia"/>
        </w:rPr>
        <w:t>sous les n</w:t>
      </w:r>
      <w:r w:rsidRPr="003210F5">
        <w:rPr>
          <w:rFonts w:eastAsiaTheme="minorEastAsia"/>
          <w:vertAlign w:val="superscript"/>
        </w:rPr>
        <w:t xml:space="preserve">os </w:t>
      </w:r>
      <w:r w:rsidRPr="003210F5">
        <w:rPr>
          <w:rFonts w:eastAsiaTheme="minorEastAsia"/>
        </w:rPr>
        <w:t xml:space="preserve">11, 13, 16, 20 et 26 ont été en outre détenus pendant une certaine durée </w:t>
      </w:r>
      <w:r w:rsidRPr="003210F5">
        <w:t xml:space="preserve">dans </w:t>
      </w:r>
      <w:r w:rsidRPr="003210F5">
        <w:rPr>
          <w:rFonts w:eastAsia="Times New Roman"/>
        </w:rPr>
        <w:t>le local spécial où séjournaient les étrangers en instance d</w:t>
      </w:r>
      <w:r w:rsidRPr="003210F5" w:rsidR="003210F5">
        <w:rPr>
          <w:rFonts w:eastAsia="Times New Roman"/>
        </w:rPr>
        <w:t>’</w:t>
      </w:r>
      <w:r w:rsidRPr="003210F5">
        <w:rPr>
          <w:rFonts w:eastAsia="Times New Roman"/>
        </w:rPr>
        <w:t>expulsion.</w:t>
      </w:r>
      <w:bookmarkEnd w:id="68"/>
      <w:r w:rsidRPr="003210F5">
        <w:rPr>
          <w:rFonts w:eastAsia="Times New Roman"/>
        </w:rPr>
        <w:t xml:space="preserve"> La Cour note que les seuls éléments dans le dossier qui décrivent en particulier ce local sont les affirmations du Gouvernement selon lesquelles cet endroit était d</w:t>
      </w:r>
      <w:r w:rsidRPr="003210F5" w:rsidR="003210F5">
        <w:rPr>
          <w:rFonts w:eastAsia="Times New Roman"/>
        </w:rPr>
        <w:t>’</w:t>
      </w:r>
      <w:r w:rsidRPr="003210F5">
        <w:rPr>
          <w:rFonts w:eastAsia="Times New Roman"/>
        </w:rPr>
        <w:t>une superficie de 27,30 m</w:t>
      </w:r>
      <w:r w:rsidRPr="003210F5">
        <w:rPr>
          <w:rFonts w:eastAsia="Times New Roman"/>
          <w:vertAlign w:val="superscript"/>
        </w:rPr>
        <w:t>2</w:t>
      </w:r>
      <w:r w:rsidRPr="003210F5">
        <w:rPr>
          <w:rFonts w:eastAsia="Times New Roman"/>
        </w:rPr>
        <w:t xml:space="preserve"> et disposait d</w:t>
      </w:r>
      <w:r w:rsidRPr="003210F5" w:rsidR="003210F5">
        <w:rPr>
          <w:rFonts w:eastAsia="Times New Roman"/>
        </w:rPr>
        <w:t>’</w:t>
      </w:r>
      <w:r w:rsidRPr="003210F5">
        <w:rPr>
          <w:rFonts w:eastAsia="Times New Roman"/>
        </w:rPr>
        <w:t>un cabinet de toilette et d</w:t>
      </w:r>
      <w:r w:rsidRPr="003210F5" w:rsidR="003210F5">
        <w:rPr>
          <w:rFonts w:eastAsia="Times New Roman"/>
        </w:rPr>
        <w:t>’</w:t>
      </w:r>
      <w:r w:rsidRPr="003210F5">
        <w:rPr>
          <w:rFonts w:eastAsia="Times New Roman"/>
        </w:rPr>
        <w:t>une douche. Il était équipé de lits, de cintres, d</w:t>
      </w:r>
      <w:r w:rsidRPr="003210F5" w:rsidR="003210F5">
        <w:rPr>
          <w:rFonts w:eastAsia="Times New Roman"/>
        </w:rPr>
        <w:t>’</w:t>
      </w:r>
      <w:r w:rsidRPr="003210F5">
        <w:rPr>
          <w:rFonts w:eastAsia="Times New Roman"/>
        </w:rPr>
        <w:t>un téléviseur, d</w:t>
      </w:r>
      <w:r w:rsidRPr="003210F5" w:rsidR="003210F5">
        <w:rPr>
          <w:rFonts w:eastAsia="Times New Roman"/>
        </w:rPr>
        <w:t>’</w:t>
      </w:r>
      <w:r w:rsidRPr="003210F5">
        <w:rPr>
          <w:rFonts w:eastAsia="Times New Roman"/>
        </w:rPr>
        <w:t>une table et d</w:t>
      </w:r>
      <w:r w:rsidRPr="003210F5" w:rsidR="003210F5">
        <w:rPr>
          <w:rFonts w:eastAsia="Times New Roman"/>
        </w:rPr>
        <w:t>’</w:t>
      </w:r>
      <w:r w:rsidRPr="003210F5">
        <w:rPr>
          <w:rFonts w:eastAsia="Times New Roman"/>
        </w:rPr>
        <w:t>un réfrigérateur. Il pouvait accueillir jusqu</w:t>
      </w:r>
      <w:r w:rsidRPr="003210F5" w:rsidR="003210F5">
        <w:rPr>
          <w:rFonts w:eastAsia="Times New Roman"/>
        </w:rPr>
        <w:t>’</w:t>
      </w:r>
      <w:r w:rsidRPr="003210F5">
        <w:rPr>
          <w:rFonts w:eastAsia="Times New Roman"/>
        </w:rPr>
        <w:t>à quatre personnes, de sorte que chaque détenu disposait d</w:t>
      </w:r>
      <w:r w:rsidRPr="003210F5" w:rsidR="003210F5">
        <w:rPr>
          <w:rFonts w:eastAsia="Times New Roman"/>
        </w:rPr>
        <w:t>’</w:t>
      </w:r>
      <w:r w:rsidRPr="003210F5">
        <w:rPr>
          <w:rFonts w:eastAsia="Times New Roman"/>
        </w:rPr>
        <w:t>environ 6,5 m</w:t>
      </w:r>
      <w:r w:rsidRPr="003210F5">
        <w:rPr>
          <w:rFonts w:eastAsia="Times New Roman"/>
          <w:vertAlign w:val="superscript"/>
        </w:rPr>
        <w:t xml:space="preserve">2 </w:t>
      </w:r>
      <w:r w:rsidRPr="003210F5">
        <w:rPr>
          <w:rFonts w:eastAsia="Times New Roman"/>
        </w:rPr>
        <w:t>d</w:t>
      </w:r>
      <w:r w:rsidRPr="003210F5" w:rsidR="003210F5">
        <w:rPr>
          <w:rFonts w:eastAsia="Times New Roman"/>
        </w:rPr>
        <w:t>’</w:t>
      </w:r>
      <w:r w:rsidRPr="003210F5">
        <w:rPr>
          <w:rFonts w:eastAsia="Times New Roman"/>
        </w:rPr>
        <w:t>espace personnel.</w:t>
      </w:r>
      <w:r w:rsidRPr="003210F5">
        <w:t xml:space="preserve"> Ces données ne sont pas contestées par les requérants.</w:t>
      </w:r>
    </w:p>
    <w:p w:rsidRPr="003210F5" w:rsidR="003A74F0" w:rsidP="003210F5" w:rsidRDefault="003A74F0" w14:paraId="47E528A6" w14:textId="252C8C7A">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124</w:t>
      </w:r>
      <w:r w:rsidRPr="003210F5">
        <w:rPr>
          <w:rFonts w:eastAsiaTheme="minorEastAsia"/>
        </w:rPr>
        <w:fldChar w:fldCharType="end"/>
      </w:r>
      <w:r w:rsidRPr="003210F5">
        <w:rPr>
          <w:rFonts w:eastAsiaTheme="minorEastAsia"/>
        </w:rPr>
        <w:t>. </w:t>
      </w:r>
      <w:r w:rsidRPr="003210F5" w:rsidR="00FF763E">
        <w:rPr>
          <w:rFonts w:eastAsiaTheme="minorEastAsia"/>
        </w:rPr>
        <w:t> </w:t>
      </w:r>
      <w:r w:rsidRPr="003210F5">
        <w:rPr>
          <w:rFonts w:eastAsiaTheme="minorEastAsia"/>
        </w:rPr>
        <w:t>Ces éléments, associés aux considérations exposées par la Cour concernant les conditions de détention générales dans la prison (paragraphes </w:t>
      </w:r>
      <w:r w:rsidRPr="003210F5">
        <w:rPr>
          <w:rFonts w:eastAsiaTheme="minorEastAsia"/>
        </w:rPr>
        <w:fldChar w:fldCharType="begin"/>
      </w:r>
      <w:r w:rsidRPr="003210F5">
        <w:rPr>
          <w:rFonts w:eastAsiaTheme="minorEastAsia"/>
        </w:rPr>
        <w:instrText xml:space="preserve"> REF onehundredtwentytwo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119</w:t>
      </w:r>
      <w:r w:rsidRPr="003210F5">
        <w:rPr>
          <w:rFonts w:eastAsiaTheme="minorEastAsia"/>
        </w:rPr>
        <w:fldChar w:fldCharType="end"/>
      </w:r>
      <w:r w:rsidRPr="003210F5">
        <w:rPr>
          <w:rFonts w:eastAsiaTheme="minorEastAsia"/>
        </w:rPr>
        <w:t xml:space="preserve"> - </w:t>
      </w:r>
      <w:r w:rsidRPr="003210F5">
        <w:rPr>
          <w:rFonts w:eastAsiaTheme="minorEastAsia"/>
        </w:rPr>
        <w:fldChar w:fldCharType="begin"/>
      </w:r>
      <w:r w:rsidRPr="003210F5">
        <w:rPr>
          <w:rFonts w:eastAsiaTheme="minorEastAsia"/>
        </w:rPr>
        <w:instrText xml:space="preserve"> REF onehundredtwentyfive \h  \* MERGEFORMAT </w:instrText>
      </w:r>
      <w:r w:rsidRPr="003210F5">
        <w:rPr>
          <w:rFonts w:eastAsiaTheme="minorEastAsia"/>
        </w:rPr>
      </w:r>
      <w:r w:rsidRPr="003210F5">
        <w:rPr>
          <w:rFonts w:eastAsiaTheme="minorEastAsia"/>
        </w:rPr>
        <w:fldChar w:fldCharType="separate"/>
      </w:r>
      <w:r w:rsidRPr="003210F5" w:rsidR="003210F5">
        <w:rPr>
          <w:rFonts w:eastAsiaTheme="minorEastAsia"/>
        </w:rPr>
        <w:t>122</w:t>
      </w:r>
      <w:r w:rsidRPr="003210F5">
        <w:rPr>
          <w:rFonts w:eastAsiaTheme="minorEastAsia"/>
        </w:rPr>
        <w:fldChar w:fldCharType="end"/>
      </w:r>
      <w:r w:rsidRPr="003210F5">
        <w:rPr>
          <w:rFonts w:eastAsiaTheme="minorEastAsia"/>
        </w:rPr>
        <w:t xml:space="preserve"> ci-dessus), qui valent aussi pour la détention dans cet espace, suffisent à la Cour pour </w:t>
      </w:r>
      <w:r w:rsidRPr="003210F5">
        <w:t xml:space="preserve">conclure </w:t>
      </w:r>
      <w:r w:rsidRPr="003210F5">
        <w:rPr>
          <w:rFonts w:eastAsiaTheme="minorEastAsia"/>
        </w:rPr>
        <w:t>que les requérants susmentionnés, pendant leur séjour dans le local des étrangers, n</w:t>
      </w:r>
      <w:r w:rsidRPr="003210F5" w:rsidR="003210F5">
        <w:rPr>
          <w:rFonts w:eastAsiaTheme="minorEastAsia"/>
        </w:rPr>
        <w:t>’</w:t>
      </w:r>
      <w:r w:rsidRPr="003210F5">
        <w:rPr>
          <w:rFonts w:eastAsiaTheme="minorEastAsia"/>
        </w:rPr>
        <w:t>étaient pas détenus dans des conditions constitutives d</w:t>
      </w:r>
      <w:r w:rsidRPr="003210F5" w:rsidR="003210F5">
        <w:rPr>
          <w:rFonts w:eastAsiaTheme="minorEastAsia"/>
        </w:rPr>
        <w:t>’</w:t>
      </w:r>
      <w:r w:rsidRPr="003210F5">
        <w:rPr>
          <w:rFonts w:eastAsiaTheme="minorEastAsia"/>
        </w:rPr>
        <w:t>un traitement inhumain ou dégradant.</w:t>
      </w:r>
    </w:p>
    <w:p w:rsidRPr="003210F5" w:rsidR="003A74F0" w:rsidP="003210F5" w:rsidRDefault="003A74F0" w14:paraId="3D554C1C" w14:textId="040870B3">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125</w:t>
      </w:r>
      <w:r w:rsidRPr="003210F5">
        <w:rPr>
          <w:rFonts w:eastAsiaTheme="minorEastAsia"/>
        </w:rPr>
        <w:fldChar w:fldCharType="end"/>
      </w:r>
      <w:r w:rsidRPr="003210F5">
        <w:rPr>
          <w:rFonts w:eastAsiaTheme="minorEastAsia"/>
        </w:rPr>
        <w:t>.  </w:t>
      </w:r>
      <w:r w:rsidRPr="003210F5">
        <w:t xml:space="preserve">La Cour estime que, dans ces circonstances, </w:t>
      </w:r>
      <w:r w:rsidRPr="003210F5">
        <w:rPr>
          <w:rFonts w:eastAsiaTheme="minorEastAsia"/>
        </w:rPr>
        <w:t>concernant les requérants désignés sous les n</w:t>
      </w:r>
      <w:r w:rsidRPr="003210F5">
        <w:rPr>
          <w:rFonts w:eastAsiaTheme="minorEastAsia"/>
          <w:vertAlign w:val="superscript"/>
        </w:rPr>
        <w:t>os</w:t>
      </w:r>
      <w:r w:rsidRPr="003210F5">
        <w:rPr>
          <w:rFonts w:eastAsiaTheme="minorEastAsia"/>
        </w:rPr>
        <w:t xml:space="preserve"> 1, 2, 4, 6, 10 à 14, 16, 17, 19, 20, 26 à 28, 30 et 32 à 34, </w:t>
      </w:r>
      <w:r w:rsidRPr="003210F5">
        <w:t>à la lumière des informations qui lui ont été fournies,</w:t>
      </w:r>
      <w:r w:rsidRPr="003210F5">
        <w:rPr>
          <w:rFonts w:eastAsiaTheme="minorEastAsia"/>
        </w:rPr>
        <w:t xml:space="preserve"> elle n</w:t>
      </w:r>
      <w:r w:rsidRPr="003210F5" w:rsidR="003210F5">
        <w:rPr>
          <w:rFonts w:eastAsiaTheme="minorEastAsia"/>
        </w:rPr>
        <w:t>’</w:t>
      </w:r>
      <w:r w:rsidRPr="003210F5">
        <w:rPr>
          <w:rFonts w:eastAsiaTheme="minorEastAsia"/>
        </w:rPr>
        <w:t>est pas en mesure de conclure que, pendant qu</w:t>
      </w:r>
      <w:r w:rsidRPr="003210F5" w:rsidR="003210F5">
        <w:rPr>
          <w:rFonts w:eastAsiaTheme="minorEastAsia"/>
        </w:rPr>
        <w:t>’</w:t>
      </w:r>
      <w:r w:rsidRPr="003210F5">
        <w:rPr>
          <w:rFonts w:eastAsiaTheme="minorEastAsia"/>
        </w:rPr>
        <w:t>ils étaient détenus dans l</w:t>
      </w:r>
      <w:r w:rsidRPr="003210F5" w:rsidR="003210F5">
        <w:rPr>
          <w:rFonts w:eastAsiaTheme="minorEastAsia"/>
        </w:rPr>
        <w:t>’</w:t>
      </w:r>
      <w:r w:rsidRPr="003210F5">
        <w:rPr>
          <w:rFonts w:eastAsiaTheme="minorEastAsia"/>
        </w:rPr>
        <w:t>immeuble A, ils ont été détenus dans des conditions constitutives d</w:t>
      </w:r>
      <w:r w:rsidRPr="003210F5" w:rsidR="003210F5">
        <w:rPr>
          <w:rFonts w:eastAsiaTheme="minorEastAsia"/>
        </w:rPr>
        <w:t>’</w:t>
      </w:r>
      <w:r w:rsidRPr="003210F5">
        <w:rPr>
          <w:rFonts w:eastAsiaTheme="minorEastAsia"/>
        </w:rPr>
        <w:t xml:space="preserve">un traitement inhumain ou dégradant. </w:t>
      </w:r>
      <w:r w:rsidRPr="003210F5">
        <w:t>Les conditions de détention des requérants susmentionnés ne sauraient donc être considérées comme contraires à l</w:t>
      </w:r>
      <w:r w:rsidRPr="003210F5" w:rsidR="003210F5">
        <w:t>’</w:t>
      </w:r>
      <w:r w:rsidRPr="003210F5">
        <w:t>article 3 de la Convention.</w:t>
      </w:r>
    </w:p>
    <w:p w:rsidRPr="003210F5" w:rsidR="003A74F0" w:rsidP="003210F5" w:rsidRDefault="003A74F0" w14:paraId="0C55A5EB" w14:textId="093FAF36">
      <w:pPr>
        <w:pStyle w:val="JuPara"/>
        <w:rPr>
          <w:rFonts w:ascii="Times New Roman" w:hAnsi="Times New Roman" w:eastAsia="Times New Roman"/>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126</w:t>
      </w:r>
      <w:r w:rsidRPr="003210F5">
        <w:rPr>
          <w:rFonts w:eastAsiaTheme="minorEastAsia"/>
        </w:rPr>
        <w:fldChar w:fldCharType="end"/>
      </w:r>
      <w:r w:rsidRPr="003210F5">
        <w:rPr>
          <w:rFonts w:eastAsiaTheme="minorEastAsia"/>
        </w:rPr>
        <w:t>.  La Cour note d</w:t>
      </w:r>
      <w:r w:rsidRPr="003210F5" w:rsidR="003210F5">
        <w:rPr>
          <w:rFonts w:eastAsiaTheme="minorEastAsia"/>
        </w:rPr>
        <w:t>’</w:t>
      </w:r>
      <w:r w:rsidRPr="003210F5">
        <w:rPr>
          <w:rFonts w:eastAsiaTheme="minorEastAsia"/>
        </w:rPr>
        <w:t>emblée qu</w:t>
      </w:r>
      <w:r w:rsidRPr="003210F5" w:rsidR="003210F5">
        <w:rPr>
          <w:rFonts w:eastAsiaTheme="minorEastAsia"/>
        </w:rPr>
        <w:t>’</w:t>
      </w:r>
      <w:r w:rsidRPr="003210F5">
        <w:rPr>
          <w:rFonts w:eastAsiaTheme="minorEastAsia"/>
        </w:rPr>
        <w:t>en ce qui concerne en particulier le requérant désigné sous le n</w:t>
      </w:r>
      <w:r w:rsidRPr="003210F5">
        <w:rPr>
          <w:rFonts w:eastAsiaTheme="minorEastAsia"/>
          <w:vertAlign w:val="superscript"/>
        </w:rPr>
        <w:t>o </w:t>
      </w:r>
      <w:r w:rsidRPr="003210F5">
        <w:rPr>
          <w:rFonts w:eastAsiaTheme="minorEastAsia"/>
        </w:rPr>
        <w:t>32, sa fiche de détention se réfère à sa détention du 11 octobre 2013 au 20 novembre 2013, une période postérieure du 30 avril 2013, date de l</w:t>
      </w:r>
      <w:r w:rsidRPr="003210F5" w:rsidR="003210F5">
        <w:rPr>
          <w:rFonts w:eastAsiaTheme="minorEastAsia"/>
        </w:rPr>
        <w:t>’</w:t>
      </w:r>
      <w:r w:rsidRPr="003210F5">
        <w:rPr>
          <w:rFonts w:eastAsiaTheme="minorEastAsia"/>
        </w:rPr>
        <w:t>introduction de la requête. Aucune information n</w:t>
      </w:r>
      <w:r w:rsidRPr="003210F5" w:rsidR="003210F5">
        <w:rPr>
          <w:rFonts w:eastAsiaTheme="minorEastAsia"/>
        </w:rPr>
        <w:t>’</w:t>
      </w:r>
      <w:r w:rsidRPr="003210F5">
        <w:rPr>
          <w:rFonts w:eastAsiaTheme="minorEastAsia"/>
        </w:rPr>
        <w:t>est fournie concernant sa détention jusqu</w:t>
      </w:r>
      <w:r w:rsidRPr="003210F5" w:rsidR="003210F5">
        <w:rPr>
          <w:rFonts w:eastAsiaTheme="minorEastAsia"/>
        </w:rPr>
        <w:t>’</w:t>
      </w:r>
      <w:r w:rsidRPr="003210F5">
        <w:rPr>
          <w:rFonts w:eastAsiaTheme="minorEastAsia"/>
        </w:rPr>
        <w:t>au 11 octobre 2013. Cependant, selon les informations fournies par ce requérant dans la requête, il était déjà détenu dans la prison de Kassandra à la date de la saisine de la Cour, ce qui ressort aussi du pouvoir qu</w:t>
      </w:r>
      <w:r w:rsidRPr="003210F5" w:rsidR="003210F5">
        <w:rPr>
          <w:rFonts w:eastAsiaTheme="minorEastAsia"/>
        </w:rPr>
        <w:t>’</w:t>
      </w:r>
      <w:r w:rsidRPr="003210F5">
        <w:rPr>
          <w:rFonts w:eastAsiaTheme="minorEastAsia"/>
        </w:rPr>
        <w:t>il avait signé et donné à ses représentantes, daté du 18</w:t>
      </w:r>
      <w:r w:rsidRPr="003210F5" w:rsidR="00A56D1D">
        <w:rPr>
          <w:rFonts w:eastAsiaTheme="minorEastAsia"/>
        </w:rPr>
        <w:t> </w:t>
      </w:r>
      <w:r w:rsidRPr="003210F5">
        <w:rPr>
          <w:rFonts w:eastAsiaTheme="minorEastAsia"/>
        </w:rPr>
        <w:t>janvier 2013 et portant le cachet de la prison de Kassandra, qui certifie l</w:t>
      </w:r>
      <w:r w:rsidRPr="003210F5" w:rsidR="003210F5">
        <w:rPr>
          <w:rFonts w:eastAsiaTheme="minorEastAsia"/>
        </w:rPr>
        <w:t>’</w:t>
      </w:r>
      <w:r w:rsidRPr="003210F5">
        <w:rPr>
          <w:rFonts w:eastAsiaTheme="minorEastAsia"/>
        </w:rPr>
        <w:t>authenticité de sa signature. Les parties ne présentent pas d</w:t>
      </w:r>
      <w:r w:rsidRPr="003210F5" w:rsidR="003210F5">
        <w:rPr>
          <w:rFonts w:eastAsiaTheme="minorEastAsia"/>
        </w:rPr>
        <w:t>’</w:t>
      </w:r>
      <w:r w:rsidRPr="003210F5">
        <w:rPr>
          <w:rFonts w:eastAsiaTheme="minorEastAsia"/>
        </w:rPr>
        <w:t>observations sur ce point. Dès lors, la Cour considère que ledit requérant était détenu dans la prison de Kassandra à la date d</w:t>
      </w:r>
      <w:r w:rsidRPr="003210F5" w:rsidR="003210F5">
        <w:rPr>
          <w:rFonts w:eastAsiaTheme="minorEastAsia"/>
        </w:rPr>
        <w:t>’</w:t>
      </w:r>
      <w:r w:rsidRPr="003210F5">
        <w:rPr>
          <w:rFonts w:eastAsiaTheme="minorEastAsia"/>
        </w:rPr>
        <w:t>introduction de la requête devant elle.</w:t>
      </w:r>
    </w:p>
    <w:bookmarkStart w:name="onehundredtwentynine" w:id="69"/>
    <w:p w:rsidRPr="003210F5" w:rsidR="003A74F0" w:rsidP="003210F5" w:rsidRDefault="003A74F0" w14:paraId="4CCAD062" w14:textId="2A9D40DB">
      <w:pPr>
        <w:pStyle w:val="JuPara"/>
        <w:rPr>
          <w:rFonts w:eastAsiaTheme="minorEastAsia"/>
        </w:rPr>
      </w:pPr>
      <w:r w:rsidRPr="003210F5">
        <w:rPr>
          <w:rFonts w:eastAsiaTheme="minorEastAsia"/>
        </w:rPr>
        <w:fldChar w:fldCharType="begin"/>
      </w:r>
      <w:r w:rsidRPr="003210F5">
        <w:rPr>
          <w:rFonts w:eastAsiaTheme="minorEastAsia"/>
        </w:rPr>
        <w:instrText xml:space="preserve"> SEQ level0 \*arabic </w:instrText>
      </w:r>
      <w:r w:rsidRPr="003210F5">
        <w:rPr>
          <w:rFonts w:eastAsiaTheme="minorEastAsia"/>
        </w:rPr>
        <w:fldChar w:fldCharType="separate"/>
      </w:r>
      <w:r w:rsidRPr="003210F5" w:rsidR="003210F5">
        <w:rPr>
          <w:rFonts w:eastAsiaTheme="minorEastAsia"/>
          <w:noProof/>
        </w:rPr>
        <w:t>127</w:t>
      </w:r>
      <w:r w:rsidRPr="003210F5">
        <w:rPr>
          <w:rFonts w:eastAsiaTheme="minorEastAsia"/>
        </w:rPr>
        <w:fldChar w:fldCharType="end"/>
      </w:r>
      <w:bookmarkEnd w:id="69"/>
      <w:r w:rsidRPr="003210F5">
        <w:rPr>
          <w:rFonts w:eastAsiaTheme="minorEastAsia"/>
        </w:rPr>
        <w:t>.  Partant il n</w:t>
      </w:r>
      <w:r w:rsidRPr="003210F5" w:rsidR="003210F5">
        <w:rPr>
          <w:rFonts w:eastAsiaTheme="minorEastAsia"/>
        </w:rPr>
        <w:t>’</w:t>
      </w:r>
      <w:r w:rsidRPr="003210F5">
        <w:rPr>
          <w:rFonts w:eastAsiaTheme="minorEastAsia"/>
        </w:rPr>
        <w:t>y a pas eu violation de l</w:t>
      </w:r>
      <w:r w:rsidRPr="003210F5" w:rsidR="003210F5">
        <w:rPr>
          <w:rFonts w:eastAsiaTheme="minorEastAsia"/>
        </w:rPr>
        <w:t>’</w:t>
      </w:r>
      <w:r w:rsidRPr="003210F5">
        <w:rPr>
          <w:rFonts w:eastAsiaTheme="minorEastAsia"/>
        </w:rPr>
        <w:t>article 3 de la Convention.</w:t>
      </w:r>
    </w:p>
    <w:p w:rsidRPr="003210F5" w:rsidR="003A74F0" w:rsidP="003210F5" w:rsidRDefault="003A74F0" w14:paraId="1BA9194B" w14:textId="5C078959">
      <w:pPr>
        <w:pStyle w:val="JuHIRoman"/>
      </w:pPr>
      <w:r w:rsidRPr="003210F5">
        <w:t>SUR LA VIOLATION ALLÉGUÉE DE L</w:t>
      </w:r>
      <w:r w:rsidRPr="003210F5" w:rsidR="003210F5">
        <w:t>’</w:t>
      </w:r>
      <w:r w:rsidRPr="003210F5">
        <w:t xml:space="preserve">ARTICLE 13 DE LA CONVENTION </w:t>
      </w:r>
      <w:bookmarkStart w:name="_Hlk76118631" w:id="70"/>
      <w:r w:rsidRPr="003210F5">
        <w:t>COMBINÉ AVEC L</w:t>
      </w:r>
      <w:r w:rsidRPr="003210F5" w:rsidR="003210F5">
        <w:t>’</w:t>
      </w:r>
      <w:r w:rsidRPr="003210F5">
        <w:t>ARTICLE 3</w:t>
      </w:r>
    </w:p>
    <w:bookmarkEnd w:id="70"/>
    <w:p w:rsidRPr="003210F5" w:rsidR="003A74F0" w:rsidP="003210F5" w:rsidRDefault="003A74F0" w14:paraId="413C15FB" w14:textId="6725262D">
      <w:pPr>
        <w:pStyle w:val="JuPara"/>
        <w:rPr>
          <w:rFonts w:eastAsiaTheme="minorEastAsia"/>
        </w:rPr>
      </w:pPr>
      <w:r w:rsidRPr="003210F5">
        <w:fldChar w:fldCharType="begin"/>
      </w:r>
      <w:r w:rsidRPr="003210F5">
        <w:instrText xml:space="preserve"> SEQ level0 \*arabic </w:instrText>
      </w:r>
      <w:r w:rsidRPr="003210F5">
        <w:fldChar w:fldCharType="separate"/>
      </w:r>
      <w:r w:rsidRPr="003210F5" w:rsidR="003210F5">
        <w:rPr>
          <w:noProof/>
        </w:rPr>
        <w:t>128</w:t>
      </w:r>
      <w:r w:rsidRPr="003210F5">
        <w:fldChar w:fldCharType="end"/>
      </w:r>
      <w:r w:rsidRPr="003210F5">
        <w:t>.  </w:t>
      </w:r>
      <w:r w:rsidRPr="003210F5">
        <w:rPr>
          <w:rFonts w:eastAsiaTheme="minorEastAsia"/>
        </w:rPr>
        <w:t>Se plaçant sur le terrain de l</w:t>
      </w:r>
      <w:r w:rsidRPr="003210F5" w:rsidR="003210F5">
        <w:rPr>
          <w:rFonts w:eastAsiaTheme="minorEastAsia"/>
        </w:rPr>
        <w:t>’</w:t>
      </w:r>
      <w:r w:rsidRPr="003210F5">
        <w:rPr>
          <w:rFonts w:eastAsiaTheme="minorEastAsia"/>
        </w:rPr>
        <w:t>article 13 de la Convention, les requérants se plaignent de n</w:t>
      </w:r>
      <w:r w:rsidRPr="003210F5" w:rsidR="003210F5">
        <w:rPr>
          <w:rFonts w:eastAsiaTheme="minorEastAsia"/>
        </w:rPr>
        <w:t>’</w:t>
      </w:r>
      <w:r w:rsidRPr="003210F5">
        <w:rPr>
          <w:rFonts w:eastAsiaTheme="minorEastAsia"/>
        </w:rPr>
        <w:t>avoir disposé en droit interne d</w:t>
      </w:r>
      <w:r w:rsidRPr="003210F5" w:rsidR="003210F5">
        <w:rPr>
          <w:rFonts w:eastAsiaTheme="minorEastAsia"/>
        </w:rPr>
        <w:t>’</w:t>
      </w:r>
      <w:r w:rsidRPr="003210F5">
        <w:rPr>
          <w:rFonts w:eastAsiaTheme="minorEastAsia"/>
        </w:rPr>
        <w:t>aucun recours effectif pour dénoncer leurs conditions de détention. Ladite disposition est ainsi libellée :</w:t>
      </w:r>
    </w:p>
    <w:p w:rsidRPr="003210F5" w:rsidR="003A74F0" w:rsidP="003210F5" w:rsidRDefault="003A74F0" w14:paraId="39241FD1" w14:textId="591AD7C1">
      <w:pPr>
        <w:pStyle w:val="JuQuot"/>
        <w:rPr>
          <w:rFonts w:eastAsiaTheme="minorEastAsia"/>
        </w:rPr>
      </w:pPr>
      <w:r w:rsidRPr="003210F5">
        <w:rPr>
          <w:rFonts w:eastAsiaTheme="minorEastAsia"/>
        </w:rPr>
        <w:t>« Toute personne dont les droits et libertés reconnus dans la (...) Convention ont été violés a droit à l</w:t>
      </w:r>
      <w:r w:rsidRPr="003210F5" w:rsidR="003210F5">
        <w:rPr>
          <w:rFonts w:eastAsiaTheme="minorEastAsia"/>
        </w:rPr>
        <w:t>’</w:t>
      </w:r>
      <w:r w:rsidRPr="003210F5">
        <w:rPr>
          <w:rFonts w:eastAsiaTheme="minorEastAsia"/>
        </w:rPr>
        <w:t>octroi d</w:t>
      </w:r>
      <w:r w:rsidRPr="003210F5" w:rsidR="003210F5">
        <w:rPr>
          <w:rFonts w:eastAsiaTheme="minorEastAsia"/>
        </w:rPr>
        <w:t>’</w:t>
      </w:r>
      <w:r w:rsidRPr="003210F5">
        <w:rPr>
          <w:rFonts w:eastAsiaTheme="minorEastAsia"/>
        </w:rPr>
        <w:t>un recours effectif devant une instance nationale, alors même que la violation aurait été commise par des personnes agissant dans l</w:t>
      </w:r>
      <w:r w:rsidRPr="003210F5" w:rsidR="003210F5">
        <w:rPr>
          <w:rFonts w:eastAsiaTheme="minorEastAsia"/>
        </w:rPr>
        <w:t>’</w:t>
      </w:r>
      <w:r w:rsidRPr="003210F5">
        <w:rPr>
          <w:rFonts w:eastAsiaTheme="minorEastAsia"/>
        </w:rPr>
        <w:t>exercice de leurs fonctions officielles. »</w:t>
      </w:r>
    </w:p>
    <w:p w:rsidRPr="003210F5" w:rsidR="003A74F0" w:rsidP="003210F5" w:rsidRDefault="003A74F0" w14:paraId="39E56267" w14:textId="77777777">
      <w:pPr>
        <w:pStyle w:val="JuHA"/>
        <w:numPr>
          <w:ilvl w:val="2"/>
          <w:numId w:val="3"/>
        </w:numPr>
        <w:ind w:left="584" w:hanging="352"/>
      </w:pPr>
      <w:r w:rsidRPr="003210F5">
        <w:t>En ce qui concerne les requérants désignés sous les n</w:t>
      </w:r>
      <w:r w:rsidRPr="003210F5">
        <w:rPr>
          <w:vertAlign w:val="superscript"/>
        </w:rPr>
        <w:t>os</w:t>
      </w:r>
      <w:r w:rsidRPr="003210F5">
        <w:t xml:space="preserve"> 3, 5, 8, 9, 15, 18, 21 à 25, 29 et 31</w:t>
      </w:r>
    </w:p>
    <w:p w:rsidRPr="003210F5" w:rsidR="003A74F0" w:rsidP="003210F5" w:rsidRDefault="003A74F0" w14:paraId="2FFCDC37" w14:textId="2971ECFE">
      <w:pPr>
        <w:pStyle w:val="JuPara"/>
      </w:pPr>
      <w:r w:rsidRPr="003210F5">
        <w:fldChar w:fldCharType="begin"/>
      </w:r>
      <w:r w:rsidRPr="003210F5">
        <w:instrText xml:space="preserve"> SEQ level0 \*arabic </w:instrText>
      </w:r>
      <w:r w:rsidRPr="003210F5">
        <w:fldChar w:fldCharType="separate"/>
      </w:r>
      <w:r w:rsidRPr="003210F5" w:rsidR="003210F5">
        <w:rPr>
          <w:noProof/>
        </w:rPr>
        <w:t>129</w:t>
      </w:r>
      <w:r w:rsidRPr="003210F5">
        <w:fldChar w:fldCharType="end"/>
      </w:r>
      <w:r w:rsidRPr="003210F5">
        <w:t>.  Le Gouvernement renvoie à ses arguments relatifs au non-épuisement des voies de recours internes, en l</w:t>
      </w:r>
      <w:r w:rsidRPr="003210F5" w:rsidR="003210F5">
        <w:t>’</w:t>
      </w:r>
      <w:r w:rsidRPr="003210F5">
        <w:t>occurrence l</w:t>
      </w:r>
      <w:r w:rsidRPr="003210F5" w:rsidR="003210F5">
        <w:t>’</w:t>
      </w:r>
      <w:r w:rsidRPr="003210F5">
        <w:t>action en dommages-intérêts fondée sur l</w:t>
      </w:r>
      <w:r w:rsidRPr="003210F5" w:rsidR="003210F5">
        <w:t>’</w:t>
      </w:r>
      <w:r w:rsidRPr="003210F5">
        <w:t>article 105 de la loi d</w:t>
      </w:r>
      <w:r w:rsidRPr="003210F5" w:rsidR="003210F5">
        <w:t>’</w:t>
      </w:r>
      <w:r w:rsidRPr="003210F5">
        <w:t xml:space="preserve">accompagnement du code civil (paragraphes </w:t>
      </w:r>
      <w:r w:rsidRPr="003210F5">
        <w:fldChar w:fldCharType="begin"/>
      </w:r>
      <w:r w:rsidRPr="003210F5">
        <w:instrText xml:space="preserve"> REF fiftyfour \h  \* MERGEFORMAT </w:instrText>
      </w:r>
      <w:r w:rsidRPr="003210F5">
        <w:fldChar w:fldCharType="separate"/>
      </w:r>
      <w:r w:rsidRPr="003210F5" w:rsidR="003210F5">
        <w:t>54</w:t>
      </w:r>
      <w:r w:rsidRPr="003210F5">
        <w:fldChar w:fldCharType="end"/>
      </w:r>
      <w:r w:rsidRPr="003210F5">
        <w:t>-</w:t>
      </w:r>
      <w:r w:rsidRPr="003210F5">
        <w:fldChar w:fldCharType="begin"/>
      </w:r>
      <w:r w:rsidRPr="003210F5">
        <w:instrText xml:space="preserve"> REF fiftyseven \h  \* MERGEFORMAT </w:instrText>
      </w:r>
      <w:r w:rsidRPr="003210F5">
        <w:fldChar w:fldCharType="separate"/>
      </w:r>
      <w:r w:rsidRPr="003210F5" w:rsidR="003210F5">
        <w:t>57</w:t>
      </w:r>
      <w:r w:rsidRPr="003210F5">
        <w:fldChar w:fldCharType="end"/>
      </w:r>
      <w:r w:rsidRPr="003210F5">
        <w:t>).</w:t>
      </w:r>
    </w:p>
    <w:p w:rsidRPr="003210F5" w:rsidR="003A74F0" w:rsidP="003210F5" w:rsidRDefault="003A74F0" w14:paraId="1298F8CF" w14:textId="7024B33D">
      <w:pPr>
        <w:pStyle w:val="JuPara"/>
        <w:rPr>
          <w:rFonts w:ascii="Arial" w:hAnsi="Arial" w:eastAsia="Times New Roman" w:cs="Arial"/>
          <w:color w:val="000000"/>
        </w:rPr>
      </w:pPr>
      <w:r w:rsidRPr="003210F5">
        <w:fldChar w:fldCharType="begin"/>
      </w:r>
      <w:r w:rsidRPr="003210F5">
        <w:instrText xml:space="preserve"> SEQ level0 \*arabic </w:instrText>
      </w:r>
      <w:r w:rsidRPr="003210F5">
        <w:fldChar w:fldCharType="separate"/>
      </w:r>
      <w:r w:rsidRPr="003210F5" w:rsidR="003210F5">
        <w:rPr>
          <w:noProof/>
        </w:rPr>
        <w:t>130</w:t>
      </w:r>
      <w:r w:rsidRPr="003210F5">
        <w:fldChar w:fldCharType="end"/>
      </w:r>
      <w:r w:rsidRPr="003210F5">
        <w:t>.  Les</w:t>
      </w:r>
      <w:r w:rsidRPr="003210F5">
        <w:rPr>
          <w:rFonts w:eastAsiaTheme="minorEastAsia"/>
        </w:rPr>
        <w:t xml:space="preserve"> requérants renvoient à leurs arguments et soutiennent que l</w:t>
      </w:r>
      <w:r w:rsidRPr="003210F5" w:rsidR="003210F5">
        <w:rPr>
          <w:rFonts w:eastAsiaTheme="minorEastAsia"/>
        </w:rPr>
        <w:t>’</w:t>
      </w:r>
      <w:r w:rsidRPr="003210F5">
        <w:rPr>
          <w:rFonts w:eastAsiaTheme="minorEastAsia"/>
        </w:rPr>
        <w:t>action en dommages-intérêts sur le fondement de l</w:t>
      </w:r>
      <w:r w:rsidRPr="003210F5" w:rsidR="003210F5">
        <w:rPr>
          <w:rFonts w:eastAsiaTheme="minorEastAsia"/>
        </w:rPr>
        <w:t>’</w:t>
      </w:r>
      <w:r w:rsidRPr="003210F5">
        <w:rPr>
          <w:rFonts w:eastAsiaTheme="minorEastAsia"/>
        </w:rPr>
        <w:t>article 105 de la loi d</w:t>
      </w:r>
      <w:r w:rsidRPr="003210F5" w:rsidR="003210F5">
        <w:rPr>
          <w:rFonts w:eastAsiaTheme="minorEastAsia"/>
        </w:rPr>
        <w:t>’</w:t>
      </w:r>
      <w:r w:rsidRPr="003210F5">
        <w:rPr>
          <w:rFonts w:eastAsiaTheme="minorEastAsia"/>
        </w:rPr>
        <w:t xml:space="preserve">accompagnement du code civil ne constituait pas un recours effectif et pratique </w:t>
      </w:r>
      <w:r w:rsidRPr="003210F5">
        <w:t xml:space="preserve">(paragraphes </w:t>
      </w:r>
      <w:r w:rsidRPr="003210F5">
        <w:fldChar w:fldCharType="begin"/>
      </w:r>
      <w:r w:rsidRPr="003210F5">
        <w:instrText xml:space="preserve"> REF fiftyeight \h  \* MERGEFORMAT </w:instrText>
      </w:r>
      <w:r w:rsidRPr="003210F5">
        <w:fldChar w:fldCharType="separate"/>
      </w:r>
      <w:r w:rsidRPr="003210F5" w:rsidR="003210F5">
        <w:rPr>
          <w:rFonts w:eastAsiaTheme="minorEastAsia"/>
        </w:rPr>
        <w:t>58</w:t>
      </w:r>
      <w:r w:rsidRPr="003210F5">
        <w:fldChar w:fldCharType="end"/>
      </w:r>
      <w:r w:rsidRPr="003210F5">
        <w:t>-</w:t>
      </w:r>
      <w:r w:rsidRPr="003210F5">
        <w:fldChar w:fldCharType="begin"/>
      </w:r>
      <w:r w:rsidRPr="003210F5">
        <w:instrText xml:space="preserve"> REF fiftynine \h  \* MERGEFORMAT </w:instrText>
      </w:r>
      <w:r w:rsidRPr="003210F5">
        <w:fldChar w:fldCharType="separate"/>
      </w:r>
      <w:r w:rsidRPr="003210F5" w:rsidR="003210F5">
        <w:rPr>
          <w:rFonts w:eastAsiaTheme="minorEastAsia"/>
        </w:rPr>
        <w:t>59</w:t>
      </w:r>
      <w:r w:rsidRPr="003210F5">
        <w:fldChar w:fldCharType="end"/>
      </w:r>
      <w:r w:rsidRPr="003210F5">
        <w:t>).</w:t>
      </w:r>
    </w:p>
    <w:p w:rsidRPr="003210F5" w:rsidR="003A74F0" w:rsidP="003210F5" w:rsidRDefault="003A74F0" w14:paraId="118DD3FA" w14:textId="0157CCDD">
      <w:pPr>
        <w:pStyle w:val="JuPara"/>
        <w:rPr>
          <w:rFonts w:eastAsiaTheme="minorEastAsia"/>
          <w:szCs w:val="22"/>
        </w:rPr>
      </w:pPr>
      <w:r w:rsidRPr="003210F5">
        <w:fldChar w:fldCharType="begin"/>
      </w:r>
      <w:r w:rsidRPr="003210F5">
        <w:instrText xml:space="preserve"> SEQ level0 \*arabic </w:instrText>
      </w:r>
      <w:r w:rsidRPr="003210F5">
        <w:fldChar w:fldCharType="separate"/>
      </w:r>
      <w:r w:rsidRPr="003210F5" w:rsidR="003210F5">
        <w:rPr>
          <w:noProof/>
        </w:rPr>
        <w:t>131</w:t>
      </w:r>
      <w:r w:rsidRPr="003210F5">
        <w:fldChar w:fldCharType="end"/>
      </w:r>
      <w:r w:rsidRPr="003210F5">
        <w:t>.  Au vu des considérations qu</w:t>
      </w:r>
      <w:r w:rsidRPr="003210F5" w:rsidR="003210F5">
        <w:t>’</w:t>
      </w:r>
      <w:r w:rsidRPr="003210F5">
        <w:t>elle a énoncées quant au défaut d</w:t>
      </w:r>
      <w:r w:rsidRPr="003210F5" w:rsidR="003210F5">
        <w:t>’</w:t>
      </w:r>
      <w:r w:rsidRPr="003210F5">
        <w:t>engagement par les requérants désignés sous les n</w:t>
      </w:r>
      <w:r w:rsidRPr="003210F5">
        <w:rPr>
          <w:vertAlign w:val="superscript"/>
        </w:rPr>
        <w:t>os</w:t>
      </w:r>
      <w:r w:rsidRPr="003210F5">
        <w:t xml:space="preserve"> 3, 5, 8, 9, 15, 18, 21 à 25, 29 et 31 de l</w:t>
      </w:r>
      <w:r w:rsidRPr="003210F5" w:rsidR="003210F5">
        <w:t>’</w:t>
      </w:r>
      <w:r w:rsidRPr="003210F5">
        <w:t>action indemnitaire qui leur était ouverte en vertu de l</w:t>
      </w:r>
      <w:r w:rsidRPr="003210F5" w:rsidR="003210F5">
        <w:t>’</w:t>
      </w:r>
      <w:r w:rsidRPr="003210F5">
        <w:t>article 105 de la loi d</w:t>
      </w:r>
      <w:r w:rsidRPr="003210F5" w:rsidR="003210F5">
        <w:t>’</w:t>
      </w:r>
      <w:r w:rsidRPr="003210F5">
        <w:t xml:space="preserve">accompagnement du code civil (paragraphes </w:t>
      </w:r>
      <w:r w:rsidRPr="003210F5">
        <w:fldChar w:fldCharType="begin"/>
      </w:r>
      <w:r w:rsidRPr="003210F5">
        <w:instrText xml:space="preserve"> REF sixtyone \h  \* MERGEFORMAT </w:instrText>
      </w:r>
      <w:r w:rsidRPr="003210F5">
        <w:fldChar w:fldCharType="separate"/>
      </w:r>
      <w:r w:rsidRPr="003210F5" w:rsidR="003210F5">
        <w:rPr>
          <w:rFonts w:eastAsiaTheme="minorEastAsia"/>
          <w:szCs w:val="22"/>
        </w:rPr>
        <w:t>60</w:t>
      </w:r>
      <w:r w:rsidRPr="003210F5">
        <w:fldChar w:fldCharType="end"/>
      </w:r>
      <w:r w:rsidRPr="003210F5">
        <w:t>-</w:t>
      </w:r>
      <w:r w:rsidRPr="003210F5">
        <w:fldChar w:fldCharType="begin"/>
      </w:r>
      <w:r w:rsidRPr="003210F5">
        <w:instrText xml:space="preserve"> REF seventyfour \h  \* MERGEFORMAT </w:instrText>
      </w:r>
      <w:r w:rsidRPr="003210F5">
        <w:fldChar w:fldCharType="separate"/>
      </w:r>
      <w:r w:rsidRPr="003210F5" w:rsidR="003210F5">
        <w:rPr>
          <w:rFonts w:eastAsiaTheme="minorEastAsia"/>
          <w:szCs w:val="22"/>
        </w:rPr>
        <w:t>74</w:t>
      </w:r>
      <w:r w:rsidRPr="003210F5">
        <w:fldChar w:fldCharType="end"/>
      </w:r>
      <w:r w:rsidRPr="003210F5">
        <w:t xml:space="preserve"> ci-dessus), la Cour estime que les griefs tirés de l</w:t>
      </w:r>
      <w:r w:rsidRPr="003210F5" w:rsidR="003210F5">
        <w:t>’</w:t>
      </w:r>
      <w:r w:rsidRPr="003210F5">
        <w:t>article 13 doivent être rejetés comme manifestement mal fondés, en application de l</w:t>
      </w:r>
      <w:r w:rsidRPr="003210F5" w:rsidR="003210F5">
        <w:t>’</w:t>
      </w:r>
      <w:r w:rsidRPr="003210F5">
        <w:t>article 35 §§ 3 a) et 4 de la Convention.</w:t>
      </w:r>
    </w:p>
    <w:p w:rsidRPr="003210F5" w:rsidR="003A74F0" w:rsidP="003210F5" w:rsidRDefault="003A74F0" w14:paraId="0909C8D5" w14:textId="77777777">
      <w:pPr>
        <w:pStyle w:val="JuHA"/>
      </w:pPr>
      <w:r w:rsidRPr="003210F5">
        <w:t>En ce qui concerne les requérants désignés sous les n</w:t>
      </w:r>
      <w:r w:rsidRPr="003210F5">
        <w:rPr>
          <w:vertAlign w:val="superscript"/>
        </w:rPr>
        <w:t>os</w:t>
      </w:r>
      <w:r w:rsidRPr="003210F5">
        <w:t xml:space="preserve"> 1, 2, 4, 6, 7, 10, 11, 13, 14, 16, 17, 19, 20, 26 à 28, 30 et 32 à 34 et leur période de détention dans la partie ouverte de la prison ou en régime de semi-liberté</w:t>
      </w:r>
    </w:p>
    <w:bookmarkStart w:name="onehundredthirtyone" w:id="71"/>
    <w:p w:rsidRPr="003210F5" w:rsidR="003A74F0" w:rsidP="003210F5" w:rsidRDefault="003A74F0" w14:paraId="576A50E5" w14:textId="58F813B9">
      <w:pPr>
        <w:pStyle w:val="JuPara"/>
      </w:pPr>
      <w:r w:rsidRPr="003210F5">
        <w:fldChar w:fldCharType="begin"/>
      </w:r>
      <w:r w:rsidRPr="003210F5">
        <w:instrText xml:space="preserve"> SEQ level0 \*arabic </w:instrText>
      </w:r>
      <w:r w:rsidRPr="003210F5">
        <w:fldChar w:fldCharType="separate"/>
      </w:r>
      <w:r w:rsidRPr="003210F5" w:rsidR="003210F5">
        <w:rPr>
          <w:noProof/>
        </w:rPr>
        <w:t>132</w:t>
      </w:r>
      <w:r w:rsidRPr="003210F5">
        <w:fldChar w:fldCharType="end"/>
      </w:r>
      <w:bookmarkEnd w:id="71"/>
      <w:r w:rsidRPr="003210F5">
        <w:t>.  Les requérants se prévalent de l</w:t>
      </w:r>
      <w:r w:rsidRPr="003210F5" w:rsidR="003210F5">
        <w:t>’</w:t>
      </w:r>
      <w:r w:rsidRPr="003210F5">
        <w:t xml:space="preserve">arrêt </w:t>
      </w:r>
      <w:r w:rsidRPr="003210F5">
        <w:rPr>
          <w:i/>
          <w:iCs/>
        </w:rPr>
        <w:t xml:space="preserve">Papakonstantinou c. Grèce </w:t>
      </w:r>
      <w:r w:rsidRPr="003210F5">
        <w:t>(n</w:t>
      </w:r>
      <w:r w:rsidRPr="003210F5">
        <w:rPr>
          <w:vertAlign w:val="superscript"/>
        </w:rPr>
        <w:t>o</w:t>
      </w:r>
      <w:r w:rsidRPr="003210F5">
        <w:t> 50765/11, §§ 48-52, 13 novembre 2014). Ils disent qu</w:t>
      </w:r>
      <w:r w:rsidRPr="003210F5" w:rsidR="003210F5">
        <w:t>’</w:t>
      </w:r>
      <w:r w:rsidRPr="003210F5">
        <w:t>ils ont adressé au procureur superviseur compétent une requête fondée sur l</w:t>
      </w:r>
      <w:r w:rsidRPr="003210F5" w:rsidR="003210F5">
        <w:t>’</w:t>
      </w:r>
      <w:r w:rsidRPr="003210F5">
        <w:t>article 572 du code de procédure pénale, que le Gouvernement propose habituellement comme recours effectif, mais qu</w:t>
      </w:r>
      <w:r w:rsidRPr="003210F5" w:rsidR="003210F5">
        <w:t>’</w:t>
      </w:r>
      <w:r w:rsidRPr="003210F5">
        <w:t>ils n</w:t>
      </w:r>
      <w:r w:rsidRPr="003210F5" w:rsidR="003210F5">
        <w:t>’</w:t>
      </w:r>
      <w:r w:rsidRPr="003210F5">
        <w:t>ont reçu aucune réponse de ce procureur et que la requête ne s</w:t>
      </w:r>
      <w:r w:rsidRPr="003210F5" w:rsidR="003210F5">
        <w:t>’</w:t>
      </w:r>
      <w:r w:rsidRPr="003210F5">
        <w:t>est pas révélée effective. Ils soutiennent en outre que le Gouvernement n</w:t>
      </w:r>
      <w:r w:rsidRPr="003210F5" w:rsidR="003210F5">
        <w:t>’</w:t>
      </w:r>
      <w:r w:rsidRPr="003210F5">
        <w:t>apporte pas, et n</w:t>
      </w:r>
      <w:r w:rsidRPr="003210F5" w:rsidR="003210F5">
        <w:t>’</w:t>
      </w:r>
      <w:r w:rsidRPr="003210F5">
        <w:t>a jamais apporté jusqu</w:t>
      </w:r>
      <w:r w:rsidRPr="003210F5" w:rsidR="003210F5">
        <w:t>’</w:t>
      </w:r>
      <w:r w:rsidRPr="003210F5">
        <w:t>à présent, un seul exemple de jurisprudence dans lequel un détenu qui se serait plaint au procureur compétent de problèmes systémiques dans un établissement pénitentiaire, sur le fondement de l</w:t>
      </w:r>
      <w:r w:rsidRPr="003210F5" w:rsidR="003210F5">
        <w:t>’</w:t>
      </w:r>
      <w:r w:rsidRPr="003210F5">
        <w:t>article 572 du CPP, aurait obtenu satisfaction. Ils considèrent que les procureurs ne peuvent rien faire face aux situations dénoncées devant eux et qu</w:t>
      </w:r>
      <w:r w:rsidRPr="003210F5" w:rsidR="003210F5">
        <w:t>’</w:t>
      </w:r>
      <w:r w:rsidRPr="003210F5">
        <w:t>ils se contentent de lancer des appels « dramatiques » au ministre de la Justice, ce qui démontrerait leur embarras en la matière.</w:t>
      </w:r>
    </w:p>
    <w:bookmarkStart w:name="onehundredthirtytzo" w:id="72"/>
    <w:bookmarkStart w:name="onehundredthirtytwo" w:id="73"/>
    <w:p w:rsidRPr="003210F5" w:rsidR="003A74F0" w:rsidP="003210F5" w:rsidRDefault="003A74F0" w14:paraId="24AE3FE7" w14:textId="1997CB76">
      <w:pPr>
        <w:pStyle w:val="JuPara"/>
      </w:pPr>
      <w:r w:rsidRPr="003210F5">
        <w:fldChar w:fldCharType="begin"/>
      </w:r>
      <w:r w:rsidRPr="003210F5">
        <w:instrText xml:space="preserve"> SEQ level0 \*arabic \* MERGEFORMAT </w:instrText>
      </w:r>
      <w:r w:rsidRPr="003210F5">
        <w:fldChar w:fldCharType="separate"/>
      </w:r>
      <w:r w:rsidRPr="003210F5" w:rsidR="003210F5">
        <w:rPr>
          <w:noProof/>
        </w:rPr>
        <w:t>133</w:t>
      </w:r>
      <w:r w:rsidRPr="003210F5">
        <w:fldChar w:fldCharType="end"/>
      </w:r>
      <w:bookmarkEnd w:id="72"/>
      <w:bookmarkEnd w:id="73"/>
      <w:r w:rsidRPr="003210F5">
        <w:t>.  Selon le Gouvernement, les requérants ne peuvent pas invoquer l</w:t>
      </w:r>
      <w:r w:rsidRPr="003210F5" w:rsidR="003210F5">
        <w:t>’</w:t>
      </w:r>
      <w:r w:rsidRPr="003210F5">
        <w:t>article 13 de la Convention, faute de « grief défendable ». À titre subsidiaire, il indique qu</w:t>
      </w:r>
      <w:r w:rsidRPr="003210F5" w:rsidR="003210F5">
        <w:t>’</w:t>
      </w:r>
      <w:r w:rsidRPr="003210F5">
        <w:t>ils auraient dû engager une action en dommages-intérêts sur le fondement de l</w:t>
      </w:r>
      <w:r w:rsidRPr="003210F5" w:rsidR="003210F5">
        <w:t>’</w:t>
      </w:r>
      <w:r w:rsidRPr="003210F5">
        <w:t>article 105 de la loi d</w:t>
      </w:r>
      <w:r w:rsidRPr="003210F5" w:rsidR="003210F5">
        <w:t>’</w:t>
      </w:r>
      <w:r w:rsidRPr="003210F5">
        <w:t>accompagnement du code civil combiné avec l</w:t>
      </w:r>
      <w:r w:rsidRPr="003210F5" w:rsidR="003210F5">
        <w:t>’</w:t>
      </w:r>
      <w:r w:rsidRPr="003210F5">
        <w:t>article 3 de la Convention.</w:t>
      </w:r>
    </w:p>
    <w:p w:rsidRPr="003210F5" w:rsidR="003A74F0" w:rsidP="003210F5" w:rsidRDefault="003A74F0" w14:paraId="4BD64B2C" w14:textId="086E0BBA">
      <w:pPr>
        <w:pStyle w:val="JuPara"/>
      </w:pPr>
      <w:r w:rsidRPr="003210F5">
        <w:fldChar w:fldCharType="begin"/>
      </w:r>
      <w:r w:rsidRPr="003210F5">
        <w:instrText xml:space="preserve"> SEQ level0 \*arabic </w:instrText>
      </w:r>
      <w:r w:rsidRPr="003210F5">
        <w:fldChar w:fldCharType="separate"/>
      </w:r>
      <w:r w:rsidRPr="003210F5" w:rsidR="003210F5">
        <w:rPr>
          <w:noProof/>
        </w:rPr>
        <w:t>134</w:t>
      </w:r>
      <w:r w:rsidRPr="003210F5">
        <w:fldChar w:fldCharType="end"/>
      </w:r>
      <w:r w:rsidRPr="003210F5">
        <w:t>.  La Cour note qu</w:t>
      </w:r>
      <w:r w:rsidRPr="003210F5" w:rsidR="003210F5">
        <w:t>’</w:t>
      </w:r>
      <w:r w:rsidRPr="003210F5">
        <w:t>à l</w:t>
      </w:r>
      <w:r w:rsidRPr="003210F5" w:rsidR="003210F5">
        <w:t>’</w:t>
      </w:r>
      <w:r w:rsidRPr="003210F5">
        <w:t>égard d</w:t>
      </w:r>
      <w:r w:rsidRPr="003210F5" w:rsidR="003210F5">
        <w:t>’</w:t>
      </w:r>
      <w:r w:rsidRPr="003210F5">
        <w:t>une partie des requérants désignés sous les n</w:t>
      </w:r>
      <w:r w:rsidRPr="003210F5">
        <w:rPr>
          <w:vertAlign w:val="superscript"/>
        </w:rPr>
        <w:t>os</w:t>
      </w:r>
      <w:r w:rsidRPr="003210F5">
        <w:t xml:space="preserve"> 1, 4, 6, 7, 11, 13, 14, 16, 17, 19, 20, 26 à 28, 30 et 32 à 34, et pour autant que leur requête concerne leur période de détention dans la partie de la prison qui fonctionnait en tant que prison ouverte, ainsi que des requérants désignés sous n</w:t>
      </w:r>
      <w:r w:rsidRPr="003210F5">
        <w:rPr>
          <w:vertAlign w:val="superscript"/>
        </w:rPr>
        <w:t>os</w:t>
      </w:r>
      <w:r w:rsidRPr="003210F5">
        <w:t xml:space="preserve"> 1, 2, 4, 6, 10, 11, 16, 19, 20, 26 et 30 pendant leur période de détention en régime de semi-liberté, les griefs relatifs à la violation de l</w:t>
      </w:r>
      <w:r w:rsidRPr="003210F5" w:rsidR="003210F5">
        <w:t>’</w:t>
      </w:r>
      <w:r w:rsidRPr="003210F5">
        <w:t>article 3 ont été rejetés pour défaut manifeste de fondement en application de l</w:t>
      </w:r>
      <w:r w:rsidRPr="003210F5" w:rsidR="003210F5">
        <w:t>’</w:t>
      </w:r>
      <w:r w:rsidRPr="003210F5">
        <w:t xml:space="preserve">article 35 §§ 3 a) et 4 de la Convention (paragraphes </w:t>
      </w:r>
      <w:r w:rsidRPr="003210F5">
        <w:fldChar w:fldCharType="begin"/>
      </w:r>
      <w:r w:rsidRPr="003210F5">
        <w:instrText xml:space="preserve"> REF ninetyfour \h </w:instrText>
      </w:r>
      <w:r w:rsidRPr="003210F5" w:rsidR="005B37A7">
        <w:instrText xml:space="preserve"> \* MERGEFORMAT </w:instrText>
      </w:r>
      <w:r w:rsidRPr="003210F5">
        <w:fldChar w:fldCharType="separate"/>
      </w:r>
      <w:r w:rsidRPr="003210F5" w:rsidR="003210F5">
        <w:rPr>
          <w:rFonts w:cs="Times New Roman" w:eastAsiaTheme="minorEastAsia"/>
          <w:szCs w:val="22"/>
        </w:rPr>
        <w:t>91</w:t>
      </w:r>
      <w:r w:rsidRPr="003210F5">
        <w:fldChar w:fldCharType="end"/>
      </w:r>
      <w:r w:rsidRPr="003210F5">
        <w:t xml:space="preserve"> - </w:t>
      </w:r>
      <w:r w:rsidRPr="003210F5">
        <w:fldChar w:fldCharType="begin"/>
      </w:r>
      <w:r w:rsidRPr="003210F5">
        <w:instrText xml:space="preserve"> REF onehundredten \h </w:instrText>
      </w:r>
      <w:r w:rsidRPr="003210F5" w:rsidR="005B37A7">
        <w:instrText xml:space="preserve"> \* MERGEFORMAT </w:instrText>
      </w:r>
      <w:r w:rsidRPr="003210F5">
        <w:fldChar w:fldCharType="separate"/>
      </w:r>
      <w:r w:rsidRPr="003210F5" w:rsidR="003210F5">
        <w:t>107</w:t>
      </w:r>
      <w:r w:rsidRPr="003210F5">
        <w:fldChar w:fldCharType="end"/>
      </w:r>
      <w:r w:rsidRPr="003210F5">
        <w:t xml:space="preserve"> ci-dessus). En ce sens, aucune apparence de violation de cette disposition n</w:t>
      </w:r>
      <w:r w:rsidRPr="003210F5" w:rsidR="003210F5">
        <w:t>’</w:t>
      </w:r>
      <w:r w:rsidRPr="003210F5">
        <w:t>a pas pu être décelée et ces requérants, en ce qui concerne leurs périodes de détention dans la prison ouverte ou en semi-liberté, n</w:t>
      </w:r>
      <w:r w:rsidRPr="003210F5" w:rsidR="003210F5">
        <w:t>’</w:t>
      </w:r>
      <w:r w:rsidRPr="003210F5">
        <w:rPr>
          <w:rFonts w:cs="Times New Roman" w:eastAsiaTheme="minorEastAsia"/>
          <w:szCs w:val="22"/>
        </w:rPr>
        <w:t>ont pas soulevé de griefs défendables</w:t>
      </w:r>
      <w:r w:rsidRPr="003210F5">
        <w:t>.</w:t>
      </w:r>
    </w:p>
    <w:p w:rsidRPr="003210F5" w:rsidR="003A74F0" w:rsidP="003210F5" w:rsidRDefault="003A74F0" w14:paraId="770EB10C" w14:textId="2E005729">
      <w:pPr>
        <w:pStyle w:val="JuPara"/>
      </w:pPr>
      <w:r w:rsidRPr="003210F5">
        <w:fldChar w:fldCharType="begin"/>
      </w:r>
      <w:r w:rsidRPr="003210F5">
        <w:instrText xml:space="preserve"> SEQ level0 \*arabic </w:instrText>
      </w:r>
      <w:r w:rsidRPr="003210F5">
        <w:fldChar w:fldCharType="separate"/>
      </w:r>
      <w:r w:rsidRPr="003210F5" w:rsidR="003210F5">
        <w:rPr>
          <w:noProof/>
        </w:rPr>
        <w:t>135</w:t>
      </w:r>
      <w:r w:rsidRPr="003210F5">
        <w:fldChar w:fldCharType="end"/>
      </w:r>
      <w:r w:rsidRPr="003210F5">
        <w:t>.  Dès lors leurs griefs relatifs à l</w:t>
      </w:r>
      <w:r w:rsidRPr="003210F5" w:rsidR="003210F5">
        <w:t>’</w:t>
      </w:r>
      <w:r w:rsidRPr="003210F5">
        <w:t>article 13 et pour les périodes susmentionnées doivent être rejetés comme manifestement mal fondés, en application de l</w:t>
      </w:r>
      <w:r w:rsidRPr="003210F5" w:rsidR="003210F5">
        <w:t>’</w:t>
      </w:r>
      <w:r w:rsidRPr="003210F5">
        <w:t>article 35 §§ 3 et 4 de la Convention (</w:t>
      </w:r>
      <w:r w:rsidRPr="003210F5">
        <w:rPr>
          <w:i/>
          <w:iCs/>
        </w:rPr>
        <w:t>Gökçe et Demirel c. Turquie</w:t>
      </w:r>
      <w:r w:rsidRPr="003210F5">
        <w:t>, 22 septembre 2006, §§ 69-70).</w:t>
      </w:r>
    </w:p>
    <w:p w:rsidRPr="003210F5" w:rsidR="003A74F0" w:rsidP="003210F5" w:rsidRDefault="003A74F0" w14:paraId="09AAFFF1" w14:textId="77777777">
      <w:pPr>
        <w:pStyle w:val="JuHA"/>
      </w:pPr>
      <w:r w:rsidRPr="003210F5">
        <w:t>En ce qui concerne les requérants désignés sous les n</w:t>
      </w:r>
      <w:r w:rsidRPr="003210F5">
        <w:rPr>
          <w:vertAlign w:val="superscript"/>
        </w:rPr>
        <w:t xml:space="preserve">os </w:t>
      </w:r>
      <w:r w:rsidRPr="003210F5">
        <w:t>1, 2, 4, 6, 10 à 14, 16, 17, 19, 20, 26 à 28, 30 et 32 à 34 et leur période de détention dans la partie fermée de la prison</w:t>
      </w:r>
    </w:p>
    <w:p w:rsidRPr="003210F5" w:rsidR="003A74F0" w:rsidP="003210F5" w:rsidRDefault="003A74F0" w14:paraId="0029674B" w14:textId="77777777">
      <w:pPr>
        <w:pStyle w:val="JuH1"/>
        <w:rPr>
          <w:rFonts w:eastAsia="Times New Roman"/>
          <w:lang w:val="en-GB"/>
        </w:rPr>
      </w:pPr>
      <w:bookmarkStart w:name="_Hlk62826957" w:id="74"/>
      <w:r w:rsidRPr="003210F5">
        <w:rPr>
          <w:rFonts w:eastAsia="Times New Roman"/>
          <w:lang w:val="en-GB"/>
        </w:rPr>
        <w:t xml:space="preserve">Sur la </w:t>
      </w:r>
      <w:r w:rsidRPr="003210F5">
        <w:rPr>
          <w:lang w:val="en-GB"/>
        </w:rPr>
        <w:t>recevabilité</w:t>
      </w:r>
    </w:p>
    <w:bookmarkEnd w:id="74"/>
    <w:p w:rsidRPr="003210F5" w:rsidR="003A74F0" w:rsidP="003210F5" w:rsidRDefault="003A74F0" w14:paraId="4F6C5833" w14:textId="44DF21E7">
      <w:pPr>
        <w:pStyle w:val="JuPara"/>
      </w:pPr>
      <w:r w:rsidRPr="003210F5">
        <w:fldChar w:fldCharType="begin"/>
      </w:r>
      <w:r w:rsidRPr="003210F5">
        <w:instrText xml:space="preserve"> SEQ level0 \*arabic \* MERGEFORMAT </w:instrText>
      </w:r>
      <w:r w:rsidRPr="003210F5">
        <w:fldChar w:fldCharType="separate"/>
      </w:r>
      <w:r w:rsidRPr="003210F5" w:rsidR="003210F5">
        <w:rPr>
          <w:noProof/>
        </w:rPr>
        <w:t>136</w:t>
      </w:r>
      <w:r w:rsidRPr="003210F5">
        <w:fldChar w:fldCharType="end"/>
      </w:r>
      <w:r w:rsidRPr="003210F5">
        <w:t>.  La Cour constate qu</w:t>
      </w:r>
      <w:r w:rsidRPr="003210F5" w:rsidR="003210F5">
        <w:t>’</w:t>
      </w:r>
      <w:r w:rsidRPr="003210F5">
        <w:t>à l</w:t>
      </w:r>
      <w:r w:rsidRPr="003210F5" w:rsidR="003210F5">
        <w:t>’</w:t>
      </w:r>
      <w:r w:rsidRPr="003210F5">
        <w:t>égard des requérants désignés sous les n</w:t>
      </w:r>
      <w:r w:rsidRPr="003210F5">
        <w:rPr>
          <w:vertAlign w:val="superscript"/>
        </w:rPr>
        <w:t xml:space="preserve">os </w:t>
      </w:r>
      <w:r w:rsidRPr="003210F5">
        <w:t>1, 2, 4, 6, 10 à 14, 16, 17, 19, 20, 26 à 28, 30 et 32 à 34 et pour autant que leur requête concerne leur période de détention dans la partie de la prison qui fonctionnait en tant que prison fermée, leurs griefs relatifs à l</w:t>
      </w:r>
      <w:r w:rsidRPr="003210F5" w:rsidR="003210F5">
        <w:t>’</w:t>
      </w:r>
      <w:r w:rsidRPr="003210F5">
        <w:t>article 13 ne sont pas manifestement mal fondés ni irrecevables pour un autre motif visé à l</w:t>
      </w:r>
      <w:r w:rsidRPr="003210F5" w:rsidR="003210F5">
        <w:t>’</w:t>
      </w:r>
      <w:r w:rsidRPr="003210F5">
        <w:t>article 35 de la Convention. La Cour les déclare donc recevables.</w:t>
      </w:r>
    </w:p>
    <w:p w:rsidRPr="003210F5" w:rsidR="003A74F0" w:rsidP="003210F5" w:rsidRDefault="003A74F0" w14:paraId="0A807FF6" w14:textId="77777777">
      <w:pPr>
        <w:pStyle w:val="JuH1"/>
        <w:rPr>
          <w:lang w:val="en-GB"/>
        </w:rPr>
      </w:pPr>
      <w:r w:rsidRPr="003210F5">
        <w:rPr>
          <w:rFonts w:eastAsia="Times New Roman"/>
          <w:lang w:val="en-GB"/>
        </w:rPr>
        <w:t xml:space="preserve">Sur </w:t>
      </w:r>
      <w:r w:rsidRPr="003210F5">
        <w:rPr>
          <w:lang w:val="en-GB"/>
        </w:rPr>
        <w:t>le</w:t>
      </w:r>
      <w:r w:rsidRPr="003210F5">
        <w:rPr>
          <w:rFonts w:eastAsia="Times New Roman"/>
          <w:lang w:val="en-GB"/>
        </w:rPr>
        <w:t xml:space="preserve"> fond</w:t>
      </w:r>
    </w:p>
    <w:p w:rsidRPr="003210F5" w:rsidR="003A74F0" w:rsidP="003210F5" w:rsidRDefault="003A74F0" w14:paraId="7EB9C3A6" w14:textId="77777777">
      <w:pPr>
        <w:pStyle w:val="JuHa0"/>
      </w:pPr>
      <w:r w:rsidRPr="003210F5">
        <w:t xml:space="preserve">Les arguments des </w:t>
      </w:r>
      <w:r w:rsidRPr="003210F5">
        <w:rPr>
          <w:lang w:val="en-GB"/>
        </w:rPr>
        <w:t>parties</w:t>
      </w:r>
    </w:p>
    <w:p w:rsidRPr="003210F5" w:rsidR="003A74F0" w:rsidP="003210F5" w:rsidRDefault="003A74F0" w14:paraId="3793BBDB" w14:textId="762A6376">
      <w:pPr>
        <w:pStyle w:val="JuPara"/>
        <w:rPr>
          <w:rFonts w:eastAsiaTheme="minorEastAsia"/>
        </w:rPr>
      </w:pPr>
      <w:r w:rsidRPr="003210F5">
        <w:fldChar w:fldCharType="begin"/>
      </w:r>
      <w:r w:rsidRPr="003210F5">
        <w:instrText xml:space="preserve"> SEQ level0 \*arabic </w:instrText>
      </w:r>
      <w:r w:rsidRPr="003210F5">
        <w:fldChar w:fldCharType="separate"/>
      </w:r>
      <w:r w:rsidRPr="003210F5" w:rsidR="003210F5">
        <w:rPr>
          <w:noProof/>
        </w:rPr>
        <w:t>137</w:t>
      </w:r>
      <w:r w:rsidRPr="003210F5">
        <w:fldChar w:fldCharType="end"/>
      </w:r>
      <w:r w:rsidRPr="003210F5">
        <w:t>.  </w:t>
      </w:r>
      <w:bookmarkStart w:name="_Hlk62827195" w:id="75"/>
      <w:r w:rsidRPr="003210F5">
        <w:t xml:space="preserve">Les parties reprennent leurs arguments présentés </w:t>
      </w:r>
      <w:r w:rsidRPr="003210F5">
        <w:rPr>
          <w:rFonts w:eastAsiaTheme="minorEastAsia"/>
        </w:rPr>
        <w:t xml:space="preserve">ci-dessus aux paragraphes </w:t>
      </w:r>
      <w:r w:rsidRPr="003210F5">
        <w:rPr>
          <w:rFonts w:eastAsiaTheme="minorEastAsia"/>
        </w:rPr>
        <w:fldChar w:fldCharType="begin"/>
      </w:r>
      <w:r w:rsidRPr="003210F5">
        <w:rPr>
          <w:rFonts w:eastAsiaTheme="minorEastAsia"/>
        </w:rPr>
        <w:instrText xml:space="preserve"> REF onehundredthirtyone \h </w:instrText>
      </w:r>
      <w:r w:rsidRPr="003210F5" w:rsidR="005B37A7">
        <w:rPr>
          <w:rFonts w:eastAsiaTheme="minorEastAsia"/>
        </w:rPr>
        <w:instrText xml:space="preserve"> \* MERGEFORMAT </w:instrText>
      </w:r>
      <w:r w:rsidRPr="003210F5">
        <w:rPr>
          <w:rFonts w:eastAsiaTheme="minorEastAsia"/>
        </w:rPr>
      </w:r>
      <w:r w:rsidRPr="003210F5">
        <w:rPr>
          <w:rFonts w:eastAsiaTheme="minorEastAsia"/>
        </w:rPr>
        <w:fldChar w:fldCharType="separate"/>
      </w:r>
      <w:r w:rsidRPr="003210F5" w:rsidR="003210F5">
        <w:t>132</w:t>
      </w:r>
      <w:r w:rsidRPr="003210F5">
        <w:rPr>
          <w:rFonts w:eastAsiaTheme="minorEastAsia"/>
        </w:rPr>
        <w:fldChar w:fldCharType="end"/>
      </w:r>
      <w:r w:rsidRPr="003210F5">
        <w:rPr>
          <w:rFonts w:eastAsiaTheme="minorEastAsia"/>
        </w:rPr>
        <w:t xml:space="preserve"> et </w:t>
      </w:r>
      <w:r w:rsidRPr="003210F5">
        <w:rPr>
          <w:rFonts w:eastAsiaTheme="minorEastAsia"/>
        </w:rPr>
        <w:fldChar w:fldCharType="begin"/>
      </w:r>
      <w:r w:rsidRPr="003210F5">
        <w:rPr>
          <w:rFonts w:eastAsiaTheme="minorEastAsia"/>
        </w:rPr>
        <w:instrText xml:space="preserve"> REF onehundredthirtytwo \h </w:instrText>
      </w:r>
      <w:r w:rsidRPr="003210F5" w:rsidR="005B37A7">
        <w:rPr>
          <w:rFonts w:eastAsiaTheme="minorEastAsia"/>
        </w:rPr>
        <w:instrText xml:space="preserve"> \* MERGEFORMAT </w:instrText>
      </w:r>
      <w:r w:rsidRPr="003210F5">
        <w:rPr>
          <w:rFonts w:eastAsiaTheme="minorEastAsia"/>
        </w:rPr>
      </w:r>
      <w:r w:rsidRPr="003210F5">
        <w:rPr>
          <w:rFonts w:eastAsiaTheme="minorEastAsia"/>
        </w:rPr>
        <w:fldChar w:fldCharType="separate"/>
      </w:r>
      <w:r w:rsidRPr="003210F5" w:rsidR="003210F5">
        <w:t>133</w:t>
      </w:r>
      <w:r w:rsidRPr="003210F5">
        <w:rPr>
          <w:rFonts w:eastAsiaTheme="minorEastAsia"/>
        </w:rPr>
        <w:fldChar w:fldCharType="end"/>
      </w:r>
      <w:r w:rsidRPr="003210F5">
        <w:rPr>
          <w:rFonts w:eastAsiaTheme="minorEastAsia"/>
        </w:rPr>
        <w:t>.</w:t>
      </w:r>
    </w:p>
    <w:bookmarkEnd w:id="75"/>
    <w:p w:rsidRPr="003210F5" w:rsidR="003A74F0" w:rsidP="003210F5" w:rsidRDefault="003A74F0" w14:paraId="399A8079" w14:textId="7699F162">
      <w:pPr>
        <w:pStyle w:val="JuHa0"/>
      </w:pPr>
      <w:r w:rsidRPr="003210F5">
        <w:rPr>
          <w:lang w:val="en-GB"/>
        </w:rPr>
        <w:t>L</w:t>
      </w:r>
      <w:r w:rsidRPr="003210F5" w:rsidR="003210F5">
        <w:rPr>
          <w:lang w:val="en-GB"/>
        </w:rPr>
        <w:t>’</w:t>
      </w:r>
      <w:r w:rsidRPr="003210F5">
        <w:rPr>
          <w:lang w:val="en-GB"/>
        </w:rPr>
        <w:t>appréciation</w:t>
      </w:r>
      <w:r w:rsidRPr="003210F5">
        <w:t xml:space="preserve"> de la Cour</w:t>
      </w:r>
    </w:p>
    <w:p w:rsidRPr="003210F5" w:rsidR="003A74F0" w:rsidP="003210F5" w:rsidRDefault="003A74F0" w14:paraId="773F7978" w14:textId="741B6693">
      <w:pPr>
        <w:pStyle w:val="JuPara"/>
        <w:rPr>
          <w:rFonts w:eastAsiaTheme="minorEastAsia"/>
        </w:rPr>
      </w:pPr>
      <w:r w:rsidRPr="003210F5">
        <w:fldChar w:fldCharType="begin"/>
      </w:r>
      <w:r w:rsidRPr="003210F5">
        <w:instrText xml:space="preserve"> SEQ level0 \*arabic </w:instrText>
      </w:r>
      <w:r w:rsidRPr="003210F5">
        <w:fldChar w:fldCharType="separate"/>
      </w:r>
      <w:r w:rsidRPr="003210F5" w:rsidR="003210F5">
        <w:rPr>
          <w:noProof/>
        </w:rPr>
        <w:t>138</w:t>
      </w:r>
      <w:r w:rsidRPr="003210F5">
        <w:fldChar w:fldCharType="end"/>
      </w:r>
      <w:r w:rsidRPr="003210F5">
        <w:t xml:space="preserve">.  La Cour rappelle que </w:t>
      </w:r>
      <w:r w:rsidRPr="003210F5">
        <w:rPr>
          <w:rFonts w:eastAsiaTheme="minorEastAsia"/>
        </w:rPr>
        <w:t>le constat de violation d</w:t>
      </w:r>
      <w:r w:rsidRPr="003210F5" w:rsidR="003210F5">
        <w:rPr>
          <w:rFonts w:eastAsiaTheme="minorEastAsia"/>
        </w:rPr>
        <w:t>’</w:t>
      </w:r>
      <w:r w:rsidRPr="003210F5">
        <w:rPr>
          <w:rFonts w:eastAsiaTheme="minorEastAsia"/>
        </w:rPr>
        <w:t>une autre disposition de la Convention n</w:t>
      </w:r>
      <w:r w:rsidRPr="003210F5" w:rsidR="003210F5">
        <w:rPr>
          <w:rFonts w:eastAsiaTheme="minorEastAsia"/>
        </w:rPr>
        <w:t>’</w:t>
      </w:r>
      <w:r w:rsidRPr="003210F5">
        <w:rPr>
          <w:rFonts w:eastAsiaTheme="minorEastAsia"/>
        </w:rPr>
        <w:t>est pas une condition préalable à l</w:t>
      </w:r>
      <w:r w:rsidRPr="003210F5" w:rsidR="003210F5">
        <w:rPr>
          <w:rFonts w:eastAsiaTheme="minorEastAsia"/>
        </w:rPr>
        <w:t>’</w:t>
      </w:r>
      <w:r w:rsidRPr="003210F5">
        <w:rPr>
          <w:rFonts w:eastAsiaTheme="minorEastAsia"/>
        </w:rPr>
        <w:t>application de l</w:t>
      </w:r>
      <w:r w:rsidRPr="003210F5" w:rsidR="003210F5">
        <w:rPr>
          <w:rFonts w:eastAsiaTheme="minorEastAsia"/>
        </w:rPr>
        <w:t>’</w:t>
      </w:r>
      <w:r w:rsidRPr="003210F5">
        <w:rPr>
          <w:rFonts w:eastAsiaTheme="minorEastAsia"/>
        </w:rPr>
        <w:t>article 13 (</w:t>
      </w:r>
      <w:r w:rsidRPr="003210F5">
        <w:rPr>
          <w:rFonts w:eastAsiaTheme="minorEastAsia"/>
          <w:i/>
        </w:rPr>
        <w:t>Sergey Denisov c. Russie</w:t>
      </w:r>
      <w:r w:rsidRPr="003210F5">
        <w:rPr>
          <w:rFonts w:eastAsiaTheme="minorEastAsia"/>
        </w:rPr>
        <w:t>, n</w:t>
      </w:r>
      <w:r w:rsidRPr="003210F5">
        <w:rPr>
          <w:rFonts w:eastAsiaTheme="minorEastAsia"/>
          <w:vertAlign w:val="superscript"/>
        </w:rPr>
        <w:t>o</w:t>
      </w:r>
      <w:r w:rsidRPr="003210F5">
        <w:rPr>
          <w:rFonts w:eastAsiaTheme="minorEastAsia"/>
        </w:rPr>
        <w:t> 21566/13, § 88, 8 octobre 2015, et les références qui y sont citées). Dans la présente affaire, même si elle a finalement conclu à la non-violation de l</w:t>
      </w:r>
      <w:r w:rsidRPr="003210F5" w:rsidR="003210F5">
        <w:rPr>
          <w:rFonts w:eastAsiaTheme="minorEastAsia"/>
        </w:rPr>
        <w:t>’</w:t>
      </w:r>
      <w:r w:rsidRPr="003210F5">
        <w:rPr>
          <w:rFonts w:eastAsiaTheme="minorEastAsia"/>
        </w:rPr>
        <w:t>article 3 de la Convention à l</w:t>
      </w:r>
      <w:r w:rsidRPr="003210F5" w:rsidR="003210F5">
        <w:rPr>
          <w:rFonts w:eastAsiaTheme="minorEastAsia"/>
        </w:rPr>
        <w:t>’</w:t>
      </w:r>
      <w:r w:rsidRPr="003210F5">
        <w:rPr>
          <w:rFonts w:eastAsiaTheme="minorEastAsia"/>
        </w:rPr>
        <w:t>égard des requérants et des périodes considérées, elle n</w:t>
      </w:r>
      <w:r w:rsidRPr="003210F5" w:rsidR="003210F5">
        <w:rPr>
          <w:rFonts w:eastAsiaTheme="minorEastAsia"/>
        </w:rPr>
        <w:t>’</w:t>
      </w:r>
      <w:r w:rsidRPr="003210F5">
        <w:rPr>
          <w:rFonts w:eastAsiaTheme="minorEastAsia"/>
        </w:rPr>
        <w:t xml:space="preserve">a pas estimé que leurs griefs étaient à première vue indéfendables. Elle est parvenue à cette conclusion seulement après avoir examiné le bien-fondé de leurs griefs </w:t>
      </w:r>
      <w:r w:rsidRPr="003210F5">
        <w:t>(paragraphes </w:t>
      </w:r>
      <w:r w:rsidRPr="003210F5">
        <w:fldChar w:fldCharType="begin"/>
      </w:r>
      <w:r w:rsidRPr="003210F5">
        <w:instrText xml:space="preserve"> REF onehundredthirteen \h  \* MERGEFORMAT </w:instrText>
      </w:r>
      <w:r w:rsidRPr="003210F5">
        <w:fldChar w:fldCharType="separate"/>
      </w:r>
      <w:r w:rsidRPr="003210F5" w:rsidR="003210F5">
        <w:rPr>
          <w:rFonts w:eastAsiaTheme="minorEastAsia"/>
        </w:rPr>
        <w:t>110</w:t>
      </w:r>
      <w:r w:rsidRPr="003210F5">
        <w:fldChar w:fldCharType="end"/>
      </w:r>
      <w:r w:rsidRPr="003210F5">
        <w:t>-</w:t>
      </w:r>
      <w:r w:rsidRPr="003210F5">
        <w:fldChar w:fldCharType="begin"/>
      </w:r>
      <w:r w:rsidRPr="003210F5">
        <w:instrText xml:space="preserve"> REF onehundredtwentynine \h  \* MERGEFORMAT </w:instrText>
      </w:r>
      <w:r w:rsidRPr="003210F5">
        <w:fldChar w:fldCharType="separate"/>
      </w:r>
      <w:r w:rsidRPr="003210F5" w:rsidR="003210F5">
        <w:rPr>
          <w:rFonts w:eastAsiaTheme="minorEastAsia"/>
        </w:rPr>
        <w:t>127</w:t>
      </w:r>
      <w:r w:rsidRPr="003210F5">
        <w:fldChar w:fldCharType="end"/>
      </w:r>
      <w:r w:rsidRPr="003210F5">
        <w:t xml:space="preserve"> ci-dessus)</w:t>
      </w:r>
      <w:r w:rsidRPr="003210F5">
        <w:rPr>
          <w:rFonts w:eastAsiaTheme="minorEastAsia"/>
        </w:rPr>
        <w:t>. Elle en conclut que les requérants ont soulevé des griefs défendables aux fins de l</w:t>
      </w:r>
      <w:r w:rsidRPr="003210F5" w:rsidR="003210F5">
        <w:rPr>
          <w:rFonts w:eastAsiaTheme="minorEastAsia"/>
        </w:rPr>
        <w:t>’</w:t>
      </w:r>
      <w:r w:rsidRPr="003210F5">
        <w:rPr>
          <w:rFonts w:eastAsiaTheme="minorEastAsia"/>
        </w:rPr>
        <w:t>article 13 de la Convention.</w:t>
      </w:r>
    </w:p>
    <w:p w:rsidRPr="003210F5" w:rsidR="003A74F0" w:rsidP="003210F5" w:rsidRDefault="003A74F0" w14:paraId="5923F6CA" w14:textId="4C46D70A">
      <w:pPr>
        <w:pStyle w:val="JuPara"/>
        <w:rPr>
          <w:rFonts w:eastAsia="Times New Roman"/>
        </w:rPr>
      </w:pPr>
      <w:r w:rsidRPr="003210F5">
        <w:rPr>
          <w:rFonts w:eastAsia="Times New Roman"/>
        </w:rPr>
        <w:fldChar w:fldCharType="begin"/>
      </w:r>
      <w:r w:rsidRPr="003210F5">
        <w:rPr>
          <w:rFonts w:eastAsia="Times New Roman"/>
        </w:rPr>
        <w:instrText xml:space="preserve"> SEQ level0 \*arabic </w:instrText>
      </w:r>
      <w:r w:rsidRPr="003210F5">
        <w:rPr>
          <w:rFonts w:eastAsia="Times New Roman"/>
        </w:rPr>
        <w:fldChar w:fldCharType="separate"/>
      </w:r>
      <w:r w:rsidRPr="003210F5" w:rsidR="003210F5">
        <w:rPr>
          <w:rFonts w:eastAsia="Times New Roman"/>
          <w:noProof/>
        </w:rPr>
        <w:t>139</w:t>
      </w:r>
      <w:r w:rsidRPr="003210F5">
        <w:rPr>
          <w:rFonts w:eastAsia="Times New Roman"/>
        </w:rPr>
        <w:fldChar w:fldCharType="end"/>
      </w:r>
      <w:r w:rsidRPr="003210F5">
        <w:rPr>
          <w:rFonts w:eastAsia="Times New Roman"/>
        </w:rPr>
        <w:t>.  La Cour rappelle aussi que dans plusieurs affaires relatives aux conditions de détention dans des prisons, alors qu</w:t>
      </w:r>
      <w:r w:rsidRPr="003210F5" w:rsidR="003210F5">
        <w:rPr>
          <w:rFonts w:eastAsia="Times New Roman"/>
        </w:rPr>
        <w:t>’</w:t>
      </w:r>
      <w:r w:rsidRPr="003210F5">
        <w:rPr>
          <w:rFonts w:eastAsia="Times New Roman"/>
        </w:rPr>
        <w:t>elle avait conclu à la non-violation de l</w:t>
      </w:r>
      <w:r w:rsidRPr="003210F5" w:rsidR="003210F5">
        <w:rPr>
          <w:rFonts w:eastAsia="Times New Roman"/>
        </w:rPr>
        <w:t>’</w:t>
      </w:r>
      <w:r w:rsidRPr="003210F5">
        <w:rPr>
          <w:rFonts w:eastAsia="Times New Roman"/>
        </w:rPr>
        <w:t>article 3 de la Convention pris isolément, elle a constaté la violation de l</w:t>
      </w:r>
      <w:r w:rsidRPr="003210F5" w:rsidR="003210F5">
        <w:rPr>
          <w:rFonts w:eastAsia="Times New Roman"/>
        </w:rPr>
        <w:t>’</w:t>
      </w:r>
      <w:r w:rsidRPr="003210F5">
        <w:rPr>
          <w:rFonts w:eastAsia="Times New Roman"/>
        </w:rPr>
        <w:t>article 13 de la Convention combiné avec l</w:t>
      </w:r>
      <w:r w:rsidRPr="003210F5" w:rsidR="003210F5">
        <w:rPr>
          <w:rFonts w:eastAsia="Times New Roman"/>
        </w:rPr>
        <w:t>’</w:t>
      </w:r>
      <w:r w:rsidRPr="003210F5">
        <w:rPr>
          <w:rFonts w:eastAsia="Times New Roman"/>
        </w:rPr>
        <w:t>article 3 (</w:t>
      </w:r>
      <w:r w:rsidRPr="003210F5">
        <w:rPr>
          <w:rFonts w:eastAsia="Times New Roman"/>
          <w:i/>
        </w:rPr>
        <w:t>Pilalis et autres</w:t>
      </w:r>
      <w:r w:rsidRPr="003210F5">
        <w:rPr>
          <w:rFonts w:eastAsia="Times New Roman"/>
          <w:iCs/>
        </w:rPr>
        <w:t>, précité</w:t>
      </w:r>
      <w:r w:rsidRPr="003210F5">
        <w:rPr>
          <w:rFonts w:eastAsia="Times New Roman"/>
        </w:rPr>
        <w:t xml:space="preserve">, § 65, </w:t>
      </w:r>
      <w:r w:rsidRPr="003210F5">
        <w:rPr>
          <w:rFonts w:eastAsia="Times New Roman"/>
          <w:i/>
        </w:rPr>
        <w:t>D.M. c. Grèce</w:t>
      </w:r>
      <w:r w:rsidRPr="003210F5">
        <w:rPr>
          <w:rFonts w:eastAsia="Times New Roman"/>
        </w:rPr>
        <w:t>, n</w:t>
      </w:r>
      <w:r w:rsidRPr="003210F5">
        <w:rPr>
          <w:rFonts w:eastAsia="Times New Roman"/>
          <w:vertAlign w:val="superscript"/>
        </w:rPr>
        <w:t>o</w:t>
      </w:r>
      <w:r w:rsidRPr="003210F5">
        <w:rPr>
          <w:rFonts w:eastAsia="Times New Roman"/>
        </w:rPr>
        <w:t xml:space="preserve"> 44559/15, §§ 42-45, 16</w:t>
      </w:r>
      <w:r w:rsidRPr="003210F5" w:rsidR="0086671F">
        <w:rPr>
          <w:rFonts w:eastAsia="Times New Roman"/>
        </w:rPr>
        <w:t> </w:t>
      </w:r>
      <w:r w:rsidRPr="003210F5">
        <w:rPr>
          <w:rFonts w:eastAsia="Times New Roman"/>
        </w:rPr>
        <w:t xml:space="preserve">février 2017, </w:t>
      </w:r>
      <w:r w:rsidRPr="003210F5">
        <w:rPr>
          <w:rFonts w:eastAsia="Times New Roman"/>
          <w:i/>
        </w:rPr>
        <w:t>Singh et autres c. Grèce</w:t>
      </w:r>
      <w:r w:rsidRPr="003210F5">
        <w:rPr>
          <w:rFonts w:eastAsia="Times New Roman"/>
        </w:rPr>
        <w:t>, n</w:t>
      </w:r>
      <w:r w:rsidRPr="003210F5">
        <w:rPr>
          <w:rFonts w:eastAsia="Times New Roman"/>
          <w:vertAlign w:val="superscript"/>
        </w:rPr>
        <w:t>o</w:t>
      </w:r>
      <w:r w:rsidRPr="003210F5">
        <w:rPr>
          <w:rFonts w:eastAsia="Times New Roman"/>
        </w:rPr>
        <w:t xml:space="preserve"> 60041/13, §§ 62-64, 19 janvier 2017, </w:t>
      </w:r>
      <w:r w:rsidRPr="003210F5">
        <w:rPr>
          <w:rFonts w:eastAsia="Times New Roman"/>
          <w:i/>
        </w:rPr>
        <w:t>Konstantinopoulos et autres c. Grèce</w:t>
      </w:r>
      <w:r w:rsidRPr="003210F5">
        <w:rPr>
          <w:rFonts w:eastAsia="Times New Roman"/>
        </w:rPr>
        <w:t>, n</w:t>
      </w:r>
      <w:r w:rsidRPr="003210F5">
        <w:rPr>
          <w:rFonts w:eastAsia="Times New Roman"/>
          <w:vertAlign w:val="superscript"/>
        </w:rPr>
        <w:t>o</w:t>
      </w:r>
      <w:r w:rsidRPr="003210F5">
        <w:rPr>
          <w:rFonts w:eastAsia="Times New Roman"/>
        </w:rPr>
        <w:t xml:space="preserve"> 69781/13, §§ 57</w:t>
      </w:r>
      <w:r w:rsidRPr="003210F5">
        <w:rPr>
          <w:rFonts w:eastAsia="Times New Roman"/>
        </w:rPr>
        <w:noBreakHyphen/>
        <w:t xml:space="preserve">59, 28 janvier 2016, et </w:t>
      </w:r>
      <w:r w:rsidRPr="003210F5">
        <w:rPr>
          <w:rFonts w:eastAsia="Times New Roman"/>
          <w:i/>
        </w:rPr>
        <w:t xml:space="preserve">Papakonstantinou, </w:t>
      </w:r>
      <w:r w:rsidRPr="003210F5">
        <w:rPr>
          <w:rFonts w:eastAsia="Times New Roman"/>
        </w:rPr>
        <w:t>précité, § 51).</w:t>
      </w:r>
    </w:p>
    <w:p w:rsidRPr="003210F5" w:rsidR="003A74F0" w:rsidP="003210F5" w:rsidRDefault="003A74F0" w14:paraId="53BF8982" w14:textId="49398605">
      <w:pPr>
        <w:pStyle w:val="JuPara"/>
        <w:rPr>
          <w:rFonts w:eastAsia="Times New Roman" w:cs="Times New Roman"/>
        </w:rPr>
      </w:pPr>
      <w:r w:rsidRPr="003210F5">
        <w:fldChar w:fldCharType="begin"/>
      </w:r>
      <w:r w:rsidRPr="003210F5">
        <w:instrText xml:space="preserve"> SEQ level0 \*arabic </w:instrText>
      </w:r>
      <w:r w:rsidRPr="003210F5">
        <w:fldChar w:fldCharType="separate"/>
      </w:r>
      <w:r w:rsidRPr="003210F5" w:rsidR="003210F5">
        <w:rPr>
          <w:noProof/>
        </w:rPr>
        <w:t>140</w:t>
      </w:r>
      <w:r w:rsidRPr="003210F5">
        <w:fldChar w:fldCharType="end"/>
      </w:r>
      <w:r w:rsidRPr="003210F5">
        <w:t>.  </w:t>
      </w:r>
      <w:r w:rsidRPr="003210F5">
        <w:rPr>
          <w:rFonts w:ascii="Times New Roman" w:hAnsi="Times New Roman" w:eastAsia="Times New Roman" w:cs="Times New Roman"/>
        </w:rPr>
        <w:t>Quant au recours compensatoire que constitue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action en dommages–intérêts contre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État sur le fondement de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article 105 de la loi d</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accompagnement du code civil, la Cour rappelle qu</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outre le fait que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exercice d</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une telle action présuppose de démontrer à la base du manquement de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État une illégalité au sens du droit grec, elle a jugé cette action effective seulement lorsqu</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elle est engagée après la mise en liberté de l</w:t>
      </w:r>
      <w:r w:rsidRPr="003210F5" w:rsidR="003210F5">
        <w:rPr>
          <w:rFonts w:ascii="Times New Roman" w:hAnsi="Times New Roman" w:eastAsia="Times New Roman" w:cs="Times New Roman"/>
        </w:rPr>
        <w:t>’</w:t>
      </w:r>
      <w:r w:rsidRPr="003210F5">
        <w:rPr>
          <w:rFonts w:ascii="Times New Roman" w:hAnsi="Times New Roman" w:eastAsia="Times New Roman" w:cs="Times New Roman"/>
        </w:rPr>
        <w:t xml:space="preserve">intéressé et non pendant la détention car il lui manque un caractère préventif au sens de la jurisprudence de la Cour (voir, parmi plusieurs autres, </w:t>
      </w:r>
      <w:r w:rsidRPr="003210F5">
        <w:rPr>
          <w:rFonts w:ascii="Times New Roman" w:hAnsi="Times New Roman" w:eastAsia="Times New Roman" w:cs="Times New Roman"/>
          <w:i/>
        </w:rPr>
        <w:t>Konstantinopoulos et autres</w:t>
      </w:r>
      <w:r w:rsidRPr="003210F5">
        <w:rPr>
          <w:rFonts w:ascii="Times New Roman" w:hAnsi="Times New Roman" w:eastAsia="Times New Roman" w:cs="Times New Roman"/>
          <w:iCs/>
        </w:rPr>
        <w:t>, précité</w:t>
      </w:r>
      <w:r w:rsidRPr="003210F5">
        <w:rPr>
          <w:rFonts w:ascii="Times New Roman" w:hAnsi="Times New Roman" w:eastAsia="Times New Roman" w:cs="Times New Roman"/>
        </w:rPr>
        <w:t xml:space="preserve">, § 39, </w:t>
      </w:r>
      <w:r w:rsidRPr="003210F5">
        <w:rPr>
          <w:rFonts w:ascii="Times New Roman" w:hAnsi="Times New Roman" w:eastAsia="Times New Roman" w:cs="Times New Roman"/>
          <w:i/>
        </w:rPr>
        <w:t>Patrikis et autres c.</w:t>
      </w:r>
      <w:r w:rsidRPr="003210F5" w:rsidR="000C2872">
        <w:rPr>
          <w:rFonts w:ascii="Times New Roman" w:hAnsi="Times New Roman" w:eastAsia="Times New Roman" w:cs="Times New Roman"/>
          <w:i/>
        </w:rPr>
        <w:t> </w:t>
      </w:r>
      <w:r w:rsidRPr="003210F5">
        <w:rPr>
          <w:rFonts w:ascii="Times New Roman" w:hAnsi="Times New Roman" w:eastAsia="Times New Roman" w:cs="Times New Roman"/>
          <w:i/>
        </w:rPr>
        <w:t>Grèce</w:t>
      </w:r>
      <w:r w:rsidRPr="003210F5">
        <w:rPr>
          <w:rFonts w:ascii="Times New Roman" w:hAnsi="Times New Roman" w:eastAsia="Times New Roman" w:cs="Times New Roman"/>
        </w:rPr>
        <w:t>, n</w:t>
      </w:r>
      <w:r w:rsidRPr="003210F5">
        <w:rPr>
          <w:rFonts w:ascii="Times New Roman" w:hAnsi="Times New Roman" w:eastAsia="Times New Roman" w:cs="Times New Roman"/>
          <w:vertAlign w:val="superscript"/>
        </w:rPr>
        <w:t>o</w:t>
      </w:r>
      <w:r w:rsidRPr="003210F5">
        <w:rPr>
          <w:rFonts w:ascii="Times New Roman" w:hAnsi="Times New Roman" w:eastAsia="Times New Roman" w:cs="Times New Roman"/>
        </w:rPr>
        <w:t xml:space="preserve"> 50622/13, § 37, 28 janvier 2016, </w:t>
      </w:r>
      <w:r w:rsidRPr="003210F5">
        <w:rPr>
          <w:rFonts w:ascii="Times New Roman" w:hAnsi="Times New Roman" w:eastAsia="Times New Roman" w:cs="Times New Roman"/>
          <w:i/>
        </w:rPr>
        <w:t>Adiele et autres c. Grèce</w:t>
      </w:r>
      <w:r w:rsidRPr="003210F5">
        <w:rPr>
          <w:rFonts w:ascii="Times New Roman" w:hAnsi="Times New Roman" w:eastAsia="Times New Roman" w:cs="Times New Roman"/>
        </w:rPr>
        <w:t>, n</w:t>
      </w:r>
      <w:r w:rsidRPr="003210F5">
        <w:rPr>
          <w:rFonts w:ascii="Times New Roman" w:hAnsi="Times New Roman" w:eastAsia="Times New Roman" w:cs="Times New Roman"/>
          <w:vertAlign w:val="superscript"/>
        </w:rPr>
        <w:t>o</w:t>
      </w:r>
      <w:r w:rsidRPr="003210F5" w:rsidR="000C2872">
        <w:rPr>
          <w:rFonts w:ascii="Times New Roman" w:hAnsi="Times New Roman" w:eastAsia="Times New Roman" w:cs="Times New Roman"/>
        </w:rPr>
        <w:t> </w:t>
      </w:r>
      <w:r w:rsidRPr="003210F5">
        <w:rPr>
          <w:rFonts w:ascii="Times New Roman" w:hAnsi="Times New Roman" w:eastAsia="Times New Roman" w:cs="Times New Roman"/>
        </w:rPr>
        <w:t xml:space="preserve">29769/13, §§ 34-35, 25 février 2016, </w:t>
      </w:r>
      <w:r w:rsidRPr="003210F5">
        <w:rPr>
          <w:rFonts w:ascii="Times New Roman" w:hAnsi="Times New Roman" w:eastAsia="Times New Roman" w:cs="Times New Roman"/>
          <w:i/>
        </w:rPr>
        <w:t>Papadakis et autres c. Grèce</w:t>
      </w:r>
      <w:r w:rsidRPr="003210F5">
        <w:rPr>
          <w:rFonts w:ascii="Times New Roman" w:hAnsi="Times New Roman" w:eastAsia="Times New Roman" w:cs="Times New Roman"/>
        </w:rPr>
        <w:t>, n</w:t>
      </w:r>
      <w:r w:rsidRPr="003210F5">
        <w:rPr>
          <w:rFonts w:ascii="Times New Roman" w:hAnsi="Times New Roman" w:eastAsia="Times New Roman" w:cs="Times New Roman"/>
          <w:vertAlign w:val="superscript"/>
        </w:rPr>
        <w:t>o</w:t>
      </w:r>
      <w:r w:rsidRPr="003210F5" w:rsidR="000C2872">
        <w:rPr>
          <w:rFonts w:ascii="Times New Roman" w:hAnsi="Times New Roman" w:eastAsia="Times New Roman" w:cs="Times New Roman"/>
        </w:rPr>
        <w:t> </w:t>
      </w:r>
      <w:r w:rsidRPr="003210F5">
        <w:rPr>
          <w:rFonts w:ascii="Times New Roman" w:hAnsi="Times New Roman" w:eastAsia="Times New Roman" w:cs="Times New Roman"/>
        </w:rPr>
        <w:t>34083/13, §§ 50</w:t>
      </w:r>
      <w:r w:rsidRPr="003210F5">
        <w:rPr>
          <w:rFonts w:ascii="Times New Roman" w:hAnsi="Times New Roman" w:eastAsia="Times New Roman" w:cs="Times New Roman"/>
        </w:rPr>
        <w:noBreakHyphen/>
        <w:t xml:space="preserve">51, 25 février 2016, </w:t>
      </w:r>
      <w:r w:rsidRPr="003210F5">
        <w:rPr>
          <w:rFonts w:ascii="Times New Roman" w:hAnsi="Times New Roman" w:eastAsia="Times New Roman" w:cs="Times New Roman"/>
          <w:i/>
        </w:rPr>
        <w:t>Kagia c. Grèce</w:t>
      </w:r>
      <w:r w:rsidRPr="003210F5">
        <w:rPr>
          <w:rFonts w:ascii="Times New Roman" w:hAnsi="Times New Roman" w:eastAsia="Times New Roman" w:cs="Times New Roman"/>
        </w:rPr>
        <w:t>, n</w:t>
      </w:r>
      <w:r w:rsidRPr="003210F5">
        <w:rPr>
          <w:rFonts w:ascii="Times New Roman" w:hAnsi="Times New Roman" w:eastAsia="Times New Roman" w:cs="Times New Roman"/>
          <w:vertAlign w:val="superscript"/>
        </w:rPr>
        <w:t>o</w:t>
      </w:r>
      <w:r w:rsidRPr="003210F5">
        <w:rPr>
          <w:rFonts w:ascii="Times New Roman" w:hAnsi="Times New Roman" w:eastAsia="Times New Roman" w:cs="Times New Roman"/>
        </w:rPr>
        <w:t xml:space="preserve"> 36442/15, § 37, 30</w:t>
      </w:r>
      <w:r w:rsidRPr="003210F5" w:rsidR="000C2872">
        <w:rPr>
          <w:rFonts w:ascii="Times New Roman" w:hAnsi="Times New Roman" w:eastAsia="Times New Roman" w:cs="Times New Roman"/>
        </w:rPr>
        <w:t> </w:t>
      </w:r>
      <w:r w:rsidRPr="003210F5">
        <w:rPr>
          <w:rFonts w:ascii="Times New Roman" w:hAnsi="Times New Roman" w:eastAsia="Times New Roman" w:cs="Times New Roman"/>
        </w:rPr>
        <w:t xml:space="preserve">juin 2016, et </w:t>
      </w:r>
      <w:r w:rsidRPr="003210F5">
        <w:rPr>
          <w:rFonts w:ascii="Times New Roman" w:hAnsi="Times New Roman" w:eastAsia="Times New Roman" w:cs="Times New Roman"/>
          <w:i/>
        </w:rPr>
        <w:t>Pilalis et autres</w:t>
      </w:r>
      <w:r w:rsidRPr="003210F5">
        <w:rPr>
          <w:rFonts w:ascii="Times New Roman" w:hAnsi="Times New Roman" w:eastAsia="Times New Roman" w:cs="Times New Roman"/>
          <w:iCs/>
        </w:rPr>
        <w:t>, précité</w:t>
      </w:r>
      <w:r w:rsidRPr="003210F5">
        <w:rPr>
          <w:rFonts w:ascii="Times New Roman" w:hAnsi="Times New Roman" w:eastAsia="Times New Roman" w:cs="Times New Roman"/>
        </w:rPr>
        <w:t>, § 44).</w:t>
      </w:r>
    </w:p>
    <w:p w:rsidRPr="003210F5" w:rsidR="003A74F0" w:rsidP="003210F5" w:rsidRDefault="003A74F0" w14:paraId="760B302B" w14:textId="6E380575">
      <w:pPr>
        <w:pStyle w:val="JuPara"/>
      </w:pPr>
      <w:r w:rsidRPr="003210F5">
        <w:fldChar w:fldCharType="begin"/>
      </w:r>
      <w:r w:rsidRPr="003210F5">
        <w:instrText xml:space="preserve"> SEQ level0 \*arabic </w:instrText>
      </w:r>
      <w:r w:rsidRPr="003210F5">
        <w:fldChar w:fldCharType="separate"/>
      </w:r>
      <w:r w:rsidRPr="003210F5" w:rsidR="003210F5">
        <w:rPr>
          <w:noProof/>
        </w:rPr>
        <w:t>141</w:t>
      </w:r>
      <w:r w:rsidRPr="003210F5">
        <w:fldChar w:fldCharType="end"/>
      </w:r>
      <w:r w:rsidRPr="003210F5">
        <w:t>.  La Cour ne voit aucune raison dans la présente affaire de s</w:t>
      </w:r>
      <w:r w:rsidRPr="003210F5" w:rsidR="003210F5">
        <w:t>’</w:t>
      </w:r>
      <w:r w:rsidRPr="003210F5">
        <w:t>écarter de sa jurisprudence constante en la matière. Concernant les requérants désignés sous les n</w:t>
      </w:r>
      <w:r w:rsidRPr="003210F5">
        <w:rPr>
          <w:vertAlign w:val="superscript"/>
        </w:rPr>
        <w:t xml:space="preserve">os </w:t>
      </w:r>
      <w:r w:rsidRPr="003210F5">
        <w:t>1, 2, 4, 6, 10 à 14, 16, 17, 19, 20, 26 à 28, 30 et 32 à 34 et pour autant que leurs griefs concernent leurs conditions de détention dans la partie de la prison qui fonctionnait en tant que prison fermée, il y a eu violation de l</w:t>
      </w:r>
      <w:r w:rsidRPr="003210F5" w:rsidR="003210F5">
        <w:t>’</w:t>
      </w:r>
      <w:r w:rsidRPr="003210F5">
        <w:t>article 13 combiné avec l</w:t>
      </w:r>
      <w:r w:rsidRPr="003210F5" w:rsidR="003210F5">
        <w:t>’</w:t>
      </w:r>
      <w:r w:rsidRPr="003210F5">
        <w:t>article 3 de la Convention.</w:t>
      </w:r>
    </w:p>
    <w:p w:rsidRPr="003210F5" w:rsidR="003A74F0" w:rsidP="003210F5" w:rsidRDefault="003A74F0" w14:paraId="2643C9B3" w14:textId="5CD83F79">
      <w:pPr>
        <w:pStyle w:val="JuHIRoman"/>
      </w:pPr>
      <w:r w:rsidRPr="003210F5">
        <w:t>SUR L</w:t>
      </w:r>
      <w:r w:rsidRPr="003210F5" w:rsidR="003210F5">
        <w:t>’</w:t>
      </w:r>
      <w:r w:rsidRPr="003210F5">
        <w:t>APPLICATION DE L</w:t>
      </w:r>
      <w:r w:rsidRPr="003210F5" w:rsidR="003210F5">
        <w:t>’</w:t>
      </w:r>
      <w:r w:rsidRPr="003210F5">
        <w:t>ARTICLE 41 DE LA CONVENTION</w:t>
      </w:r>
    </w:p>
    <w:p w:rsidRPr="003210F5" w:rsidR="003A74F0" w:rsidP="003210F5" w:rsidRDefault="003A74F0" w14:paraId="119D970C" w14:textId="1DC1355A">
      <w:pPr>
        <w:pStyle w:val="JuPara"/>
      </w:pPr>
      <w:r w:rsidRPr="003210F5">
        <w:fldChar w:fldCharType="begin"/>
      </w:r>
      <w:r w:rsidRPr="003210F5">
        <w:instrText xml:space="preserve"> SEQ level0 \*arabic </w:instrText>
      </w:r>
      <w:r w:rsidRPr="003210F5">
        <w:fldChar w:fldCharType="separate"/>
      </w:r>
      <w:r w:rsidRPr="003210F5" w:rsidR="003210F5">
        <w:rPr>
          <w:noProof/>
        </w:rPr>
        <w:t>142</w:t>
      </w:r>
      <w:r w:rsidRPr="003210F5">
        <w:fldChar w:fldCharType="end"/>
      </w:r>
      <w:r w:rsidRPr="003210F5">
        <w:t>.  Aux termes de l</w:t>
      </w:r>
      <w:r w:rsidRPr="003210F5" w:rsidR="003210F5">
        <w:t>’</w:t>
      </w:r>
      <w:r w:rsidRPr="003210F5">
        <w:t>article 41 de la Convention :</w:t>
      </w:r>
    </w:p>
    <w:p w:rsidRPr="003210F5" w:rsidR="003A74F0" w:rsidP="003210F5" w:rsidRDefault="003A74F0" w14:paraId="65B8519E" w14:textId="4AAB7166">
      <w:pPr>
        <w:pStyle w:val="JuQuot"/>
      </w:pPr>
      <w:r w:rsidRPr="003210F5">
        <w:t>« Si la Cour déclare qu</w:t>
      </w:r>
      <w:r w:rsidRPr="003210F5" w:rsidR="003210F5">
        <w:t>’</w:t>
      </w:r>
      <w:r w:rsidRPr="003210F5">
        <w:t>il y a eu violation de la Convention ou de ses Protocoles, et si le droit interne de la Haute Partie contractante ne permet d</w:t>
      </w:r>
      <w:r w:rsidRPr="003210F5" w:rsidR="003210F5">
        <w:t>’</w:t>
      </w:r>
      <w:r w:rsidRPr="003210F5">
        <w:t>effacer qu</w:t>
      </w:r>
      <w:r w:rsidRPr="003210F5" w:rsidR="003210F5">
        <w:t>’</w:t>
      </w:r>
      <w:r w:rsidRPr="003210F5">
        <w:t>imparfaitement les conséquences de cette violation, la Cour accorde à la partie lésée, s</w:t>
      </w:r>
      <w:r w:rsidRPr="003210F5" w:rsidR="003210F5">
        <w:t>’</w:t>
      </w:r>
      <w:r w:rsidRPr="003210F5">
        <w:t>il y a lieu, une satisfaction équitable. »</w:t>
      </w:r>
    </w:p>
    <w:p w:rsidRPr="003210F5" w:rsidR="003A74F0" w:rsidP="003210F5" w:rsidRDefault="003A74F0" w14:paraId="6B200552" w14:textId="77777777">
      <w:pPr>
        <w:pStyle w:val="JuHA"/>
        <w:numPr>
          <w:ilvl w:val="2"/>
          <w:numId w:val="4"/>
        </w:numPr>
        <w:tabs>
          <w:tab w:val="num" w:pos="1418"/>
        </w:tabs>
        <w:ind w:left="1419" w:hanging="284"/>
        <w:rPr>
          <w:lang w:val="en-GB"/>
        </w:rPr>
      </w:pPr>
      <w:r w:rsidRPr="003210F5">
        <w:rPr>
          <w:lang w:val="en-GB"/>
        </w:rPr>
        <w:t>Dommage</w:t>
      </w:r>
    </w:p>
    <w:p w:rsidRPr="003210F5" w:rsidR="003A74F0" w:rsidP="003210F5" w:rsidRDefault="003A74F0" w14:paraId="4678FC58" w14:textId="47A3036D">
      <w:pPr>
        <w:pStyle w:val="JuPara"/>
        <w:rPr>
          <w:strike/>
        </w:rPr>
      </w:pPr>
      <w:r w:rsidRPr="003210F5">
        <w:rPr>
          <w:rStyle w:val="JuParaChar"/>
        </w:rPr>
        <w:fldChar w:fldCharType="begin"/>
      </w:r>
      <w:r w:rsidRPr="003210F5">
        <w:rPr>
          <w:rStyle w:val="JuParaChar"/>
        </w:rPr>
        <w:instrText xml:space="preserve"> SEQ level0 \*arabic </w:instrText>
      </w:r>
      <w:r w:rsidRPr="003210F5">
        <w:rPr>
          <w:rStyle w:val="JuParaChar"/>
        </w:rPr>
        <w:fldChar w:fldCharType="separate"/>
      </w:r>
      <w:r w:rsidRPr="003210F5" w:rsidR="003210F5">
        <w:rPr>
          <w:rStyle w:val="JuParaChar"/>
          <w:noProof/>
        </w:rPr>
        <w:t>143</w:t>
      </w:r>
      <w:r w:rsidRPr="003210F5">
        <w:rPr>
          <w:rStyle w:val="JuParaChar"/>
        </w:rPr>
        <w:fldChar w:fldCharType="end"/>
      </w:r>
      <w:r w:rsidRPr="003210F5">
        <w:rPr>
          <w:rStyle w:val="JuParaChar"/>
        </w:rPr>
        <w:t>.  Au titre du préjudice matériel et moral qu</w:t>
      </w:r>
      <w:r w:rsidRPr="003210F5" w:rsidR="003210F5">
        <w:rPr>
          <w:rStyle w:val="JuParaChar"/>
        </w:rPr>
        <w:t>’</w:t>
      </w:r>
      <w:r w:rsidRPr="003210F5">
        <w:rPr>
          <w:rStyle w:val="JuParaChar"/>
        </w:rPr>
        <w:t xml:space="preserve">ils estiment avoir subi, les requérants désignés sous les nos 1, 4, 10, 14, 16, 17, 19, 32 et 34 réclament </w:t>
      </w:r>
      <w:r w:rsidRPr="003210F5">
        <w:t>24 000 EUR pour la violation alléguée de l</w:t>
      </w:r>
      <w:r w:rsidRPr="003210F5" w:rsidR="003210F5">
        <w:t>’</w:t>
      </w:r>
      <w:r w:rsidRPr="003210F5">
        <w:t>article 3 de la Convention et 9</w:t>
      </w:r>
      <w:r w:rsidRPr="003210F5" w:rsidR="002D6B68">
        <w:t> </w:t>
      </w:r>
      <w:r w:rsidRPr="003210F5">
        <w:t>000</w:t>
      </w:r>
      <w:r w:rsidRPr="003210F5" w:rsidR="002D6B68">
        <w:t> </w:t>
      </w:r>
      <w:r w:rsidRPr="003210F5">
        <w:t>EUR pour celle de l</w:t>
      </w:r>
      <w:r w:rsidRPr="003210F5" w:rsidR="003210F5">
        <w:t>’</w:t>
      </w:r>
      <w:r w:rsidRPr="003210F5">
        <w:t>article 13. À ce même titre, les requérants désignés sous les n</w:t>
      </w:r>
      <w:r w:rsidRPr="003210F5">
        <w:rPr>
          <w:vertAlign w:val="superscript"/>
        </w:rPr>
        <w:t>os</w:t>
      </w:r>
      <w:r w:rsidRPr="003210F5">
        <w:t xml:space="preserve"> 2, 20, 26 et 30 réclament 20 000 EUR pour la violation alléguée de l</w:t>
      </w:r>
      <w:r w:rsidRPr="003210F5" w:rsidR="003210F5">
        <w:t>’</w:t>
      </w:r>
      <w:r w:rsidRPr="003210F5">
        <w:t>article 3 et 9 000 EUR pour celle de l</w:t>
      </w:r>
      <w:r w:rsidRPr="003210F5" w:rsidR="003210F5">
        <w:t>’</w:t>
      </w:r>
      <w:r w:rsidRPr="003210F5">
        <w:t>article 13. Les requérants désignés sous les n</w:t>
      </w:r>
      <w:r w:rsidRPr="003210F5">
        <w:rPr>
          <w:vertAlign w:val="superscript"/>
        </w:rPr>
        <w:t>os</w:t>
      </w:r>
      <w:r w:rsidRPr="003210F5">
        <w:t xml:space="preserve"> 6, 11, 27 et 33 réclament 15 000 EUR pour la violation alléguée de l</w:t>
      </w:r>
      <w:r w:rsidRPr="003210F5" w:rsidR="003210F5">
        <w:t>’</w:t>
      </w:r>
      <w:r w:rsidRPr="003210F5">
        <w:t>article 3 et 6 000 EUR pour celle de l</w:t>
      </w:r>
      <w:r w:rsidRPr="003210F5" w:rsidR="003210F5">
        <w:t>’</w:t>
      </w:r>
      <w:r w:rsidRPr="003210F5">
        <w:t>article 13. Les requérants désignés sous les n</w:t>
      </w:r>
      <w:r w:rsidRPr="003210F5">
        <w:rPr>
          <w:vertAlign w:val="superscript"/>
        </w:rPr>
        <w:t>os</w:t>
      </w:r>
      <w:r w:rsidRPr="003210F5">
        <w:t xml:space="preserve"> 12, 13 et 28 réclament 12 000 EUR pour la violation alléguée de l</w:t>
      </w:r>
      <w:r w:rsidRPr="003210F5" w:rsidR="003210F5">
        <w:t>’</w:t>
      </w:r>
      <w:r w:rsidRPr="003210F5">
        <w:t>article 3 et 6 000 EUR pour celle de l</w:t>
      </w:r>
      <w:r w:rsidRPr="003210F5" w:rsidR="003210F5">
        <w:t>’</w:t>
      </w:r>
      <w:r w:rsidRPr="003210F5">
        <w:t>article 13. Ils demandent que les sommes soient versées directement sur le compte bancaire de leurs représentantes.</w:t>
      </w:r>
    </w:p>
    <w:p w:rsidRPr="003210F5" w:rsidR="003A74F0" w:rsidP="003210F5" w:rsidRDefault="003A74F0" w14:paraId="2A75A8FE" w14:textId="43884FAC">
      <w:pPr>
        <w:pStyle w:val="JuPara"/>
      </w:pPr>
      <w:r w:rsidRPr="003210F5">
        <w:fldChar w:fldCharType="begin"/>
      </w:r>
      <w:r w:rsidRPr="003210F5">
        <w:instrText xml:space="preserve"> SEQ level0 \*arabic </w:instrText>
      </w:r>
      <w:r w:rsidRPr="003210F5">
        <w:fldChar w:fldCharType="separate"/>
      </w:r>
      <w:r w:rsidRPr="003210F5" w:rsidR="003210F5">
        <w:rPr>
          <w:noProof/>
        </w:rPr>
        <w:t>144</w:t>
      </w:r>
      <w:r w:rsidRPr="003210F5">
        <w:fldChar w:fldCharType="end"/>
      </w:r>
      <w:r w:rsidRPr="003210F5">
        <w:t>.  Le Gouvernement s</w:t>
      </w:r>
      <w:r w:rsidRPr="003210F5" w:rsidR="003210F5">
        <w:t>’</w:t>
      </w:r>
      <w:r w:rsidRPr="003210F5">
        <w:t>oppose à ces demandes. Il observe qu</w:t>
      </w:r>
      <w:r w:rsidRPr="003210F5" w:rsidR="003210F5">
        <w:t>’</w:t>
      </w:r>
      <w:r w:rsidRPr="003210F5">
        <w:t>à supposer même que la Cour conclue à la violation de l</w:t>
      </w:r>
      <w:r w:rsidRPr="003210F5" w:rsidR="003210F5">
        <w:t>’</w:t>
      </w:r>
      <w:r w:rsidRPr="003210F5">
        <w:t>article 3 concernant les conditions de détention dans la prison fermée, leur demande ne doit pas être acceptée au vu de la brièveté de leur durée de détention dans l</w:t>
      </w:r>
      <w:r w:rsidRPr="003210F5" w:rsidR="003210F5">
        <w:t>’</w:t>
      </w:r>
      <w:r w:rsidRPr="003210F5">
        <w:t>immeuble A qui fonctionnait en tant que prison fermée et de leur passage dans les régimes de prison ouverte et de semi-liberté. Il estime que les sommes demandées sont excessives et que le constat de la violation constituerait une satisfaction suffisante quant au dommage moral.</w:t>
      </w:r>
    </w:p>
    <w:p w:rsidRPr="003210F5" w:rsidR="003A74F0" w:rsidP="003210F5" w:rsidRDefault="003A74F0" w14:paraId="7EE0D6C3" w14:textId="03EAA9AE">
      <w:pPr>
        <w:pStyle w:val="JuPara"/>
      </w:pPr>
      <w:r w:rsidRPr="003210F5">
        <w:fldChar w:fldCharType="begin"/>
      </w:r>
      <w:r w:rsidRPr="003210F5">
        <w:instrText xml:space="preserve"> SEQ level0 \*arabic </w:instrText>
      </w:r>
      <w:r w:rsidRPr="003210F5">
        <w:fldChar w:fldCharType="separate"/>
      </w:r>
      <w:r w:rsidRPr="003210F5" w:rsidR="003210F5">
        <w:rPr>
          <w:noProof/>
        </w:rPr>
        <w:t>145</w:t>
      </w:r>
      <w:r w:rsidRPr="003210F5">
        <w:fldChar w:fldCharType="end"/>
      </w:r>
      <w:r w:rsidRPr="003210F5">
        <w:t>.  Le Cour rappelle qu</w:t>
      </w:r>
      <w:r w:rsidRPr="003210F5" w:rsidR="003210F5">
        <w:t>’</w:t>
      </w:r>
      <w:r w:rsidRPr="003210F5">
        <w:t>elle n</w:t>
      </w:r>
      <w:r w:rsidRPr="003210F5" w:rsidR="003210F5">
        <w:t>’</w:t>
      </w:r>
      <w:r w:rsidRPr="003210F5">
        <w:t>a conclu à la violation que de l</w:t>
      </w:r>
      <w:r w:rsidRPr="003210F5" w:rsidR="003210F5">
        <w:t>’</w:t>
      </w:r>
      <w:r w:rsidRPr="003210F5">
        <w:t>article 13 de la Convention concernant les requérants désignés sous les n</w:t>
      </w:r>
      <w:r w:rsidRPr="003210F5">
        <w:rPr>
          <w:vertAlign w:val="superscript"/>
        </w:rPr>
        <w:t xml:space="preserve">os </w:t>
      </w:r>
      <w:r w:rsidRPr="003210F5">
        <w:t>1, 2, 4, 6, 10 à 14, 16, 17, 19, 20, 26 à 28, 30 et 32 à 34 et pour autant que leurs griefs concernaient leur période de détention dans la partie de la prison qui fonctionnait en tant que prison fermée.</w:t>
      </w:r>
    </w:p>
    <w:p w:rsidRPr="003210F5" w:rsidR="003A74F0" w:rsidP="003210F5" w:rsidRDefault="003A74F0" w14:paraId="129BE36A" w14:textId="18A603D1">
      <w:pPr>
        <w:pStyle w:val="JuPara"/>
      </w:pPr>
      <w:r w:rsidRPr="003210F5">
        <w:fldChar w:fldCharType="begin"/>
      </w:r>
      <w:r w:rsidRPr="003210F5">
        <w:instrText xml:space="preserve"> SEQ level0 \*arabic </w:instrText>
      </w:r>
      <w:r w:rsidRPr="003210F5">
        <w:fldChar w:fldCharType="separate"/>
      </w:r>
      <w:r w:rsidRPr="003210F5" w:rsidR="003210F5">
        <w:rPr>
          <w:noProof/>
        </w:rPr>
        <w:t>146</w:t>
      </w:r>
      <w:r w:rsidRPr="003210F5">
        <w:fldChar w:fldCharType="end"/>
      </w:r>
      <w:r w:rsidRPr="003210F5">
        <w:t>.  Dans ces circonstances, eu égard à l</w:t>
      </w:r>
      <w:r w:rsidRPr="003210F5" w:rsidR="003210F5">
        <w:t>’</w:t>
      </w:r>
      <w:r w:rsidRPr="003210F5">
        <w:t>ensemble des éléments dont elle dispose et statuant en équité, comme le veut l</w:t>
      </w:r>
      <w:r w:rsidRPr="003210F5" w:rsidR="003210F5">
        <w:t>’</w:t>
      </w:r>
      <w:r w:rsidRPr="003210F5">
        <w:t>article 41 de la Convention, elle considère qu</w:t>
      </w:r>
      <w:r w:rsidRPr="003210F5" w:rsidR="003210F5">
        <w:t>’</w:t>
      </w:r>
      <w:r w:rsidRPr="003210F5">
        <w:t>il y a lieu d</w:t>
      </w:r>
      <w:r w:rsidRPr="003210F5" w:rsidR="003210F5">
        <w:t>’</w:t>
      </w:r>
      <w:r w:rsidRPr="003210F5">
        <w:t>octroyer à chacun des requérants désignés sous les n</w:t>
      </w:r>
      <w:r w:rsidRPr="003210F5">
        <w:rPr>
          <w:vertAlign w:val="superscript"/>
        </w:rPr>
        <w:t>os</w:t>
      </w:r>
      <w:r w:rsidRPr="003210F5">
        <w:t xml:space="preserve"> 1, 2, 4, 6, 10 à 14, 16, 17, 19, 20, 26 à 28, 30 et 32 à 34 la somme de 2 000 EUR au titre du préjudice moral.</w:t>
      </w:r>
    </w:p>
    <w:p w:rsidRPr="003210F5" w:rsidR="003A74F0" w:rsidP="003210F5" w:rsidRDefault="003A74F0" w14:paraId="017014A1" w14:textId="77777777">
      <w:pPr>
        <w:pStyle w:val="JuHA"/>
        <w:rPr>
          <w:lang w:val="en-GB"/>
        </w:rPr>
      </w:pPr>
      <w:r w:rsidRPr="003210F5">
        <w:rPr>
          <w:lang w:val="en-GB"/>
        </w:rPr>
        <w:t>Frais et dépens</w:t>
      </w:r>
    </w:p>
    <w:p w:rsidRPr="003210F5" w:rsidR="003A74F0" w:rsidP="003210F5" w:rsidRDefault="003A74F0" w14:paraId="43D42407" w14:textId="2E1C026A">
      <w:pPr>
        <w:pStyle w:val="JuPara"/>
      </w:pPr>
      <w:r w:rsidRPr="003210F5">
        <w:fldChar w:fldCharType="begin"/>
      </w:r>
      <w:r w:rsidRPr="003210F5">
        <w:instrText xml:space="preserve"> SEQ level0 \*arabic </w:instrText>
      </w:r>
      <w:r w:rsidRPr="003210F5">
        <w:fldChar w:fldCharType="separate"/>
      </w:r>
      <w:r w:rsidRPr="003210F5" w:rsidR="003210F5">
        <w:rPr>
          <w:noProof/>
        </w:rPr>
        <w:t>147</w:t>
      </w:r>
      <w:r w:rsidRPr="003210F5">
        <w:fldChar w:fldCharType="end"/>
      </w:r>
      <w:r w:rsidRPr="003210F5">
        <w:t>.  Les requérants réclament également 1 000 EUR chacun au titre des frais et dépens qu</w:t>
      </w:r>
      <w:r w:rsidRPr="003210F5" w:rsidR="003210F5">
        <w:t>’</w:t>
      </w:r>
      <w:r w:rsidRPr="003210F5">
        <w:t>ils ont engagés devant les autorités nationales et devant la Cour et pour couvrir partiellement les honoraires de leurs représentantes, avec lesquelles ils disent avoir conclu un accord. Ils demandent aussi que ces sommes soient versées directement sur le compte bancaire de leurs représentantes.</w:t>
      </w:r>
    </w:p>
    <w:p w:rsidRPr="003210F5" w:rsidR="003A74F0" w:rsidP="003210F5" w:rsidRDefault="003A74F0" w14:paraId="3C76FB95" w14:textId="7FC4EFDA">
      <w:pPr>
        <w:pStyle w:val="JuPara"/>
        <w:rPr>
          <w:rFonts w:eastAsia="Times New Roman" w:cs="Times New Roman"/>
        </w:rPr>
      </w:pPr>
      <w:r w:rsidRPr="003210F5">
        <w:fldChar w:fldCharType="begin"/>
      </w:r>
      <w:r w:rsidRPr="003210F5">
        <w:instrText xml:space="preserve"> SEQ level0 \*arabic </w:instrText>
      </w:r>
      <w:r w:rsidRPr="003210F5">
        <w:fldChar w:fldCharType="separate"/>
      </w:r>
      <w:r w:rsidRPr="003210F5" w:rsidR="003210F5">
        <w:rPr>
          <w:noProof/>
        </w:rPr>
        <w:t>148</w:t>
      </w:r>
      <w:r w:rsidRPr="003210F5">
        <w:fldChar w:fldCharType="end"/>
      </w:r>
      <w:r w:rsidRPr="003210F5">
        <w:t xml:space="preserve">.  Le Gouvernement </w:t>
      </w:r>
      <w:r w:rsidRPr="003210F5">
        <w:rPr>
          <w:rFonts w:eastAsia="Times New Roman" w:cs="Times New Roman"/>
        </w:rPr>
        <w:t xml:space="preserve">estime que les sommes réclamées sont </w:t>
      </w:r>
      <w:r w:rsidRPr="003210F5">
        <w:t>excessives</w:t>
      </w:r>
      <w:r w:rsidRPr="003210F5">
        <w:rPr>
          <w:rFonts w:eastAsia="Times New Roman" w:cs="Times New Roman"/>
        </w:rPr>
        <w:t xml:space="preserve"> du fait que la requête a été introduite par plusieurs requérants et que la procédure conduite n</w:t>
      </w:r>
      <w:r w:rsidRPr="003210F5" w:rsidR="003210F5">
        <w:rPr>
          <w:rFonts w:eastAsia="Times New Roman" w:cs="Times New Roman"/>
        </w:rPr>
        <w:t>’</w:t>
      </w:r>
      <w:r w:rsidRPr="003210F5">
        <w:rPr>
          <w:rFonts w:eastAsia="Times New Roman" w:cs="Times New Roman"/>
        </w:rPr>
        <w:t>était qu</w:t>
      </w:r>
      <w:r w:rsidRPr="003210F5" w:rsidR="003210F5">
        <w:rPr>
          <w:rFonts w:eastAsia="Times New Roman" w:cs="Times New Roman"/>
        </w:rPr>
        <w:t>’</w:t>
      </w:r>
      <w:r w:rsidRPr="003210F5">
        <w:rPr>
          <w:rFonts w:eastAsia="Times New Roman" w:cs="Times New Roman"/>
        </w:rPr>
        <w:t>écrite. Il soutient aussi que les requérants n</w:t>
      </w:r>
      <w:r w:rsidRPr="003210F5" w:rsidR="003210F5">
        <w:rPr>
          <w:rFonts w:eastAsia="Times New Roman" w:cs="Times New Roman"/>
        </w:rPr>
        <w:t>’</w:t>
      </w:r>
      <w:r w:rsidRPr="003210F5">
        <w:rPr>
          <w:rFonts w:eastAsia="Times New Roman" w:cs="Times New Roman"/>
        </w:rPr>
        <w:t>ont produit aucun document officiel de nature à prouver qu</w:t>
      </w:r>
      <w:r w:rsidRPr="003210F5" w:rsidR="003210F5">
        <w:rPr>
          <w:rFonts w:eastAsia="Times New Roman" w:cs="Times New Roman"/>
        </w:rPr>
        <w:t>’</w:t>
      </w:r>
      <w:r w:rsidRPr="003210F5">
        <w:rPr>
          <w:rFonts w:eastAsia="Times New Roman" w:cs="Times New Roman"/>
        </w:rPr>
        <w:t>ils ont payé des honoraires à leurs représentantes.</w:t>
      </w:r>
    </w:p>
    <w:p w:rsidRPr="003210F5" w:rsidR="003A74F0" w:rsidP="003210F5" w:rsidRDefault="003A74F0" w14:paraId="3B9E5CAB" w14:textId="396C4EBE">
      <w:pPr>
        <w:pStyle w:val="JuPara"/>
      </w:pPr>
      <w:r w:rsidRPr="003210F5">
        <w:fldChar w:fldCharType="begin"/>
      </w:r>
      <w:r w:rsidRPr="003210F5">
        <w:instrText xml:space="preserve"> SEQ level0 \*arabic </w:instrText>
      </w:r>
      <w:r w:rsidRPr="003210F5">
        <w:fldChar w:fldCharType="separate"/>
      </w:r>
      <w:r w:rsidRPr="003210F5" w:rsidR="003210F5">
        <w:rPr>
          <w:noProof/>
        </w:rPr>
        <w:t>149</w:t>
      </w:r>
      <w:r w:rsidRPr="003210F5">
        <w:fldChar w:fldCharType="end"/>
      </w:r>
      <w:r w:rsidRPr="003210F5">
        <w:t>.  </w:t>
      </w:r>
      <w:r w:rsidRPr="003210F5">
        <w:rPr>
          <w:rFonts w:eastAsia="Times New Roman" w:cs="Times New Roman"/>
        </w:rPr>
        <w:t>La Cour rappelle que l</w:t>
      </w:r>
      <w:r w:rsidRPr="003210F5" w:rsidR="003210F5">
        <w:rPr>
          <w:rFonts w:eastAsia="Times New Roman" w:cs="Times New Roman"/>
        </w:rPr>
        <w:t>’</w:t>
      </w:r>
      <w:r w:rsidRPr="003210F5">
        <w:rPr>
          <w:rFonts w:eastAsia="Times New Roman" w:cs="Times New Roman"/>
        </w:rPr>
        <w:t>allocation de frais et dépens au titre de l</w:t>
      </w:r>
      <w:r w:rsidRPr="003210F5" w:rsidR="003210F5">
        <w:rPr>
          <w:rFonts w:eastAsia="Times New Roman" w:cs="Times New Roman"/>
        </w:rPr>
        <w:t>’</w:t>
      </w:r>
      <w:r w:rsidRPr="003210F5">
        <w:rPr>
          <w:rFonts w:eastAsia="Times New Roman" w:cs="Times New Roman"/>
        </w:rPr>
        <w:t xml:space="preserve">article 41 de la Convention présuppose que se trouvent établis leur réalité, </w:t>
      </w:r>
      <w:r w:rsidRPr="003210F5">
        <w:t>leur nécessité et, de plus, le caractère raisonnable de leur taux (Iatridis c. Grèce [GC], no 31107/96, § 54, CEDH 2000-XI). Dans le cas d</w:t>
      </w:r>
      <w:r w:rsidRPr="003210F5" w:rsidR="003210F5">
        <w:t>’</w:t>
      </w:r>
      <w:r w:rsidRPr="003210F5">
        <w:t>espèce, elle note que les requérants n</w:t>
      </w:r>
      <w:r w:rsidRPr="003210F5" w:rsidR="003210F5">
        <w:t>’</w:t>
      </w:r>
      <w:r w:rsidRPr="003210F5">
        <w:t>ont produit aucune facture attestant des frais engagés devant elle. Il y a donc lieu de rejeter leurs prétentions à ce titre (voir aussi à cet égard Dikaiou et autres c. Grèce, no 77457/13, § 91, 16</w:t>
      </w:r>
      <w:r w:rsidRPr="003210F5" w:rsidR="00B87828">
        <w:t> </w:t>
      </w:r>
      <w:r w:rsidRPr="003210F5">
        <w:t>juillet 2020, Koureas et autres c. Grèce, no 30030/15, § 106, 18 janvier 2018).</w:t>
      </w:r>
    </w:p>
    <w:p w:rsidRPr="003210F5" w:rsidR="003A74F0" w:rsidP="003210F5" w:rsidRDefault="003A74F0" w14:paraId="4555E848" w14:textId="77777777">
      <w:pPr>
        <w:pStyle w:val="JuHA"/>
        <w:rPr>
          <w:lang w:val="en-GB"/>
        </w:rPr>
      </w:pPr>
      <w:r w:rsidRPr="003210F5">
        <w:rPr>
          <w:lang w:val="en-GB"/>
        </w:rPr>
        <w:t>Intérêts moratoires</w:t>
      </w:r>
    </w:p>
    <w:p w:rsidRPr="003210F5" w:rsidR="003A74F0" w:rsidP="003210F5" w:rsidRDefault="003A74F0" w14:paraId="0BBCFC09" w14:textId="57A8C737">
      <w:pPr>
        <w:pStyle w:val="JuPara"/>
      </w:pPr>
      <w:r w:rsidRPr="003210F5">
        <w:fldChar w:fldCharType="begin"/>
      </w:r>
      <w:r w:rsidRPr="003210F5">
        <w:instrText xml:space="preserve"> SEQ level0 \*arabic </w:instrText>
      </w:r>
      <w:r w:rsidRPr="003210F5">
        <w:fldChar w:fldCharType="separate"/>
      </w:r>
      <w:r w:rsidRPr="003210F5" w:rsidR="003210F5">
        <w:rPr>
          <w:noProof/>
        </w:rPr>
        <w:t>150</w:t>
      </w:r>
      <w:r w:rsidRPr="003210F5">
        <w:fldChar w:fldCharType="end"/>
      </w:r>
      <w:r w:rsidRPr="003210F5">
        <w:t>.  La Cour juge approprié de calquer le taux des intérêts moratoires sur le taux d</w:t>
      </w:r>
      <w:r w:rsidRPr="003210F5" w:rsidR="003210F5">
        <w:t>’</w:t>
      </w:r>
      <w:r w:rsidRPr="003210F5">
        <w:t>intérêt de la facilité de prêt marginal de la Banque centrale européenne majoré de trois points de pourcentage.</w:t>
      </w:r>
    </w:p>
    <w:p w:rsidRPr="003210F5" w:rsidR="003A74F0" w:rsidP="003210F5" w:rsidRDefault="003A74F0" w14:paraId="6C1D8BA1" w14:textId="7E8037FD">
      <w:pPr>
        <w:pStyle w:val="JuHHead"/>
      </w:pPr>
      <w:r w:rsidRPr="003210F5">
        <w:t>PAR CES MOTIFS, LA COUR, À L</w:t>
      </w:r>
      <w:r w:rsidRPr="003210F5" w:rsidR="003210F5">
        <w:t>’</w:t>
      </w:r>
      <w:r w:rsidRPr="003210F5">
        <w:t>UNANIMITÉ,</w:t>
      </w:r>
    </w:p>
    <w:p w:rsidRPr="003210F5" w:rsidR="003A74F0" w:rsidP="003210F5" w:rsidRDefault="003A74F0" w14:paraId="44829FB1" w14:textId="77777777">
      <w:pPr>
        <w:pStyle w:val="JuList"/>
        <w:numPr>
          <w:ilvl w:val="0"/>
          <w:numId w:val="2"/>
        </w:numPr>
      </w:pPr>
      <w:r w:rsidRPr="003210F5">
        <w:rPr>
          <w:i/>
          <w:iCs/>
        </w:rPr>
        <w:t xml:space="preserve">Déclare </w:t>
      </w:r>
      <w:r w:rsidRPr="003210F5">
        <w:t>les griefs concernant les requérants n</w:t>
      </w:r>
      <w:r w:rsidRPr="003210F5">
        <w:rPr>
          <w:vertAlign w:val="superscript"/>
        </w:rPr>
        <w:t>os</w:t>
      </w:r>
      <w:r w:rsidRPr="003210F5">
        <w:t xml:space="preserve"> 1, 2, 4, 6, 10 à 14, 16, 17, 19, 20, 26 à 28, 30, 32 à 34 pour leur période de détention dans des locaux de la prison qui fonctionnaient en tant que prison fermée recevables et le surplus de la requête irrecevable ;</w:t>
      </w:r>
    </w:p>
    <w:p w:rsidRPr="003210F5" w:rsidR="003A74F0" w:rsidP="003210F5" w:rsidRDefault="003A74F0" w14:paraId="62351B0C" w14:textId="0C4906A2">
      <w:pPr>
        <w:pStyle w:val="JuList"/>
        <w:numPr>
          <w:ilvl w:val="0"/>
          <w:numId w:val="2"/>
        </w:numPr>
      </w:pPr>
      <w:r w:rsidRPr="003210F5">
        <w:rPr>
          <w:i/>
        </w:rPr>
        <w:t xml:space="preserve">Dit </w:t>
      </w:r>
      <w:r w:rsidRPr="003210F5">
        <w:t>qu</w:t>
      </w:r>
      <w:r w:rsidRPr="003210F5" w:rsidR="003210F5">
        <w:t>’</w:t>
      </w:r>
      <w:r w:rsidRPr="003210F5">
        <w:t>il n</w:t>
      </w:r>
      <w:r w:rsidRPr="003210F5" w:rsidR="003210F5">
        <w:t>’</w:t>
      </w:r>
      <w:r w:rsidRPr="003210F5">
        <w:t>y a pas eu violation de l</w:t>
      </w:r>
      <w:r w:rsidRPr="003210F5" w:rsidR="003210F5">
        <w:t>’</w:t>
      </w:r>
      <w:r w:rsidRPr="003210F5">
        <w:t>article 3 de la Convention ;</w:t>
      </w:r>
    </w:p>
    <w:p w:rsidRPr="003210F5" w:rsidR="003A74F0" w:rsidP="003210F5" w:rsidRDefault="003A74F0" w14:paraId="2A5B7BB8" w14:textId="1DC7E36C">
      <w:pPr>
        <w:pStyle w:val="JuList"/>
        <w:numPr>
          <w:ilvl w:val="0"/>
          <w:numId w:val="2"/>
        </w:numPr>
      </w:pPr>
      <w:r w:rsidRPr="003210F5">
        <w:rPr>
          <w:i/>
        </w:rPr>
        <w:t>Dit</w:t>
      </w:r>
      <w:r w:rsidRPr="003210F5">
        <w:t xml:space="preserve"> qu</w:t>
      </w:r>
      <w:r w:rsidRPr="003210F5" w:rsidR="003210F5">
        <w:t>’</w:t>
      </w:r>
      <w:r w:rsidRPr="003210F5">
        <w:t>il y a eu violation de l</w:t>
      </w:r>
      <w:r w:rsidRPr="003210F5" w:rsidR="003210F5">
        <w:t>’</w:t>
      </w:r>
      <w:r w:rsidRPr="003210F5">
        <w:t>article 13 combiné avec l</w:t>
      </w:r>
      <w:r w:rsidRPr="003210F5" w:rsidR="003210F5">
        <w:t>’</w:t>
      </w:r>
      <w:r w:rsidRPr="003210F5">
        <w:t>article 3 de la Convention ;</w:t>
      </w:r>
    </w:p>
    <w:p w:rsidRPr="003210F5" w:rsidR="003A74F0" w:rsidP="003210F5" w:rsidRDefault="003A74F0" w14:paraId="12A60BF3" w14:textId="77777777">
      <w:pPr>
        <w:pStyle w:val="JuList"/>
        <w:numPr>
          <w:ilvl w:val="0"/>
          <w:numId w:val="2"/>
        </w:numPr>
      </w:pPr>
      <w:r w:rsidRPr="003210F5">
        <w:rPr>
          <w:i/>
        </w:rPr>
        <w:t>Dit</w:t>
      </w:r>
    </w:p>
    <w:p w:rsidRPr="003210F5" w:rsidR="003A74F0" w:rsidP="003210F5" w:rsidRDefault="003A74F0" w14:paraId="07253569" w14:textId="383BD733">
      <w:pPr>
        <w:pStyle w:val="JuLista"/>
        <w:numPr>
          <w:ilvl w:val="1"/>
          <w:numId w:val="2"/>
        </w:numPr>
      </w:pPr>
      <w:r w:rsidRPr="003210F5">
        <w:t>que l</w:t>
      </w:r>
      <w:r w:rsidRPr="003210F5" w:rsidR="003210F5">
        <w:t>’</w:t>
      </w:r>
      <w:r w:rsidRPr="003210F5">
        <w:t xml:space="preserve">État défendeur doit verser </w:t>
      </w:r>
      <w:bookmarkStart w:name="_Hlk98161059" w:id="76"/>
      <w:r w:rsidRPr="003210F5">
        <w:t>à chacun des requérants n</w:t>
      </w:r>
      <w:r w:rsidRPr="003210F5">
        <w:rPr>
          <w:vertAlign w:val="superscript"/>
        </w:rPr>
        <w:t>os</w:t>
      </w:r>
      <w:r w:rsidRPr="003210F5">
        <w:t xml:space="preserve"> 1, 2, 4, 6, 10 à 14, 16, 17, 19, 20, 26 à 28, 30, 32 à 34, dans les trois mois, le somme de 2 000 EUR </w:t>
      </w:r>
      <w:bookmarkEnd w:id="76"/>
      <w:r w:rsidRPr="003210F5">
        <w:t>(deux mille euros) plus tout montant pouvant être dû à titre d</w:t>
      </w:r>
      <w:r w:rsidRPr="003210F5" w:rsidR="003210F5">
        <w:t>’</w:t>
      </w:r>
      <w:r w:rsidRPr="003210F5">
        <w:t>impôt sur cette somme, pour dommage moral ;</w:t>
      </w:r>
    </w:p>
    <w:p w:rsidRPr="003210F5" w:rsidR="003A74F0" w:rsidP="003210F5" w:rsidRDefault="003A74F0" w14:paraId="397E9F3D" w14:textId="1158CC43">
      <w:pPr>
        <w:pStyle w:val="JuLista"/>
        <w:numPr>
          <w:ilvl w:val="0"/>
          <w:numId w:val="0"/>
        </w:numPr>
        <w:ind w:left="680" w:hanging="340"/>
      </w:pPr>
      <w:r w:rsidRPr="003210F5">
        <w:t>b) qu</w:t>
      </w:r>
      <w:r w:rsidRPr="003210F5" w:rsidR="003210F5">
        <w:t>’</w:t>
      </w:r>
      <w:r w:rsidRPr="003210F5">
        <w:t>à compter de l</w:t>
      </w:r>
      <w:r w:rsidRPr="003210F5" w:rsidR="003210F5">
        <w:t>’</w:t>
      </w:r>
      <w:r w:rsidRPr="003210F5">
        <w:t>expiration dudit délai et jusqu</w:t>
      </w:r>
      <w:r w:rsidRPr="003210F5" w:rsidR="003210F5">
        <w:t>’</w:t>
      </w:r>
      <w:r w:rsidRPr="003210F5">
        <w:t>au versement, ces montants seront à majorer d</w:t>
      </w:r>
      <w:r w:rsidRPr="003210F5" w:rsidR="003210F5">
        <w:t>’</w:t>
      </w:r>
      <w:r w:rsidRPr="003210F5">
        <w:t>un intérêt simple à un taux égal à celui de la facilité de prêt marginal de la Banque centrale européenne applicable pendant cette période, augmenté de trois points de pourcentage ;</w:t>
      </w:r>
    </w:p>
    <w:p w:rsidRPr="003210F5" w:rsidR="003A74F0" w:rsidP="003210F5" w:rsidRDefault="003A74F0" w14:paraId="49AFB370" w14:textId="77777777">
      <w:pPr>
        <w:pStyle w:val="JuList"/>
        <w:numPr>
          <w:ilvl w:val="0"/>
          <w:numId w:val="2"/>
        </w:numPr>
      </w:pPr>
      <w:r w:rsidRPr="003210F5">
        <w:rPr>
          <w:i/>
          <w:iCs/>
        </w:rPr>
        <w:t>Rejette</w:t>
      </w:r>
      <w:r w:rsidRPr="003210F5">
        <w:t xml:space="preserve"> le surplus de la demande de satisfaction équitable.</w:t>
      </w:r>
    </w:p>
    <w:p w:rsidRPr="003210F5" w:rsidR="003A74F0" w:rsidP="003210F5" w:rsidRDefault="003A74F0" w14:paraId="7483A614" w14:textId="77777777"/>
    <w:p w:rsidRPr="003210F5" w:rsidR="003A74F0" w:rsidP="003210F5" w:rsidRDefault="003A74F0" w14:paraId="798737A9" w14:textId="77777777"/>
    <w:p w:rsidRPr="003210F5" w:rsidR="003A74F0" w:rsidP="003210F5" w:rsidRDefault="003A74F0" w14:paraId="536F4BE6" w14:textId="77777777"/>
    <w:p w:rsidRPr="003210F5" w:rsidR="00893F30" w:rsidP="003210F5" w:rsidRDefault="00893F30" w14:paraId="248333D0" w14:textId="35270935">
      <w:pPr>
        <w:pStyle w:val="JuParaLast"/>
      </w:pPr>
      <w:r w:rsidRPr="003210F5">
        <w:t xml:space="preserve">Fait en français, puis communiqué par écrit le </w:t>
      </w:r>
      <w:r w:rsidRPr="003210F5" w:rsidR="003A74F0">
        <w:t>19 mai 2022</w:t>
      </w:r>
      <w:r w:rsidRPr="003210F5">
        <w:t>, en application de l</w:t>
      </w:r>
      <w:r w:rsidRPr="003210F5" w:rsidR="003210F5">
        <w:t>’</w:t>
      </w:r>
      <w:r w:rsidRPr="003210F5">
        <w:t>article 77 §§ 2 et 3 du règlement.</w:t>
      </w:r>
    </w:p>
    <w:p w:rsidRPr="003210F5" w:rsidR="00F94531" w:rsidP="003210F5" w:rsidRDefault="00510D77" w14:paraId="58676F54" w14:textId="359ACE2F">
      <w:pPr>
        <w:pStyle w:val="JuSigned"/>
        <w:keepNext/>
        <w:keepLines/>
        <w:rPr>
          <w:color w:val="F8F8F8" w:themeColor="background2"/>
        </w:rPr>
      </w:pPr>
      <w:r w:rsidRPr="003210F5">
        <w:rPr>
          <w:color w:val="F8F8F8" w:themeColor="background2"/>
        </w:rPr>
        <w:tab/>
      </w:r>
    </w:p>
    <w:p w:rsidRPr="003210F5" w:rsidR="00876F03" w:rsidP="003210F5" w:rsidRDefault="00277651" w14:paraId="1326CF45" w14:textId="15544694">
      <w:pPr>
        <w:pStyle w:val="JuSigned"/>
        <w:ind w:left="-142"/>
      </w:pPr>
      <w:r w:rsidRPr="003210F5">
        <w:tab/>
        <w:t>Attila</w:t>
      </w:r>
      <w:r w:rsidRPr="003210F5" w:rsidR="003A74F0">
        <w:t xml:space="preserve"> </w:t>
      </w:r>
      <w:r w:rsidRPr="003210F5">
        <w:t>Teplán</w:t>
      </w:r>
      <w:r w:rsidRPr="003210F5" w:rsidR="00432FE5">
        <w:tab/>
      </w:r>
      <w:r w:rsidRPr="003210F5" w:rsidR="003A74F0">
        <w:t>Krzysztof Wojtyczek</w:t>
      </w:r>
      <w:r w:rsidRPr="003210F5" w:rsidR="00714170">
        <w:br/>
      </w:r>
      <w:r w:rsidRPr="003210F5" w:rsidR="004344E6">
        <w:tab/>
      </w:r>
      <w:r w:rsidRPr="003210F5" w:rsidR="003A74F0">
        <w:t>Greffi</w:t>
      </w:r>
      <w:r w:rsidRPr="003210F5">
        <w:t>er</w:t>
      </w:r>
      <w:r w:rsidRPr="003210F5" w:rsidR="003A74F0">
        <w:t xml:space="preserve"> adjoint</w:t>
      </w:r>
      <w:r w:rsidRPr="003210F5">
        <w:t xml:space="preserve"> </w:t>
      </w:r>
      <w:r w:rsidRPr="003210F5" w:rsidR="0037146E">
        <w:t>f.f.</w:t>
      </w:r>
      <w:r w:rsidRPr="003210F5" w:rsidR="004344E6">
        <w:tab/>
      </w:r>
      <w:r w:rsidRPr="003210F5" w:rsidR="003A74F0">
        <w:t>Président</w:t>
      </w:r>
    </w:p>
    <w:p w:rsidRPr="003210F5" w:rsidR="003A74F0" w:rsidP="003210F5" w:rsidRDefault="003A74F0" w14:paraId="0E935437" w14:textId="776365D5">
      <w:pPr>
        <w:rPr>
          <w:color w:val="000000"/>
        </w:rPr>
      </w:pPr>
    </w:p>
    <w:p w:rsidRPr="003210F5" w:rsidR="003A74F0" w:rsidP="003210F5" w:rsidRDefault="003A74F0" w14:paraId="45127AED" w14:textId="77777777">
      <w:pPr>
        <w:rPr>
          <w:color w:val="000000"/>
        </w:rPr>
        <w:sectPr w:rsidRPr="003210F5" w:rsidR="003A74F0" w:rsidSect="00F912E4">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noEndnote/>
          <w:docGrid w:linePitch="326"/>
        </w:sectPr>
      </w:pPr>
    </w:p>
    <w:p w:rsidRPr="003210F5" w:rsidR="003A74F0" w:rsidP="003210F5" w:rsidRDefault="003A74F0" w14:paraId="7102BD3C" w14:textId="4710F989">
      <w:pPr>
        <w:pStyle w:val="DecHTitle"/>
      </w:pPr>
      <w:r w:rsidRPr="003210F5">
        <w:rPr>
          <w:caps/>
        </w:rPr>
        <w:t>A</w:t>
      </w:r>
      <w:r w:rsidRPr="003210F5" w:rsidR="00F45E5C">
        <w:rPr>
          <w:caps/>
        </w:rPr>
        <w:t>NNEXE</w:t>
      </w:r>
    </w:p>
    <w:tbl>
      <w:tblPr>
        <w:tblStyle w:val="ECHRListTable3"/>
        <w:tblW w:w="5405" w:type="pct"/>
        <w:tblLook w:val="0420" w:firstRow="1" w:lastRow="0" w:firstColumn="0" w:lastColumn="0" w:noHBand="0" w:noVBand="1"/>
      </w:tblPr>
      <w:tblGrid>
        <w:gridCol w:w="531"/>
        <w:gridCol w:w="4939"/>
        <w:gridCol w:w="2473"/>
      </w:tblGrid>
      <w:tr w:rsidRPr="003210F5" w:rsidR="0088030C" w:rsidTr="00FB534C" w14:paraId="5C3EBD6A" w14:textId="77777777">
        <w:trPr>
          <w:cnfStyle w:val="100000000000" w:firstRow="1" w:lastRow="0" w:firstColumn="0" w:lastColumn="0" w:oddVBand="0" w:evenVBand="0" w:oddHBand="0" w:evenHBand="0" w:firstRowFirstColumn="0" w:firstRowLastColumn="0" w:lastRowFirstColumn="0" w:lastRowLastColumn="0"/>
        </w:trPr>
        <w:tc>
          <w:tcPr>
            <w:tcW w:w="334" w:type="pct"/>
          </w:tcPr>
          <w:p w:rsidRPr="003210F5" w:rsidR="0088030C" w:rsidP="003210F5" w:rsidRDefault="0088030C" w14:paraId="1B17DFDB" w14:textId="77777777">
            <w:r w:rsidRPr="003210F5">
              <w:t>N</w:t>
            </w:r>
            <w:r w:rsidRPr="003210F5">
              <w:rPr>
                <w:vertAlign w:val="superscript"/>
              </w:rPr>
              <w:t>o</w:t>
            </w:r>
          </w:p>
        </w:tc>
        <w:tc>
          <w:tcPr>
            <w:tcW w:w="3109" w:type="pct"/>
          </w:tcPr>
          <w:p w:rsidRPr="003210F5" w:rsidR="0088030C" w:rsidP="003210F5" w:rsidRDefault="0088030C" w14:paraId="7DF392AC" w14:textId="77777777">
            <w:r w:rsidRPr="003210F5">
              <w:t>Prénom NOM</w:t>
            </w:r>
          </w:p>
        </w:tc>
        <w:tc>
          <w:tcPr>
            <w:tcW w:w="1557" w:type="pct"/>
          </w:tcPr>
          <w:p w:rsidRPr="003210F5" w:rsidR="0088030C" w:rsidP="003210F5" w:rsidRDefault="0088030C" w14:paraId="044EC095" w14:textId="77777777">
            <w:r w:rsidRPr="003210F5">
              <w:t>Nationalité</w:t>
            </w:r>
          </w:p>
        </w:tc>
      </w:tr>
      <w:tr w:rsidRPr="003210F5" w:rsidR="0088030C" w:rsidTr="00FB534C" w14:paraId="75551700" w14:textId="77777777">
        <w:tc>
          <w:tcPr>
            <w:tcW w:w="334" w:type="pct"/>
          </w:tcPr>
          <w:p w:rsidRPr="003210F5" w:rsidR="0088030C" w:rsidP="003210F5" w:rsidRDefault="0088030C" w14:paraId="6DF56891" w14:textId="77777777">
            <w:r w:rsidRPr="003210F5">
              <w:t>1</w:t>
            </w:r>
          </w:p>
        </w:tc>
        <w:tc>
          <w:tcPr>
            <w:tcW w:w="3109" w:type="pct"/>
          </w:tcPr>
          <w:p w:rsidRPr="003210F5" w:rsidR="0088030C" w:rsidP="003210F5" w:rsidRDefault="0088030C" w14:paraId="7AB97371" w14:textId="77777777">
            <w:r w:rsidRPr="003210F5">
              <w:t>Konstantinos ZOGRAFOS</w:t>
            </w:r>
          </w:p>
        </w:tc>
        <w:tc>
          <w:tcPr>
            <w:tcW w:w="1557" w:type="pct"/>
          </w:tcPr>
          <w:p w:rsidRPr="003210F5" w:rsidR="0088030C" w:rsidP="003210F5" w:rsidRDefault="0088030C" w14:paraId="378E9E21" w14:textId="77777777">
            <w:r w:rsidRPr="003210F5">
              <w:t>grec</w:t>
            </w:r>
          </w:p>
        </w:tc>
      </w:tr>
      <w:tr w:rsidRPr="003210F5" w:rsidR="0088030C" w:rsidTr="00FB534C" w14:paraId="71811AD3" w14:textId="77777777">
        <w:tc>
          <w:tcPr>
            <w:tcW w:w="334" w:type="pct"/>
          </w:tcPr>
          <w:p w:rsidRPr="003210F5" w:rsidR="0088030C" w:rsidP="003210F5" w:rsidRDefault="0088030C" w14:paraId="5C6051FC" w14:textId="77777777">
            <w:r w:rsidRPr="003210F5">
              <w:t>2</w:t>
            </w:r>
          </w:p>
        </w:tc>
        <w:tc>
          <w:tcPr>
            <w:tcW w:w="3109" w:type="pct"/>
          </w:tcPr>
          <w:p w:rsidRPr="003210F5" w:rsidR="0088030C" w:rsidP="003210F5" w:rsidRDefault="0088030C" w14:paraId="76361B77" w14:textId="77777777">
            <w:r w:rsidRPr="003210F5">
              <w:t>Athanasios ANASTASIOU</w:t>
            </w:r>
          </w:p>
        </w:tc>
        <w:tc>
          <w:tcPr>
            <w:tcW w:w="1557" w:type="pct"/>
          </w:tcPr>
          <w:p w:rsidRPr="003210F5" w:rsidR="0088030C" w:rsidP="003210F5" w:rsidRDefault="0088030C" w14:paraId="14C8AC27" w14:textId="77777777">
            <w:r w:rsidRPr="003210F5">
              <w:t>grec</w:t>
            </w:r>
          </w:p>
        </w:tc>
      </w:tr>
      <w:tr w:rsidRPr="003210F5" w:rsidR="0088030C" w:rsidTr="00FB534C" w14:paraId="71432D1C" w14:textId="77777777">
        <w:tc>
          <w:tcPr>
            <w:tcW w:w="334" w:type="pct"/>
          </w:tcPr>
          <w:p w:rsidRPr="003210F5" w:rsidR="0088030C" w:rsidP="003210F5" w:rsidRDefault="0088030C" w14:paraId="00EEF583" w14:textId="77777777">
            <w:r w:rsidRPr="003210F5">
              <w:t>3</w:t>
            </w:r>
          </w:p>
        </w:tc>
        <w:tc>
          <w:tcPr>
            <w:tcW w:w="3109" w:type="pct"/>
          </w:tcPr>
          <w:p w:rsidRPr="003210F5" w:rsidR="0088030C" w:rsidP="003210F5" w:rsidRDefault="0088030C" w14:paraId="6A4D4295" w14:textId="77777777">
            <w:r w:rsidRPr="003210F5">
              <w:t>Almano BANUSLARI</w:t>
            </w:r>
          </w:p>
        </w:tc>
        <w:tc>
          <w:tcPr>
            <w:tcW w:w="1557" w:type="pct"/>
          </w:tcPr>
          <w:p w:rsidRPr="003210F5" w:rsidR="0088030C" w:rsidP="003210F5" w:rsidRDefault="0088030C" w14:paraId="31003D7A" w14:textId="77777777">
            <w:r w:rsidRPr="003210F5">
              <w:t>albanais</w:t>
            </w:r>
          </w:p>
        </w:tc>
      </w:tr>
      <w:tr w:rsidRPr="003210F5" w:rsidR="0088030C" w:rsidTr="00FB534C" w14:paraId="09773919" w14:textId="77777777">
        <w:tc>
          <w:tcPr>
            <w:tcW w:w="334" w:type="pct"/>
          </w:tcPr>
          <w:p w:rsidRPr="003210F5" w:rsidR="0088030C" w:rsidP="003210F5" w:rsidRDefault="0088030C" w14:paraId="3926896D" w14:textId="77777777">
            <w:r w:rsidRPr="003210F5">
              <w:t>4</w:t>
            </w:r>
          </w:p>
        </w:tc>
        <w:tc>
          <w:tcPr>
            <w:tcW w:w="3109" w:type="pct"/>
          </w:tcPr>
          <w:p w:rsidRPr="003210F5" w:rsidR="0088030C" w:rsidP="003210F5" w:rsidRDefault="0088030C" w14:paraId="1672F6FD" w14:textId="77777777">
            <w:r w:rsidRPr="003210F5">
              <w:t>Georgios BATZALIS</w:t>
            </w:r>
          </w:p>
        </w:tc>
        <w:tc>
          <w:tcPr>
            <w:tcW w:w="1557" w:type="pct"/>
          </w:tcPr>
          <w:p w:rsidRPr="003210F5" w:rsidR="0088030C" w:rsidP="003210F5" w:rsidRDefault="0088030C" w14:paraId="5379F9F6" w14:textId="77777777">
            <w:r w:rsidRPr="003210F5">
              <w:t>grec</w:t>
            </w:r>
          </w:p>
        </w:tc>
      </w:tr>
      <w:tr w:rsidRPr="003210F5" w:rsidR="0088030C" w:rsidTr="00FB534C" w14:paraId="5A996C6F" w14:textId="77777777">
        <w:tc>
          <w:tcPr>
            <w:tcW w:w="334" w:type="pct"/>
          </w:tcPr>
          <w:p w:rsidRPr="003210F5" w:rsidR="0088030C" w:rsidP="003210F5" w:rsidRDefault="0088030C" w14:paraId="3DD628AF" w14:textId="77777777">
            <w:r w:rsidRPr="003210F5">
              <w:t>5</w:t>
            </w:r>
          </w:p>
        </w:tc>
        <w:tc>
          <w:tcPr>
            <w:tcW w:w="3109" w:type="pct"/>
          </w:tcPr>
          <w:p w:rsidRPr="003210F5" w:rsidR="0088030C" w:rsidP="003210F5" w:rsidRDefault="0088030C" w14:paraId="5BE388AE" w14:textId="77777777">
            <w:r w:rsidRPr="003210F5">
              <w:t>Tzonis BOZIDIS</w:t>
            </w:r>
          </w:p>
        </w:tc>
        <w:tc>
          <w:tcPr>
            <w:tcW w:w="1557" w:type="pct"/>
          </w:tcPr>
          <w:p w:rsidRPr="003210F5" w:rsidR="0088030C" w:rsidP="003210F5" w:rsidRDefault="0088030C" w14:paraId="42FF6383" w14:textId="77777777">
            <w:r w:rsidRPr="003210F5">
              <w:t>grec</w:t>
            </w:r>
          </w:p>
        </w:tc>
      </w:tr>
      <w:tr w:rsidRPr="003210F5" w:rsidR="0088030C" w:rsidTr="00FB534C" w14:paraId="1721AEFC" w14:textId="77777777">
        <w:tc>
          <w:tcPr>
            <w:tcW w:w="334" w:type="pct"/>
          </w:tcPr>
          <w:p w:rsidRPr="003210F5" w:rsidR="0088030C" w:rsidP="003210F5" w:rsidRDefault="0088030C" w14:paraId="4AE1C1FA" w14:textId="77777777">
            <w:r w:rsidRPr="003210F5">
              <w:t>6</w:t>
            </w:r>
          </w:p>
        </w:tc>
        <w:tc>
          <w:tcPr>
            <w:tcW w:w="3109" w:type="pct"/>
          </w:tcPr>
          <w:p w:rsidRPr="003210F5" w:rsidR="0088030C" w:rsidP="003210F5" w:rsidRDefault="0088030C" w14:paraId="51DB83FD" w14:textId="77777777">
            <w:r w:rsidRPr="003210F5">
              <w:t>Danail CHERVENKOV</w:t>
            </w:r>
          </w:p>
        </w:tc>
        <w:tc>
          <w:tcPr>
            <w:tcW w:w="1557" w:type="pct"/>
          </w:tcPr>
          <w:p w:rsidRPr="003210F5" w:rsidR="0088030C" w:rsidP="003210F5" w:rsidRDefault="0088030C" w14:paraId="6D635786" w14:textId="77777777">
            <w:r w:rsidRPr="003210F5">
              <w:t>bulgare</w:t>
            </w:r>
          </w:p>
        </w:tc>
      </w:tr>
      <w:tr w:rsidRPr="003210F5" w:rsidR="0088030C" w:rsidTr="00FB534C" w14:paraId="619B22FB" w14:textId="77777777">
        <w:tc>
          <w:tcPr>
            <w:tcW w:w="334" w:type="pct"/>
          </w:tcPr>
          <w:p w:rsidRPr="003210F5" w:rsidR="0088030C" w:rsidP="003210F5" w:rsidRDefault="0088030C" w14:paraId="0242C468" w14:textId="77777777">
            <w:r w:rsidRPr="003210F5">
              <w:t>7</w:t>
            </w:r>
          </w:p>
        </w:tc>
        <w:tc>
          <w:tcPr>
            <w:tcW w:w="3109" w:type="pct"/>
          </w:tcPr>
          <w:p w:rsidRPr="003210F5" w:rsidR="0088030C" w:rsidP="003210F5" w:rsidRDefault="0088030C" w14:paraId="56756880" w14:textId="77777777">
            <w:r w:rsidRPr="003210F5">
              <w:t>Prodromos CHRISTIANIDIS</w:t>
            </w:r>
          </w:p>
        </w:tc>
        <w:tc>
          <w:tcPr>
            <w:tcW w:w="1557" w:type="pct"/>
          </w:tcPr>
          <w:p w:rsidRPr="003210F5" w:rsidR="0088030C" w:rsidP="003210F5" w:rsidRDefault="0088030C" w14:paraId="7136E279" w14:textId="77777777">
            <w:r w:rsidRPr="003210F5">
              <w:t>grec</w:t>
            </w:r>
          </w:p>
        </w:tc>
      </w:tr>
      <w:tr w:rsidRPr="003210F5" w:rsidR="0088030C" w:rsidTr="00FB534C" w14:paraId="07168F65" w14:textId="77777777">
        <w:tc>
          <w:tcPr>
            <w:tcW w:w="334" w:type="pct"/>
          </w:tcPr>
          <w:p w:rsidRPr="003210F5" w:rsidR="0088030C" w:rsidP="003210F5" w:rsidRDefault="0088030C" w14:paraId="1799EE19" w14:textId="77777777">
            <w:r w:rsidRPr="003210F5">
              <w:t>8</w:t>
            </w:r>
          </w:p>
        </w:tc>
        <w:tc>
          <w:tcPr>
            <w:tcW w:w="3109" w:type="pct"/>
          </w:tcPr>
          <w:p w:rsidRPr="003210F5" w:rsidR="0088030C" w:rsidP="003210F5" w:rsidRDefault="0088030C" w14:paraId="074FF2AD" w14:textId="77777777">
            <w:r w:rsidRPr="003210F5">
              <w:t>Dimitrios EVAGGELIDIS</w:t>
            </w:r>
          </w:p>
        </w:tc>
        <w:tc>
          <w:tcPr>
            <w:tcW w:w="1557" w:type="pct"/>
          </w:tcPr>
          <w:p w:rsidRPr="003210F5" w:rsidR="0088030C" w:rsidP="003210F5" w:rsidRDefault="0088030C" w14:paraId="211D962A" w14:textId="77777777">
            <w:r w:rsidRPr="003210F5">
              <w:t>grec</w:t>
            </w:r>
          </w:p>
        </w:tc>
      </w:tr>
      <w:tr w:rsidRPr="003210F5" w:rsidR="0088030C" w:rsidTr="00FB534C" w14:paraId="7DD14322" w14:textId="77777777">
        <w:tc>
          <w:tcPr>
            <w:tcW w:w="334" w:type="pct"/>
          </w:tcPr>
          <w:p w:rsidRPr="003210F5" w:rsidR="0088030C" w:rsidP="003210F5" w:rsidRDefault="0088030C" w14:paraId="0787C9C5" w14:textId="77777777">
            <w:r w:rsidRPr="003210F5">
              <w:t>9</w:t>
            </w:r>
          </w:p>
        </w:tc>
        <w:tc>
          <w:tcPr>
            <w:tcW w:w="3109" w:type="pct"/>
          </w:tcPr>
          <w:p w:rsidRPr="003210F5" w:rsidR="0088030C" w:rsidP="003210F5" w:rsidRDefault="0088030C" w14:paraId="7F544741" w14:textId="77777777">
            <w:r w:rsidRPr="003210F5">
              <w:t>Fotios FOTAKIS</w:t>
            </w:r>
          </w:p>
        </w:tc>
        <w:tc>
          <w:tcPr>
            <w:tcW w:w="1557" w:type="pct"/>
          </w:tcPr>
          <w:p w:rsidRPr="003210F5" w:rsidR="0088030C" w:rsidP="003210F5" w:rsidRDefault="0088030C" w14:paraId="5F3E8DC2" w14:textId="77777777">
            <w:r w:rsidRPr="003210F5">
              <w:t>grec</w:t>
            </w:r>
          </w:p>
        </w:tc>
      </w:tr>
      <w:tr w:rsidRPr="003210F5" w:rsidR="0088030C" w:rsidTr="00FB534C" w14:paraId="36C631B0" w14:textId="77777777">
        <w:tc>
          <w:tcPr>
            <w:tcW w:w="334" w:type="pct"/>
          </w:tcPr>
          <w:p w:rsidRPr="003210F5" w:rsidR="0088030C" w:rsidP="003210F5" w:rsidRDefault="0088030C" w14:paraId="600972A0" w14:textId="77777777">
            <w:r w:rsidRPr="003210F5">
              <w:t>10</w:t>
            </w:r>
          </w:p>
        </w:tc>
        <w:tc>
          <w:tcPr>
            <w:tcW w:w="3109" w:type="pct"/>
          </w:tcPr>
          <w:p w:rsidRPr="003210F5" w:rsidR="0088030C" w:rsidP="003210F5" w:rsidRDefault="0088030C" w14:paraId="657F46F4" w14:textId="77777777">
            <w:r w:rsidRPr="003210F5">
              <w:t>Sokol FRROKU</w:t>
            </w:r>
          </w:p>
        </w:tc>
        <w:tc>
          <w:tcPr>
            <w:tcW w:w="1557" w:type="pct"/>
          </w:tcPr>
          <w:p w:rsidRPr="003210F5" w:rsidR="0088030C" w:rsidP="003210F5" w:rsidRDefault="0088030C" w14:paraId="5ED1EEE2" w14:textId="77777777">
            <w:r w:rsidRPr="003210F5">
              <w:t>albanais</w:t>
            </w:r>
          </w:p>
        </w:tc>
      </w:tr>
      <w:tr w:rsidRPr="003210F5" w:rsidR="0088030C" w:rsidTr="00FB534C" w14:paraId="2EA8B7C6" w14:textId="77777777">
        <w:tc>
          <w:tcPr>
            <w:tcW w:w="334" w:type="pct"/>
          </w:tcPr>
          <w:p w:rsidRPr="003210F5" w:rsidR="0088030C" w:rsidP="003210F5" w:rsidRDefault="0088030C" w14:paraId="6C6D01C1" w14:textId="77777777">
            <w:r w:rsidRPr="003210F5">
              <w:t>11</w:t>
            </w:r>
          </w:p>
        </w:tc>
        <w:tc>
          <w:tcPr>
            <w:tcW w:w="3109" w:type="pct"/>
          </w:tcPr>
          <w:p w:rsidRPr="003210F5" w:rsidR="0088030C" w:rsidP="003210F5" w:rsidRDefault="0088030C" w14:paraId="2CE93AA2" w14:textId="77777777">
            <w:r w:rsidRPr="003210F5">
              <w:t>Abdoulahi GOUGHAY</w:t>
            </w:r>
          </w:p>
        </w:tc>
        <w:tc>
          <w:tcPr>
            <w:tcW w:w="1557" w:type="pct"/>
          </w:tcPr>
          <w:p w:rsidRPr="003210F5" w:rsidR="0088030C" w:rsidP="003210F5" w:rsidRDefault="0088030C" w14:paraId="0A7B1386" w14:textId="77777777">
            <w:r w:rsidRPr="003210F5">
              <w:t>somalien</w:t>
            </w:r>
          </w:p>
        </w:tc>
      </w:tr>
      <w:tr w:rsidRPr="003210F5" w:rsidR="0088030C" w:rsidTr="00FB534C" w14:paraId="49C525CA" w14:textId="77777777">
        <w:tc>
          <w:tcPr>
            <w:tcW w:w="334" w:type="pct"/>
          </w:tcPr>
          <w:p w:rsidRPr="003210F5" w:rsidR="0088030C" w:rsidP="003210F5" w:rsidRDefault="0088030C" w14:paraId="199EF455" w14:textId="77777777">
            <w:r w:rsidRPr="003210F5">
              <w:t>12</w:t>
            </w:r>
          </w:p>
        </w:tc>
        <w:tc>
          <w:tcPr>
            <w:tcW w:w="3109" w:type="pct"/>
          </w:tcPr>
          <w:p w:rsidRPr="003210F5" w:rsidR="0088030C" w:rsidP="003210F5" w:rsidRDefault="0088030C" w14:paraId="02102CB6" w14:textId="77777777">
            <w:r w:rsidRPr="003210F5">
              <w:t>Stylianos GOUSIS</w:t>
            </w:r>
          </w:p>
        </w:tc>
        <w:tc>
          <w:tcPr>
            <w:tcW w:w="1557" w:type="pct"/>
          </w:tcPr>
          <w:p w:rsidRPr="003210F5" w:rsidR="0088030C" w:rsidP="003210F5" w:rsidRDefault="0088030C" w14:paraId="418FEEB3" w14:textId="77777777">
            <w:r w:rsidRPr="003210F5">
              <w:t>grec</w:t>
            </w:r>
          </w:p>
        </w:tc>
      </w:tr>
      <w:tr w:rsidRPr="003210F5" w:rsidR="0088030C" w:rsidTr="00FB534C" w14:paraId="3D1215BB" w14:textId="77777777">
        <w:tc>
          <w:tcPr>
            <w:tcW w:w="334" w:type="pct"/>
          </w:tcPr>
          <w:p w:rsidRPr="003210F5" w:rsidR="0088030C" w:rsidP="003210F5" w:rsidRDefault="0088030C" w14:paraId="2B47A248" w14:textId="77777777">
            <w:r w:rsidRPr="003210F5">
              <w:t>13</w:t>
            </w:r>
          </w:p>
        </w:tc>
        <w:tc>
          <w:tcPr>
            <w:tcW w:w="3109" w:type="pct"/>
          </w:tcPr>
          <w:p w:rsidRPr="003210F5" w:rsidR="0088030C" w:rsidP="003210F5" w:rsidRDefault="0088030C" w14:paraId="76296D35" w14:textId="77777777">
            <w:r w:rsidRPr="003210F5">
              <w:t>Rudin IDRIZI</w:t>
            </w:r>
          </w:p>
        </w:tc>
        <w:tc>
          <w:tcPr>
            <w:tcW w:w="1557" w:type="pct"/>
          </w:tcPr>
          <w:p w:rsidRPr="003210F5" w:rsidR="0088030C" w:rsidP="003210F5" w:rsidRDefault="0088030C" w14:paraId="2E4F8E47" w14:textId="77777777">
            <w:r w:rsidRPr="003210F5">
              <w:t>albanais</w:t>
            </w:r>
          </w:p>
        </w:tc>
      </w:tr>
      <w:tr w:rsidRPr="003210F5" w:rsidR="0088030C" w:rsidTr="00FB534C" w14:paraId="70D6F228" w14:textId="77777777">
        <w:tc>
          <w:tcPr>
            <w:tcW w:w="334" w:type="pct"/>
          </w:tcPr>
          <w:p w:rsidRPr="003210F5" w:rsidR="0088030C" w:rsidP="003210F5" w:rsidRDefault="0088030C" w14:paraId="79D87BE6" w14:textId="77777777">
            <w:r w:rsidRPr="003210F5">
              <w:t>14</w:t>
            </w:r>
          </w:p>
        </w:tc>
        <w:tc>
          <w:tcPr>
            <w:tcW w:w="3109" w:type="pct"/>
          </w:tcPr>
          <w:p w:rsidRPr="003210F5" w:rsidR="0088030C" w:rsidP="003210F5" w:rsidRDefault="0088030C" w14:paraId="01162603" w14:textId="77777777">
            <w:r w:rsidRPr="003210F5">
              <w:t>Panagiotis KARATZOUNIS</w:t>
            </w:r>
          </w:p>
        </w:tc>
        <w:tc>
          <w:tcPr>
            <w:tcW w:w="1557" w:type="pct"/>
          </w:tcPr>
          <w:p w:rsidRPr="003210F5" w:rsidR="0088030C" w:rsidP="003210F5" w:rsidRDefault="0088030C" w14:paraId="49BCF384" w14:textId="77777777">
            <w:r w:rsidRPr="003210F5">
              <w:t>grec</w:t>
            </w:r>
          </w:p>
        </w:tc>
      </w:tr>
      <w:tr w:rsidRPr="003210F5" w:rsidR="0088030C" w:rsidTr="00FB534C" w14:paraId="73772D13" w14:textId="77777777">
        <w:tc>
          <w:tcPr>
            <w:tcW w:w="334" w:type="pct"/>
          </w:tcPr>
          <w:p w:rsidRPr="003210F5" w:rsidR="0088030C" w:rsidP="003210F5" w:rsidRDefault="0088030C" w14:paraId="0114E0B8" w14:textId="77777777">
            <w:r w:rsidRPr="003210F5">
              <w:t>15</w:t>
            </w:r>
          </w:p>
        </w:tc>
        <w:tc>
          <w:tcPr>
            <w:tcW w:w="3109" w:type="pct"/>
          </w:tcPr>
          <w:p w:rsidRPr="003210F5" w:rsidR="0088030C" w:rsidP="003210F5" w:rsidRDefault="0088030C" w14:paraId="18FDB3CF" w14:textId="77777777">
            <w:r w:rsidRPr="003210F5">
              <w:t>Shpetin KECI</w:t>
            </w:r>
          </w:p>
        </w:tc>
        <w:tc>
          <w:tcPr>
            <w:tcW w:w="1557" w:type="pct"/>
          </w:tcPr>
          <w:p w:rsidRPr="003210F5" w:rsidR="0088030C" w:rsidP="003210F5" w:rsidRDefault="0088030C" w14:paraId="57E7D22F" w14:textId="77777777">
            <w:r w:rsidRPr="003210F5">
              <w:t>albanais</w:t>
            </w:r>
          </w:p>
        </w:tc>
      </w:tr>
      <w:tr w:rsidRPr="003210F5" w:rsidR="0088030C" w:rsidTr="00FB534C" w14:paraId="3A034D4D" w14:textId="77777777">
        <w:tc>
          <w:tcPr>
            <w:tcW w:w="334" w:type="pct"/>
          </w:tcPr>
          <w:p w:rsidRPr="003210F5" w:rsidR="0088030C" w:rsidP="003210F5" w:rsidRDefault="0088030C" w14:paraId="3E092BE3" w14:textId="77777777">
            <w:r w:rsidRPr="003210F5">
              <w:t>16</w:t>
            </w:r>
          </w:p>
        </w:tc>
        <w:tc>
          <w:tcPr>
            <w:tcW w:w="3109" w:type="pct"/>
          </w:tcPr>
          <w:p w:rsidRPr="003210F5" w:rsidR="0088030C" w:rsidP="003210F5" w:rsidRDefault="0088030C" w14:paraId="00E57238" w14:textId="77777777">
            <w:r w:rsidRPr="003210F5">
              <w:t>Eihadie-Lamarana KEITA</w:t>
            </w:r>
          </w:p>
        </w:tc>
        <w:tc>
          <w:tcPr>
            <w:tcW w:w="1557" w:type="pct"/>
          </w:tcPr>
          <w:p w:rsidRPr="003210F5" w:rsidR="0088030C" w:rsidP="003210F5" w:rsidRDefault="0088030C" w14:paraId="7D5B7E25" w14:textId="77777777">
            <w:r w:rsidRPr="003210F5">
              <w:t>guinéen</w:t>
            </w:r>
          </w:p>
        </w:tc>
      </w:tr>
      <w:tr w:rsidRPr="003210F5" w:rsidR="0088030C" w:rsidTr="00FB534C" w14:paraId="50C71D82" w14:textId="77777777">
        <w:tc>
          <w:tcPr>
            <w:tcW w:w="334" w:type="pct"/>
          </w:tcPr>
          <w:p w:rsidRPr="003210F5" w:rsidR="0088030C" w:rsidP="003210F5" w:rsidRDefault="0088030C" w14:paraId="2BB94BBB" w14:textId="77777777">
            <w:r w:rsidRPr="003210F5">
              <w:t>17</w:t>
            </w:r>
          </w:p>
        </w:tc>
        <w:tc>
          <w:tcPr>
            <w:tcW w:w="3109" w:type="pct"/>
          </w:tcPr>
          <w:p w:rsidRPr="003210F5" w:rsidR="0088030C" w:rsidP="003210F5" w:rsidRDefault="0088030C" w14:paraId="7E9B06B8" w14:textId="77777777">
            <w:r w:rsidRPr="003210F5">
              <w:t>Amni KELLEZI/KLEZ</w:t>
            </w:r>
          </w:p>
        </w:tc>
        <w:tc>
          <w:tcPr>
            <w:tcW w:w="1557" w:type="pct"/>
          </w:tcPr>
          <w:p w:rsidRPr="003210F5" w:rsidR="0088030C" w:rsidP="003210F5" w:rsidRDefault="0088030C" w14:paraId="1C5DAD1E" w14:textId="77777777">
            <w:r w:rsidRPr="003210F5">
              <w:t>albanais</w:t>
            </w:r>
          </w:p>
        </w:tc>
      </w:tr>
      <w:tr w:rsidRPr="003210F5" w:rsidR="0088030C" w:rsidTr="00FB534C" w14:paraId="0873E660" w14:textId="77777777">
        <w:tc>
          <w:tcPr>
            <w:tcW w:w="334" w:type="pct"/>
          </w:tcPr>
          <w:p w:rsidRPr="003210F5" w:rsidR="0088030C" w:rsidP="003210F5" w:rsidRDefault="0088030C" w14:paraId="01C3D441" w14:textId="77777777">
            <w:r w:rsidRPr="003210F5">
              <w:t>18</w:t>
            </w:r>
          </w:p>
        </w:tc>
        <w:tc>
          <w:tcPr>
            <w:tcW w:w="3109" w:type="pct"/>
          </w:tcPr>
          <w:p w:rsidRPr="003210F5" w:rsidR="0088030C" w:rsidP="003210F5" w:rsidRDefault="0088030C" w14:paraId="50B274CA" w14:textId="77777777">
            <w:r w:rsidRPr="003210F5">
              <w:t>Ervin KUMURIJIA-KUMURIJA</w:t>
            </w:r>
          </w:p>
        </w:tc>
        <w:tc>
          <w:tcPr>
            <w:tcW w:w="1557" w:type="pct"/>
          </w:tcPr>
          <w:p w:rsidRPr="003210F5" w:rsidR="0088030C" w:rsidP="003210F5" w:rsidRDefault="0088030C" w14:paraId="6937458B" w14:textId="77777777">
            <w:r w:rsidRPr="003210F5">
              <w:t>albanais</w:t>
            </w:r>
          </w:p>
        </w:tc>
      </w:tr>
      <w:tr w:rsidRPr="003210F5" w:rsidR="0088030C" w:rsidTr="00FB534C" w14:paraId="3BE56D28" w14:textId="77777777">
        <w:tc>
          <w:tcPr>
            <w:tcW w:w="334" w:type="pct"/>
          </w:tcPr>
          <w:p w:rsidRPr="003210F5" w:rsidR="0088030C" w:rsidP="003210F5" w:rsidRDefault="0088030C" w14:paraId="6159B489" w14:textId="77777777">
            <w:r w:rsidRPr="003210F5">
              <w:t>19</w:t>
            </w:r>
          </w:p>
        </w:tc>
        <w:tc>
          <w:tcPr>
            <w:tcW w:w="3109" w:type="pct"/>
          </w:tcPr>
          <w:p w:rsidRPr="003210F5" w:rsidR="0088030C" w:rsidP="003210F5" w:rsidRDefault="0088030C" w14:paraId="496FC66F" w14:textId="77777777">
            <w:r w:rsidRPr="003210F5">
              <w:t>Gani KURTI</w:t>
            </w:r>
          </w:p>
        </w:tc>
        <w:tc>
          <w:tcPr>
            <w:tcW w:w="1557" w:type="pct"/>
          </w:tcPr>
          <w:p w:rsidRPr="003210F5" w:rsidR="0088030C" w:rsidP="003210F5" w:rsidRDefault="0088030C" w14:paraId="601C61EB" w14:textId="77777777">
            <w:r w:rsidRPr="003210F5">
              <w:t>albanais</w:t>
            </w:r>
          </w:p>
        </w:tc>
      </w:tr>
      <w:tr w:rsidRPr="003210F5" w:rsidR="0088030C" w:rsidTr="00FB534C" w14:paraId="6C4215FE" w14:textId="77777777">
        <w:tc>
          <w:tcPr>
            <w:tcW w:w="334" w:type="pct"/>
          </w:tcPr>
          <w:p w:rsidRPr="003210F5" w:rsidR="0088030C" w:rsidP="003210F5" w:rsidRDefault="0088030C" w14:paraId="6B9969E0" w14:textId="77777777">
            <w:r w:rsidRPr="003210F5">
              <w:t>20</w:t>
            </w:r>
          </w:p>
        </w:tc>
        <w:tc>
          <w:tcPr>
            <w:tcW w:w="3109" w:type="pct"/>
          </w:tcPr>
          <w:p w:rsidRPr="003210F5" w:rsidR="0088030C" w:rsidP="003210F5" w:rsidRDefault="0088030C" w14:paraId="777FA81D" w14:textId="77777777">
            <w:r w:rsidRPr="003210F5">
              <w:t>Emilian LAMKOLLARI</w:t>
            </w:r>
          </w:p>
        </w:tc>
        <w:tc>
          <w:tcPr>
            <w:tcW w:w="1557" w:type="pct"/>
          </w:tcPr>
          <w:p w:rsidRPr="003210F5" w:rsidR="0088030C" w:rsidP="003210F5" w:rsidRDefault="0088030C" w14:paraId="7761568B" w14:textId="77777777">
            <w:r w:rsidRPr="003210F5">
              <w:t>albanais</w:t>
            </w:r>
          </w:p>
        </w:tc>
      </w:tr>
      <w:tr w:rsidRPr="003210F5" w:rsidR="0088030C" w:rsidTr="00FB534C" w14:paraId="24E3562A" w14:textId="77777777">
        <w:tc>
          <w:tcPr>
            <w:tcW w:w="334" w:type="pct"/>
          </w:tcPr>
          <w:p w:rsidRPr="003210F5" w:rsidR="0088030C" w:rsidP="003210F5" w:rsidRDefault="0088030C" w14:paraId="3E52A916" w14:textId="77777777">
            <w:r w:rsidRPr="003210F5">
              <w:t>21</w:t>
            </w:r>
          </w:p>
        </w:tc>
        <w:tc>
          <w:tcPr>
            <w:tcW w:w="3109" w:type="pct"/>
          </w:tcPr>
          <w:p w:rsidRPr="003210F5" w:rsidR="0088030C" w:rsidP="003210F5" w:rsidRDefault="0088030C" w14:paraId="042D758E" w14:textId="77777777">
            <w:r w:rsidRPr="003210F5">
              <w:t>Foto LERNO</w:t>
            </w:r>
          </w:p>
        </w:tc>
        <w:tc>
          <w:tcPr>
            <w:tcW w:w="1557" w:type="pct"/>
          </w:tcPr>
          <w:p w:rsidRPr="003210F5" w:rsidR="0088030C" w:rsidP="003210F5" w:rsidRDefault="0088030C" w14:paraId="5F0383C7" w14:textId="77777777">
            <w:r w:rsidRPr="003210F5">
              <w:t>albanais</w:t>
            </w:r>
          </w:p>
        </w:tc>
      </w:tr>
      <w:tr w:rsidRPr="003210F5" w:rsidR="0088030C" w:rsidTr="00FB534C" w14:paraId="66B67B2E" w14:textId="77777777">
        <w:tc>
          <w:tcPr>
            <w:tcW w:w="334" w:type="pct"/>
          </w:tcPr>
          <w:p w:rsidRPr="003210F5" w:rsidR="0088030C" w:rsidP="003210F5" w:rsidRDefault="0088030C" w14:paraId="406D602D" w14:textId="77777777">
            <w:r w:rsidRPr="003210F5">
              <w:t>22</w:t>
            </w:r>
          </w:p>
        </w:tc>
        <w:tc>
          <w:tcPr>
            <w:tcW w:w="3109" w:type="pct"/>
          </w:tcPr>
          <w:p w:rsidRPr="003210F5" w:rsidR="0088030C" w:rsidP="003210F5" w:rsidRDefault="0088030C" w14:paraId="3F0F6CCC" w14:textId="77777777">
            <w:r w:rsidRPr="003210F5">
              <w:t>Tryfon LIOUNIS</w:t>
            </w:r>
          </w:p>
        </w:tc>
        <w:tc>
          <w:tcPr>
            <w:tcW w:w="1557" w:type="pct"/>
          </w:tcPr>
          <w:p w:rsidRPr="003210F5" w:rsidR="0088030C" w:rsidP="003210F5" w:rsidRDefault="0088030C" w14:paraId="4DCDAEC4" w14:textId="77777777">
            <w:r w:rsidRPr="003210F5">
              <w:t>grec</w:t>
            </w:r>
          </w:p>
        </w:tc>
      </w:tr>
      <w:tr w:rsidRPr="003210F5" w:rsidR="0088030C" w:rsidTr="00FB534C" w14:paraId="029AB8F5" w14:textId="77777777">
        <w:tc>
          <w:tcPr>
            <w:tcW w:w="334" w:type="pct"/>
          </w:tcPr>
          <w:p w:rsidRPr="003210F5" w:rsidR="0088030C" w:rsidP="003210F5" w:rsidRDefault="0088030C" w14:paraId="01A075B9" w14:textId="77777777">
            <w:r w:rsidRPr="003210F5">
              <w:t>23</w:t>
            </w:r>
          </w:p>
        </w:tc>
        <w:tc>
          <w:tcPr>
            <w:tcW w:w="3109" w:type="pct"/>
          </w:tcPr>
          <w:p w:rsidRPr="003210F5" w:rsidR="0088030C" w:rsidP="003210F5" w:rsidRDefault="0088030C" w14:paraId="03D0DDCD" w14:textId="77777777">
            <w:r w:rsidRPr="003210F5">
              <w:t>Luftim LUFI</w:t>
            </w:r>
          </w:p>
        </w:tc>
        <w:tc>
          <w:tcPr>
            <w:tcW w:w="1557" w:type="pct"/>
          </w:tcPr>
          <w:p w:rsidRPr="003210F5" w:rsidR="0088030C" w:rsidP="003210F5" w:rsidRDefault="0088030C" w14:paraId="7ED9BFA9" w14:textId="77777777">
            <w:r w:rsidRPr="003210F5">
              <w:t>albanais</w:t>
            </w:r>
          </w:p>
        </w:tc>
      </w:tr>
      <w:tr w:rsidRPr="003210F5" w:rsidR="0088030C" w:rsidTr="00FB534C" w14:paraId="27E1A8D3" w14:textId="77777777">
        <w:tc>
          <w:tcPr>
            <w:tcW w:w="334" w:type="pct"/>
          </w:tcPr>
          <w:p w:rsidRPr="003210F5" w:rsidR="0088030C" w:rsidP="003210F5" w:rsidRDefault="0088030C" w14:paraId="04B63B4A" w14:textId="77777777">
            <w:r w:rsidRPr="003210F5">
              <w:t>24</w:t>
            </w:r>
          </w:p>
        </w:tc>
        <w:tc>
          <w:tcPr>
            <w:tcW w:w="3109" w:type="pct"/>
          </w:tcPr>
          <w:p w:rsidRPr="003210F5" w:rsidR="0088030C" w:rsidP="003210F5" w:rsidRDefault="0088030C" w14:paraId="5E0D46C6" w14:textId="77777777">
            <w:r w:rsidRPr="003210F5">
              <w:t>Saimir MUSAJ</w:t>
            </w:r>
          </w:p>
        </w:tc>
        <w:tc>
          <w:tcPr>
            <w:tcW w:w="1557" w:type="pct"/>
          </w:tcPr>
          <w:p w:rsidRPr="003210F5" w:rsidR="0088030C" w:rsidP="003210F5" w:rsidRDefault="0088030C" w14:paraId="3E60EFF0" w14:textId="77777777">
            <w:r w:rsidRPr="003210F5">
              <w:t>albanais</w:t>
            </w:r>
          </w:p>
        </w:tc>
      </w:tr>
      <w:tr w:rsidRPr="003210F5" w:rsidR="0088030C" w:rsidTr="00FB534C" w14:paraId="4D1FE107" w14:textId="77777777">
        <w:tc>
          <w:tcPr>
            <w:tcW w:w="334" w:type="pct"/>
          </w:tcPr>
          <w:p w:rsidRPr="003210F5" w:rsidR="0088030C" w:rsidP="003210F5" w:rsidRDefault="0088030C" w14:paraId="171669F1" w14:textId="77777777">
            <w:r w:rsidRPr="003210F5">
              <w:t>25</w:t>
            </w:r>
          </w:p>
        </w:tc>
        <w:tc>
          <w:tcPr>
            <w:tcW w:w="3109" w:type="pct"/>
          </w:tcPr>
          <w:p w:rsidRPr="003210F5" w:rsidR="0088030C" w:rsidP="003210F5" w:rsidRDefault="0088030C" w14:paraId="51EAFA5F" w14:textId="77777777">
            <w:r w:rsidRPr="003210F5">
              <w:t>Tzevat NAZIFOGLOU</w:t>
            </w:r>
          </w:p>
        </w:tc>
        <w:tc>
          <w:tcPr>
            <w:tcW w:w="1557" w:type="pct"/>
          </w:tcPr>
          <w:p w:rsidRPr="003210F5" w:rsidR="0088030C" w:rsidP="003210F5" w:rsidRDefault="0088030C" w14:paraId="3E93F4B7" w14:textId="77777777">
            <w:r w:rsidRPr="003210F5">
              <w:t>grec</w:t>
            </w:r>
          </w:p>
        </w:tc>
      </w:tr>
      <w:tr w:rsidRPr="003210F5" w:rsidR="0088030C" w:rsidTr="00FB534C" w14:paraId="5C0147E3" w14:textId="77777777">
        <w:tc>
          <w:tcPr>
            <w:tcW w:w="334" w:type="pct"/>
          </w:tcPr>
          <w:p w:rsidRPr="003210F5" w:rsidR="0088030C" w:rsidP="003210F5" w:rsidRDefault="0088030C" w14:paraId="5B08AD7F" w14:textId="77777777">
            <w:r w:rsidRPr="003210F5">
              <w:t>26</w:t>
            </w:r>
          </w:p>
        </w:tc>
        <w:tc>
          <w:tcPr>
            <w:tcW w:w="3109" w:type="pct"/>
          </w:tcPr>
          <w:p w:rsidRPr="003210F5" w:rsidR="0088030C" w:rsidP="003210F5" w:rsidRDefault="0088030C" w14:paraId="76F4C6D0" w14:textId="77777777">
            <w:r w:rsidRPr="003210F5">
              <w:t>Michael-Emeka OSIGWE</w:t>
            </w:r>
          </w:p>
        </w:tc>
        <w:tc>
          <w:tcPr>
            <w:tcW w:w="1557" w:type="pct"/>
          </w:tcPr>
          <w:p w:rsidRPr="003210F5" w:rsidR="0088030C" w:rsidP="003210F5" w:rsidRDefault="0088030C" w14:paraId="277C060F" w14:textId="77777777">
            <w:r w:rsidRPr="003210F5">
              <w:t>nigérian</w:t>
            </w:r>
          </w:p>
        </w:tc>
      </w:tr>
      <w:tr w:rsidRPr="003210F5" w:rsidR="0088030C" w:rsidTr="00FB534C" w14:paraId="74550310" w14:textId="77777777">
        <w:tc>
          <w:tcPr>
            <w:tcW w:w="334" w:type="pct"/>
          </w:tcPr>
          <w:p w:rsidRPr="003210F5" w:rsidR="0088030C" w:rsidP="003210F5" w:rsidRDefault="0088030C" w14:paraId="382FB285" w14:textId="77777777">
            <w:r w:rsidRPr="003210F5">
              <w:t>27</w:t>
            </w:r>
          </w:p>
        </w:tc>
        <w:tc>
          <w:tcPr>
            <w:tcW w:w="3109" w:type="pct"/>
          </w:tcPr>
          <w:p w:rsidRPr="003210F5" w:rsidR="0088030C" w:rsidP="003210F5" w:rsidRDefault="0088030C" w14:paraId="18E0771A" w14:textId="77777777">
            <w:r w:rsidRPr="003210F5">
              <w:t>Alehander-Aleksander PILA-PYLLA</w:t>
            </w:r>
          </w:p>
        </w:tc>
        <w:tc>
          <w:tcPr>
            <w:tcW w:w="1557" w:type="pct"/>
          </w:tcPr>
          <w:p w:rsidRPr="003210F5" w:rsidR="0088030C" w:rsidP="003210F5" w:rsidRDefault="0088030C" w14:paraId="7645F1AA" w14:textId="77777777">
            <w:r w:rsidRPr="003210F5">
              <w:t>albanais</w:t>
            </w:r>
          </w:p>
        </w:tc>
      </w:tr>
      <w:tr w:rsidRPr="003210F5" w:rsidR="0088030C" w:rsidTr="00FB534C" w14:paraId="5235D24F" w14:textId="77777777">
        <w:tc>
          <w:tcPr>
            <w:tcW w:w="334" w:type="pct"/>
          </w:tcPr>
          <w:p w:rsidRPr="003210F5" w:rsidR="0088030C" w:rsidP="003210F5" w:rsidRDefault="0088030C" w14:paraId="7C6363D6" w14:textId="77777777">
            <w:r w:rsidRPr="003210F5">
              <w:t>28</w:t>
            </w:r>
          </w:p>
        </w:tc>
        <w:tc>
          <w:tcPr>
            <w:tcW w:w="3109" w:type="pct"/>
          </w:tcPr>
          <w:p w:rsidRPr="003210F5" w:rsidR="0088030C" w:rsidP="003210F5" w:rsidRDefault="0088030C" w14:paraId="0BF9FFA8" w14:textId="77777777">
            <w:r w:rsidRPr="003210F5">
              <w:t>Dimitrios SAMARAS</w:t>
            </w:r>
          </w:p>
        </w:tc>
        <w:tc>
          <w:tcPr>
            <w:tcW w:w="1557" w:type="pct"/>
          </w:tcPr>
          <w:p w:rsidRPr="003210F5" w:rsidR="0088030C" w:rsidP="003210F5" w:rsidRDefault="0088030C" w14:paraId="10D18DB3" w14:textId="77777777">
            <w:r w:rsidRPr="003210F5">
              <w:t>grec</w:t>
            </w:r>
          </w:p>
        </w:tc>
      </w:tr>
      <w:tr w:rsidRPr="003210F5" w:rsidR="0088030C" w:rsidTr="00FB534C" w14:paraId="2695B7A2" w14:textId="77777777">
        <w:tc>
          <w:tcPr>
            <w:tcW w:w="334" w:type="pct"/>
          </w:tcPr>
          <w:p w:rsidRPr="003210F5" w:rsidR="0088030C" w:rsidP="003210F5" w:rsidRDefault="0088030C" w14:paraId="75D20912" w14:textId="77777777">
            <w:r w:rsidRPr="003210F5">
              <w:t>29</w:t>
            </w:r>
          </w:p>
        </w:tc>
        <w:tc>
          <w:tcPr>
            <w:tcW w:w="3109" w:type="pct"/>
          </w:tcPr>
          <w:p w:rsidRPr="003210F5" w:rsidR="0088030C" w:rsidP="003210F5" w:rsidRDefault="0088030C" w14:paraId="15B2F8B8" w14:textId="77777777">
            <w:r w:rsidRPr="003210F5">
              <w:t>Ervis TANKA</w:t>
            </w:r>
          </w:p>
        </w:tc>
        <w:tc>
          <w:tcPr>
            <w:tcW w:w="1557" w:type="pct"/>
          </w:tcPr>
          <w:p w:rsidRPr="003210F5" w:rsidR="0088030C" w:rsidP="003210F5" w:rsidRDefault="0088030C" w14:paraId="0DFC6404" w14:textId="77777777">
            <w:r w:rsidRPr="003210F5">
              <w:t>albanais</w:t>
            </w:r>
          </w:p>
        </w:tc>
      </w:tr>
      <w:tr w:rsidRPr="003210F5" w:rsidR="0088030C" w:rsidTr="00FB534C" w14:paraId="115B5BD0" w14:textId="77777777">
        <w:tc>
          <w:tcPr>
            <w:tcW w:w="334" w:type="pct"/>
          </w:tcPr>
          <w:p w:rsidRPr="003210F5" w:rsidR="0088030C" w:rsidP="003210F5" w:rsidRDefault="0088030C" w14:paraId="58B294F2" w14:textId="77777777">
            <w:r w:rsidRPr="003210F5">
              <w:t>30</w:t>
            </w:r>
          </w:p>
        </w:tc>
        <w:tc>
          <w:tcPr>
            <w:tcW w:w="3109" w:type="pct"/>
          </w:tcPr>
          <w:p w:rsidRPr="003210F5" w:rsidR="0088030C" w:rsidP="003210F5" w:rsidRDefault="0088030C" w14:paraId="5608F29C" w14:textId="77777777">
            <w:r w:rsidRPr="003210F5">
              <w:t>Bilbil TOTA</w:t>
            </w:r>
          </w:p>
        </w:tc>
        <w:tc>
          <w:tcPr>
            <w:tcW w:w="1557" w:type="pct"/>
          </w:tcPr>
          <w:p w:rsidRPr="003210F5" w:rsidR="0088030C" w:rsidP="003210F5" w:rsidRDefault="0088030C" w14:paraId="30503DB0" w14:textId="77777777">
            <w:r w:rsidRPr="003210F5">
              <w:t>albanais</w:t>
            </w:r>
          </w:p>
        </w:tc>
      </w:tr>
      <w:tr w:rsidRPr="003210F5" w:rsidR="0088030C" w:rsidTr="00FB534C" w14:paraId="0C9FC6ED" w14:textId="77777777">
        <w:tc>
          <w:tcPr>
            <w:tcW w:w="334" w:type="pct"/>
          </w:tcPr>
          <w:p w:rsidRPr="003210F5" w:rsidR="0088030C" w:rsidP="003210F5" w:rsidRDefault="0088030C" w14:paraId="78DDE9FD" w14:textId="77777777">
            <w:r w:rsidRPr="003210F5">
              <w:t>31</w:t>
            </w:r>
          </w:p>
        </w:tc>
        <w:tc>
          <w:tcPr>
            <w:tcW w:w="3109" w:type="pct"/>
          </w:tcPr>
          <w:p w:rsidRPr="003210F5" w:rsidR="0088030C" w:rsidP="003210F5" w:rsidRDefault="0088030C" w14:paraId="74668E49" w14:textId="77777777">
            <w:r w:rsidRPr="003210F5">
              <w:t>Fotios TSAKAS</w:t>
            </w:r>
          </w:p>
        </w:tc>
        <w:tc>
          <w:tcPr>
            <w:tcW w:w="1557" w:type="pct"/>
          </w:tcPr>
          <w:p w:rsidRPr="003210F5" w:rsidR="0088030C" w:rsidP="003210F5" w:rsidRDefault="0088030C" w14:paraId="1D6D7EA2" w14:textId="77777777">
            <w:r w:rsidRPr="003210F5">
              <w:t>grec</w:t>
            </w:r>
          </w:p>
        </w:tc>
      </w:tr>
      <w:tr w:rsidRPr="003210F5" w:rsidR="0088030C" w:rsidTr="00FB534C" w14:paraId="10EC27C0" w14:textId="77777777">
        <w:tc>
          <w:tcPr>
            <w:tcW w:w="334" w:type="pct"/>
          </w:tcPr>
          <w:p w:rsidRPr="003210F5" w:rsidR="0088030C" w:rsidP="003210F5" w:rsidRDefault="0088030C" w14:paraId="689F1CCE" w14:textId="77777777">
            <w:r w:rsidRPr="003210F5">
              <w:t>32</w:t>
            </w:r>
          </w:p>
        </w:tc>
        <w:tc>
          <w:tcPr>
            <w:tcW w:w="3109" w:type="pct"/>
          </w:tcPr>
          <w:p w:rsidRPr="003210F5" w:rsidR="0088030C" w:rsidP="003210F5" w:rsidRDefault="0088030C" w14:paraId="3B20F935" w14:textId="77777777">
            <w:r w:rsidRPr="003210F5">
              <w:t>Christos VASILIOU</w:t>
            </w:r>
          </w:p>
        </w:tc>
        <w:tc>
          <w:tcPr>
            <w:tcW w:w="1557" w:type="pct"/>
          </w:tcPr>
          <w:p w:rsidRPr="003210F5" w:rsidR="0088030C" w:rsidP="003210F5" w:rsidRDefault="0088030C" w14:paraId="7B052F15" w14:textId="77777777">
            <w:r w:rsidRPr="003210F5">
              <w:t>grec</w:t>
            </w:r>
          </w:p>
        </w:tc>
      </w:tr>
      <w:tr w:rsidRPr="003210F5" w:rsidR="0088030C" w:rsidTr="00FB534C" w14:paraId="1538E7AB" w14:textId="77777777">
        <w:tc>
          <w:tcPr>
            <w:tcW w:w="334" w:type="pct"/>
          </w:tcPr>
          <w:p w:rsidRPr="003210F5" w:rsidR="0088030C" w:rsidP="003210F5" w:rsidRDefault="0088030C" w14:paraId="4EBDB29D" w14:textId="77777777">
            <w:r w:rsidRPr="003210F5">
              <w:t>33</w:t>
            </w:r>
          </w:p>
        </w:tc>
        <w:tc>
          <w:tcPr>
            <w:tcW w:w="3109" w:type="pct"/>
          </w:tcPr>
          <w:p w:rsidRPr="003210F5" w:rsidR="0088030C" w:rsidP="003210F5" w:rsidRDefault="0088030C" w14:paraId="5E79FDE9" w14:textId="77777777">
            <w:r w:rsidRPr="003210F5">
              <w:t>Andreas VESIM</w:t>
            </w:r>
          </w:p>
        </w:tc>
        <w:tc>
          <w:tcPr>
            <w:tcW w:w="1557" w:type="pct"/>
          </w:tcPr>
          <w:p w:rsidRPr="003210F5" w:rsidR="0088030C" w:rsidP="003210F5" w:rsidRDefault="0088030C" w14:paraId="090EBB6D" w14:textId="77777777">
            <w:r w:rsidRPr="003210F5">
              <w:t>grec</w:t>
            </w:r>
          </w:p>
        </w:tc>
      </w:tr>
      <w:tr w:rsidRPr="003210F5" w:rsidR="0088030C" w:rsidTr="00FB534C" w14:paraId="07EE3D67" w14:textId="77777777">
        <w:tc>
          <w:tcPr>
            <w:tcW w:w="334" w:type="pct"/>
          </w:tcPr>
          <w:p w:rsidRPr="003210F5" w:rsidR="0088030C" w:rsidP="003210F5" w:rsidRDefault="0088030C" w14:paraId="431C3EE6" w14:textId="77777777">
            <w:r w:rsidRPr="003210F5">
              <w:t>34</w:t>
            </w:r>
          </w:p>
        </w:tc>
        <w:tc>
          <w:tcPr>
            <w:tcW w:w="3109" w:type="pct"/>
          </w:tcPr>
          <w:p w:rsidRPr="003210F5" w:rsidR="0088030C" w:rsidP="003210F5" w:rsidRDefault="0088030C" w14:paraId="2DA5C4BD" w14:textId="77777777">
            <w:r w:rsidRPr="003210F5">
              <w:t>Vasilios ZAGGAS</w:t>
            </w:r>
          </w:p>
        </w:tc>
        <w:tc>
          <w:tcPr>
            <w:tcW w:w="1557" w:type="pct"/>
          </w:tcPr>
          <w:p w:rsidRPr="003210F5" w:rsidR="0088030C" w:rsidP="003210F5" w:rsidRDefault="0088030C" w14:paraId="4B794F91" w14:textId="77777777">
            <w:r w:rsidRPr="003210F5">
              <w:t>grec</w:t>
            </w:r>
          </w:p>
        </w:tc>
      </w:tr>
    </w:tbl>
    <w:p w:rsidRPr="003210F5" w:rsidR="0088030C" w:rsidP="003210F5" w:rsidRDefault="0088030C" w14:paraId="59B65615" w14:textId="77777777">
      <w:pPr>
        <w:pStyle w:val="JuParaLast"/>
        <w:keepNext w:val="0"/>
        <w:keepLines w:val="0"/>
        <w:ind w:firstLine="0"/>
      </w:pPr>
    </w:p>
    <w:p w:rsidRPr="003210F5" w:rsidR="00876F03" w:rsidP="003210F5" w:rsidRDefault="00876F03" w14:paraId="0014AC15" w14:textId="3199E142"/>
    <w:sectPr w:rsidRPr="003210F5" w:rsidR="00876F03">
      <w:headerReference w:type="even" r:id="rId19"/>
      <w:headerReference w:type="default" r:id="rId20"/>
      <w:footerReference w:type="default" r:id="rId21"/>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89D96" w14:textId="77777777" w:rsidR="003A74F0" w:rsidRPr="00F25EFC" w:rsidRDefault="003A74F0" w:rsidP="00516B59">
      <w:r w:rsidRPr="00F25EFC">
        <w:separator/>
      </w:r>
    </w:p>
  </w:endnote>
  <w:endnote w:type="continuationSeparator" w:id="0">
    <w:p w14:paraId="6878B19E" w14:textId="77777777" w:rsidR="003A74F0" w:rsidRPr="00F25EFC" w:rsidRDefault="003A74F0"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9A16" w14:textId="300FCDBF" w:rsidR="00954AD6" w:rsidRPr="00F25EFC" w:rsidRDefault="003A74F0"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1D4E" w14:textId="2ED00548" w:rsidR="003A74F0" w:rsidRPr="00150BFA" w:rsidRDefault="003A74F0" w:rsidP="0020718E">
    <w:pPr>
      <w:jc w:val="center"/>
    </w:pPr>
    <w:r>
      <w:rPr>
        <w:noProof/>
        <w:lang w:val="en-US" w:eastAsia="ja-JP"/>
      </w:rPr>
      <w:drawing>
        <wp:inline distT="0" distB="0" distL="0" distR="0" wp14:anchorId="0A1F8AAE" wp14:editId="7717F4F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9BC00B4" w14:textId="6D1DE466" w:rsidR="00F22D5C" w:rsidRPr="00F25EFC" w:rsidRDefault="00BB4925"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837A" w14:textId="40968D1A" w:rsidR="003A74F0" w:rsidRPr="00150BFA" w:rsidRDefault="003A74F0" w:rsidP="0020718E">
    <w:pPr>
      <w:jc w:val="center"/>
    </w:pPr>
    <w:r>
      <w:rPr>
        <w:noProof/>
        <w:lang w:val="en-US" w:eastAsia="ja-JP"/>
      </w:rPr>
      <w:drawing>
        <wp:inline distT="0" distB="0" distL="0" distR="0" wp14:anchorId="573F340C" wp14:editId="2EBCA4CD">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7212094" w14:textId="160B0A4B" w:rsidR="00902601" w:rsidRPr="00F25EFC" w:rsidRDefault="00902601"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3B9F" w14:textId="77777777" w:rsidR="003A74F0" w:rsidRDefault="003A74F0" w:rsidP="00C149F0">
    <w:pPr>
      <w:pStyle w:val="JuHeade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1</w:t>
    </w:r>
    <w:r>
      <w:rPr>
        <w:rStyle w:val="PageNumber"/>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69FF" w14:textId="77777777" w:rsidR="003A74F0" w:rsidRDefault="003A74F0" w:rsidP="00662882">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9FF8" w14:textId="6ABB1ECD" w:rsidR="00F22D5C" w:rsidRPr="00D01935" w:rsidRDefault="003A74F0"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C3696" w14:textId="77777777" w:rsidR="003A74F0" w:rsidRPr="00F25EFC" w:rsidRDefault="003A74F0" w:rsidP="00516B59">
      <w:r w:rsidRPr="00F25EFC">
        <w:separator/>
      </w:r>
    </w:p>
  </w:footnote>
  <w:footnote w:type="continuationSeparator" w:id="0">
    <w:p w14:paraId="339B383D" w14:textId="77777777" w:rsidR="003A74F0" w:rsidRPr="00F25EFC" w:rsidRDefault="003A74F0"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E333" w14:textId="1C5B8801" w:rsidR="003A74F0" w:rsidRPr="00A45145" w:rsidRDefault="003A74F0" w:rsidP="00A45145">
    <w:pPr>
      <w:jc w:val="center"/>
    </w:pPr>
    <w:r>
      <w:rPr>
        <w:noProof/>
        <w:lang w:val="en-US" w:eastAsia="ja-JP"/>
      </w:rPr>
      <w:drawing>
        <wp:inline distT="0" distB="0" distL="0" distR="0" wp14:anchorId="7227BB3D" wp14:editId="79470832">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995F77E" w14:textId="35125BE1" w:rsidR="00F22D5C" w:rsidRPr="00F25EFC" w:rsidRDefault="00BB4925"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D27F" w14:textId="4919B6ED" w:rsidR="003A74F0" w:rsidRPr="00A45145" w:rsidRDefault="003A74F0" w:rsidP="00A45145">
    <w:pPr>
      <w:jc w:val="center"/>
    </w:pPr>
    <w:r>
      <w:rPr>
        <w:noProof/>
        <w:lang w:val="en-US" w:eastAsia="ja-JP"/>
      </w:rPr>
      <w:drawing>
        <wp:inline distT="0" distB="0" distL="0" distR="0" wp14:anchorId="75B4F2D0" wp14:editId="39D414CB">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10DBEA1" w14:textId="182E73B5" w:rsidR="00902601" w:rsidRPr="00F25EFC" w:rsidRDefault="00902601"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C5E0" w14:textId="77777777" w:rsidR="003A74F0" w:rsidRPr="00F5432B" w:rsidRDefault="003A74F0" w:rsidP="00C149F0">
    <w:pPr>
      <w:pStyle w:val="JuHeader"/>
    </w:pPr>
    <w:r w:rsidRPr="00432FE5">
      <w:t xml:space="preserve">ARRÊT ZOGRAFOS ET AUTRES c. GRÈCE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5D69" w14:textId="77777777" w:rsidR="003A74F0" w:rsidRPr="007100AD" w:rsidRDefault="003A74F0" w:rsidP="00662882">
    <w:pPr>
      <w:pStyle w:val="JuHeader"/>
    </w:pPr>
    <w:r w:rsidRPr="00432FE5">
      <w:t xml:space="preserve">ARRÊT ZOGRAFOS ET AUTRES c. GRÈCE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7763" w14:textId="1C3F559D" w:rsidR="00F22D5C" w:rsidRPr="00432FE5" w:rsidRDefault="00A21624" w:rsidP="00A21624">
    <w:pPr>
      <w:pStyle w:val="JuHeader"/>
    </w:pPr>
    <w:r w:rsidRPr="00432FE5">
      <w:t>ARRÊT</w:t>
    </w:r>
    <w:r w:rsidR="00256F45" w:rsidRPr="00432FE5">
      <w:t xml:space="preserve"> </w:t>
    </w:r>
    <w:r w:rsidR="003A74F0" w:rsidRPr="00432FE5">
      <w:t>ZOGRAFOS ET AUTRES c. GRÈCE</w:t>
    </w:r>
    <w:r w:rsidR="003A74F0" w:rsidRPr="00432FE5">
      <w:rPr>
        <w:noProof/>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41B7" w14:textId="41F9B2D6" w:rsidR="00F22D5C" w:rsidRPr="00662882" w:rsidRDefault="00256F45" w:rsidP="00662882">
    <w:pPr>
      <w:pStyle w:val="JuHeader"/>
    </w:pPr>
    <w:r w:rsidRPr="00432FE5">
      <w:t>ARRÊT</w:t>
    </w:r>
    <w:r w:rsidR="00162967" w:rsidRPr="00432FE5">
      <w:t xml:space="preserve"> </w:t>
    </w:r>
    <w:r w:rsidR="003A74F0" w:rsidRPr="00432FE5">
      <w:t>ZOGRAFOS ET AUTRES c. GRÈCE</w:t>
    </w:r>
    <w:r w:rsidR="007971FF" w:rsidRPr="00432FE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lvlOverride w:ilvl="0">
      <w:lvl w:ilvl="0">
        <w:start w:val="1"/>
        <w:numFmt w:val="decimal"/>
        <w:pStyle w:val="JuList"/>
        <w:lvlText w:val="%1."/>
        <w:lvlJc w:val="left"/>
        <w:pPr>
          <w:tabs>
            <w:tab w:val="num" w:pos="340"/>
          </w:tabs>
          <w:ind w:left="340" w:hanging="340"/>
        </w:pPr>
        <w:rPr>
          <w:rFonts w:hint="default"/>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3"/>
  </w:docVars>
  <w:rsids>
    <w:rsidRoot w:val="003A74F0"/>
    <w:rsid w:val="00001F51"/>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A38BF"/>
    <w:rsid w:val="000A648A"/>
    <w:rsid w:val="000B5D17"/>
    <w:rsid w:val="000B6923"/>
    <w:rsid w:val="000C2872"/>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3109"/>
    <w:rsid w:val="001257EC"/>
    <w:rsid w:val="00133D33"/>
    <w:rsid w:val="00134D64"/>
    <w:rsid w:val="00135A30"/>
    <w:rsid w:val="0013612C"/>
    <w:rsid w:val="00137FF6"/>
    <w:rsid w:val="00141650"/>
    <w:rsid w:val="001625AD"/>
    <w:rsid w:val="00162967"/>
    <w:rsid w:val="00162A12"/>
    <w:rsid w:val="00166530"/>
    <w:rsid w:val="001776A9"/>
    <w:rsid w:val="00181508"/>
    <w:rsid w:val="001832BD"/>
    <w:rsid w:val="001943B5"/>
    <w:rsid w:val="00194C5B"/>
    <w:rsid w:val="00195134"/>
    <w:rsid w:val="001A145B"/>
    <w:rsid w:val="001A2684"/>
    <w:rsid w:val="001A674C"/>
    <w:rsid w:val="001B3B24"/>
    <w:rsid w:val="001C0F98"/>
    <w:rsid w:val="001C2A42"/>
    <w:rsid w:val="001C2B5C"/>
    <w:rsid w:val="001C5F20"/>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77651"/>
    <w:rsid w:val="00282240"/>
    <w:rsid w:val="002948AD"/>
    <w:rsid w:val="0029739C"/>
    <w:rsid w:val="002A01CC"/>
    <w:rsid w:val="002A61B1"/>
    <w:rsid w:val="002A663C"/>
    <w:rsid w:val="002B444B"/>
    <w:rsid w:val="002B5887"/>
    <w:rsid w:val="002B7E83"/>
    <w:rsid w:val="002C0E27"/>
    <w:rsid w:val="002C3040"/>
    <w:rsid w:val="002D022D"/>
    <w:rsid w:val="002D24BB"/>
    <w:rsid w:val="002D6B68"/>
    <w:rsid w:val="002F29AA"/>
    <w:rsid w:val="002F2AF7"/>
    <w:rsid w:val="002F7E1C"/>
    <w:rsid w:val="00301A75"/>
    <w:rsid w:val="00302F70"/>
    <w:rsid w:val="0030336F"/>
    <w:rsid w:val="0030375E"/>
    <w:rsid w:val="0030660C"/>
    <w:rsid w:val="00312A30"/>
    <w:rsid w:val="00316323"/>
    <w:rsid w:val="00320F72"/>
    <w:rsid w:val="003210F5"/>
    <w:rsid w:val="0032463E"/>
    <w:rsid w:val="00326224"/>
    <w:rsid w:val="00337EE4"/>
    <w:rsid w:val="00340FFD"/>
    <w:rsid w:val="003471AF"/>
    <w:rsid w:val="003506B1"/>
    <w:rsid w:val="00355AEF"/>
    <w:rsid w:val="00356AC7"/>
    <w:rsid w:val="003609FA"/>
    <w:rsid w:val="00361D45"/>
    <w:rsid w:val="00367B4F"/>
    <w:rsid w:val="003710C8"/>
    <w:rsid w:val="0037146E"/>
    <w:rsid w:val="00371E50"/>
    <w:rsid w:val="003722CE"/>
    <w:rsid w:val="003750BE"/>
    <w:rsid w:val="00387B9D"/>
    <w:rsid w:val="0039364F"/>
    <w:rsid w:val="00396686"/>
    <w:rsid w:val="0039778E"/>
    <w:rsid w:val="003A37B8"/>
    <w:rsid w:val="003A74F0"/>
    <w:rsid w:val="003B4941"/>
    <w:rsid w:val="003B6A2E"/>
    <w:rsid w:val="003C5714"/>
    <w:rsid w:val="003C6B9F"/>
    <w:rsid w:val="003C6E2A"/>
    <w:rsid w:val="003D0299"/>
    <w:rsid w:val="003D32BE"/>
    <w:rsid w:val="003E3FE3"/>
    <w:rsid w:val="003E6AA8"/>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2FE5"/>
    <w:rsid w:val="004344E6"/>
    <w:rsid w:val="0043482D"/>
    <w:rsid w:val="00436C49"/>
    <w:rsid w:val="00445366"/>
    <w:rsid w:val="00447F5B"/>
    <w:rsid w:val="00456549"/>
    <w:rsid w:val="004604A0"/>
    <w:rsid w:val="00461DB0"/>
    <w:rsid w:val="00463926"/>
    <w:rsid w:val="00464C9A"/>
    <w:rsid w:val="00474F3D"/>
    <w:rsid w:val="0047708A"/>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E40DC"/>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35CF4"/>
    <w:rsid w:val="005442EE"/>
    <w:rsid w:val="00547353"/>
    <w:rsid w:val="005474E7"/>
    <w:rsid w:val="005512A3"/>
    <w:rsid w:val="0055130B"/>
    <w:rsid w:val="005578CE"/>
    <w:rsid w:val="00562781"/>
    <w:rsid w:val="00566E2B"/>
    <w:rsid w:val="0057271C"/>
    <w:rsid w:val="00572845"/>
    <w:rsid w:val="005758A7"/>
    <w:rsid w:val="00576986"/>
    <w:rsid w:val="00592772"/>
    <w:rsid w:val="00592C8D"/>
    <w:rsid w:val="0059574A"/>
    <w:rsid w:val="005A1B9B"/>
    <w:rsid w:val="005A6751"/>
    <w:rsid w:val="005B092E"/>
    <w:rsid w:val="005B152C"/>
    <w:rsid w:val="005B1EE0"/>
    <w:rsid w:val="005B2B24"/>
    <w:rsid w:val="005B37A7"/>
    <w:rsid w:val="005B4425"/>
    <w:rsid w:val="005B4B94"/>
    <w:rsid w:val="005C353F"/>
    <w:rsid w:val="005C3EE8"/>
    <w:rsid w:val="005D34F9"/>
    <w:rsid w:val="005D4190"/>
    <w:rsid w:val="005D67A3"/>
    <w:rsid w:val="005E2988"/>
    <w:rsid w:val="005E3085"/>
    <w:rsid w:val="005F51E1"/>
    <w:rsid w:val="006103D9"/>
    <w:rsid w:val="00611C80"/>
    <w:rsid w:val="00613270"/>
    <w:rsid w:val="00613B21"/>
    <w:rsid w:val="00620692"/>
    <w:rsid w:val="006242CA"/>
    <w:rsid w:val="00627507"/>
    <w:rsid w:val="006316A3"/>
    <w:rsid w:val="00633717"/>
    <w:rsid w:val="006344E1"/>
    <w:rsid w:val="006361FD"/>
    <w:rsid w:val="00646455"/>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2B53"/>
    <w:rsid w:val="006F48CA"/>
    <w:rsid w:val="006F64DD"/>
    <w:rsid w:val="00714170"/>
    <w:rsid w:val="00715127"/>
    <w:rsid w:val="00715E8E"/>
    <w:rsid w:val="007172B0"/>
    <w:rsid w:val="00723580"/>
    <w:rsid w:val="00723755"/>
    <w:rsid w:val="00724AE2"/>
    <w:rsid w:val="00730B5C"/>
    <w:rsid w:val="0073136C"/>
    <w:rsid w:val="00731F0F"/>
    <w:rsid w:val="00733250"/>
    <w:rsid w:val="00735951"/>
    <w:rsid w:val="00741404"/>
    <w:rsid w:val="007449E5"/>
    <w:rsid w:val="00745D4E"/>
    <w:rsid w:val="00747FF0"/>
    <w:rsid w:val="007612E2"/>
    <w:rsid w:val="0076137C"/>
    <w:rsid w:val="00764D4E"/>
    <w:rsid w:val="00765A1F"/>
    <w:rsid w:val="007729F3"/>
    <w:rsid w:val="00775B6D"/>
    <w:rsid w:val="00776D68"/>
    <w:rsid w:val="007850EE"/>
    <w:rsid w:val="00785B95"/>
    <w:rsid w:val="00790AAD"/>
    <w:rsid w:val="00790E96"/>
    <w:rsid w:val="00793366"/>
    <w:rsid w:val="00794E99"/>
    <w:rsid w:val="007971FF"/>
    <w:rsid w:val="007A4070"/>
    <w:rsid w:val="007A716F"/>
    <w:rsid w:val="007A7A85"/>
    <w:rsid w:val="007B270A"/>
    <w:rsid w:val="007C0695"/>
    <w:rsid w:val="007C419A"/>
    <w:rsid w:val="007C4CC8"/>
    <w:rsid w:val="007C5426"/>
    <w:rsid w:val="007C5798"/>
    <w:rsid w:val="007D4832"/>
    <w:rsid w:val="007E21B2"/>
    <w:rsid w:val="007E2C4E"/>
    <w:rsid w:val="007F1905"/>
    <w:rsid w:val="00801300"/>
    <w:rsid w:val="008018F9"/>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6671F"/>
    <w:rsid w:val="008713A1"/>
    <w:rsid w:val="008730D6"/>
    <w:rsid w:val="00873D9C"/>
    <w:rsid w:val="008748BE"/>
    <w:rsid w:val="008754AB"/>
    <w:rsid w:val="00876A02"/>
    <w:rsid w:val="00876F03"/>
    <w:rsid w:val="0088030C"/>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67021"/>
    <w:rsid w:val="00972B55"/>
    <w:rsid w:val="009743B7"/>
    <w:rsid w:val="00975039"/>
    <w:rsid w:val="00977227"/>
    <w:rsid w:val="0098228B"/>
    <w:rsid w:val="009828DA"/>
    <w:rsid w:val="00985BAB"/>
    <w:rsid w:val="009B1B5F"/>
    <w:rsid w:val="009B2C15"/>
    <w:rsid w:val="009B6673"/>
    <w:rsid w:val="009C191B"/>
    <w:rsid w:val="009C2BD6"/>
    <w:rsid w:val="009D2F52"/>
    <w:rsid w:val="009E16D2"/>
    <w:rsid w:val="009E1F32"/>
    <w:rsid w:val="009E239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56D1D"/>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1A10"/>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8BC"/>
    <w:rsid w:val="00B52BE0"/>
    <w:rsid w:val="00B54133"/>
    <w:rsid w:val="00B6241E"/>
    <w:rsid w:val="00B701ED"/>
    <w:rsid w:val="00B751F4"/>
    <w:rsid w:val="00B8086C"/>
    <w:rsid w:val="00B840F7"/>
    <w:rsid w:val="00B861B4"/>
    <w:rsid w:val="00B86DFE"/>
    <w:rsid w:val="00B87828"/>
    <w:rsid w:val="00B90990"/>
    <w:rsid w:val="00B922FF"/>
    <w:rsid w:val="00B9281E"/>
    <w:rsid w:val="00B93925"/>
    <w:rsid w:val="00B95187"/>
    <w:rsid w:val="00BA2D55"/>
    <w:rsid w:val="00BA337B"/>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1052"/>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257BF"/>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42D4"/>
    <w:rsid w:val="00DB5CBD"/>
    <w:rsid w:val="00DC169B"/>
    <w:rsid w:val="00DC2AB9"/>
    <w:rsid w:val="00DC63F0"/>
    <w:rsid w:val="00DC7CE8"/>
    <w:rsid w:val="00DD5382"/>
    <w:rsid w:val="00DD6EE5"/>
    <w:rsid w:val="00DE2362"/>
    <w:rsid w:val="00DE386C"/>
    <w:rsid w:val="00DE4D35"/>
    <w:rsid w:val="00DF098B"/>
    <w:rsid w:val="00DF11C4"/>
    <w:rsid w:val="00DF210C"/>
    <w:rsid w:val="00DF4B6A"/>
    <w:rsid w:val="00E012CB"/>
    <w:rsid w:val="00E02C09"/>
    <w:rsid w:val="00E04D59"/>
    <w:rsid w:val="00E07DA1"/>
    <w:rsid w:val="00E123CB"/>
    <w:rsid w:val="00E20E13"/>
    <w:rsid w:val="00E21DBC"/>
    <w:rsid w:val="00E275D7"/>
    <w:rsid w:val="00E27DBE"/>
    <w:rsid w:val="00E32AB1"/>
    <w:rsid w:val="00E36C71"/>
    <w:rsid w:val="00E40404"/>
    <w:rsid w:val="00E459C6"/>
    <w:rsid w:val="00E47589"/>
    <w:rsid w:val="00E52060"/>
    <w:rsid w:val="00E64915"/>
    <w:rsid w:val="00E661D4"/>
    <w:rsid w:val="00E70091"/>
    <w:rsid w:val="00E720F5"/>
    <w:rsid w:val="00E76D47"/>
    <w:rsid w:val="00E849F7"/>
    <w:rsid w:val="00E8780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34A4E"/>
    <w:rsid w:val="00F45E5C"/>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44DF"/>
    <w:rsid w:val="00FE71B3"/>
    <w:rsid w:val="00FF42C5"/>
    <w:rsid w:val="00FF5ADE"/>
    <w:rsid w:val="00FF76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F7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210F5"/>
    <w:rPr>
      <w:sz w:val="24"/>
      <w:szCs w:val="24"/>
      <w:lang w:val="fr-FR"/>
    </w:rPr>
  </w:style>
  <w:style w:type="paragraph" w:styleId="Heading1">
    <w:name w:val="heading 1"/>
    <w:basedOn w:val="Normal"/>
    <w:next w:val="Normal"/>
    <w:link w:val="Heading1Char"/>
    <w:uiPriority w:val="98"/>
    <w:semiHidden/>
    <w:rsid w:val="003210F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3210F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3210F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3210F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3210F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3210F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3210F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3210F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3210F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3210F5"/>
    <w:rPr>
      <w:rFonts w:ascii="Tahoma" w:hAnsi="Tahoma" w:cs="Tahoma"/>
      <w:sz w:val="16"/>
      <w:szCs w:val="16"/>
    </w:rPr>
  </w:style>
  <w:style w:type="character" w:customStyle="1" w:styleId="BalloonTextChar">
    <w:name w:val="Balloon Text Char"/>
    <w:basedOn w:val="DefaultParagraphFont"/>
    <w:link w:val="BalloonText"/>
    <w:uiPriority w:val="98"/>
    <w:semiHidden/>
    <w:rsid w:val="003210F5"/>
    <w:rPr>
      <w:rFonts w:ascii="Tahoma" w:hAnsi="Tahoma" w:cs="Tahoma"/>
      <w:sz w:val="16"/>
      <w:szCs w:val="16"/>
      <w:lang w:val="fr-FR"/>
    </w:rPr>
  </w:style>
  <w:style w:type="character" w:styleId="BookTitle">
    <w:name w:val="Book Title"/>
    <w:uiPriority w:val="98"/>
    <w:semiHidden/>
    <w:qFormat/>
    <w:rsid w:val="003210F5"/>
    <w:rPr>
      <w:i/>
      <w:iCs/>
      <w:smallCaps/>
      <w:spacing w:val="5"/>
    </w:rPr>
  </w:style>
  <w:style w:type="paragraph" w:customStyle="1" w:styleId="JuHeader">
    <w:name w:val="Ju_Header"/>
    <w:aliases w:val="_Header"/>
    <w:basedOn w:val="Header"/>
    <w:uiPriority w:val="29"/>
    <w:qFormat/>
    <w:rsid w:val="003210F5"/>
    <w:pPr>
      <w:tabs>
        <w:tab w:val="clear" w:pos="4536"/>
        <w:tab w:val="clear" w:pos="9072"/>
      </w:tabs>
      <w:jc w:val="center"/>
    </w:pPr>
    <w:rPr>
      <w:sz w:val="18"/>
    </w:rPr>
  </w:style>
  <w:style w:type="paragraph" w:customStyle="1" w:styleId="DummyStyle">
    <w:name w:val="Dummy_Style"/>
    <w:aliases w:val="_Dummy"/>
    <w:basedOn w:val="Normal"/>
    <w:semiHidden/>
    <w:qFormat/>
    <w:rsid w:val="003210F5"/>
    <w:rPr>
      <w:color w:val="00B050"/>
      <w:sz w:val="22"/>
    </w:rPr>
  </w:style>
  <w:style w:type="character" w:styleId="Strong">
    <w:name w:val="Strong"/>
    <w:uiPriority w:val="98"/>
    <w:semiHidden/>
    <w:qFormat/>
    <w:rsid w:val="003210F5"/>
    <w:rPr>
      <w:b/>
      <w:bCs/>
    </w:rPr>
  </w:style>
  <w:style w:type="paragraph" w:styleId="NoSpacing">
    <w:name w:val="No Spacing"/>
    <w:basedOn w:val="Normal"/>
    <w:link w:val="NoSpacingChar"/>
    <w:uiPriority w:val="98"/>
    <w:semiHidden/>
    <w:qFormat/>
    <w:rsid w:val="003210F5"/>
  </w:style>
  <w:style w:type="character" w:customStyle="1" w:styleId="NoSpacingChar">
    <w:name w:val="No Spacing Char"/>
    <w:basedOn w:val="DefaultParagraphFont"/>
    <w:link w:val="NoSpacing"/>
    <w:uiPriority w:val="98"/>
    <w:semiHidden/>
    <w:rsid w:val="003210F5"/>
    <w:rPr>
      <w:sz w:val="24"/>
      <w:szCs w:val="24"/>
      <w:lang w:val="fr-FR"/>
    </w:rPr>
  </w:style>
  <w:style w:type="paragraph" w:customStyle="1" w:styleId="JuQuot">
    <w:name w:val="Ju_Quot"/>
    <w:aliases w:val="_Quote"/>
    <w:basedOn w:val="NormalJustified"/>
    <w:uiPriority w:val="20"/>
    <w:qFormat/>
    <w:rsid w:val="003210F5"/>
    <w:pPr>
      <w:spacing w:before="120" w:after="120"/>
      <w:ind w:left="425" w:firstLine="142"/>
    </w:pPr>
    <w:rPr>
      <w:sz w:val="20"/>
    </w:rPr>
  </w:style>
  <w:style w:type="paragraph" w:customStyle="1" w:styleId="JuList">
    <w:name w:val="Ju_List"/>
    <w:aliases w:val="_List_1"/>
    <w:basedOn w:val="NormalJustified"/>
    <w:uiPriority w:val="23"/>
    <w:qFormat/>
    <w:rsid w:val="003210F5"/>
    <w:pPr>
      <w:numPr>
        <w:numId w:val="10"/>
      </w:numPr>
      <w:spacing w:before="280" w:after="60"/>
    </w:pPr>
  </w:style>
  <w:style w:type="paragraph" w:customStyle="1" w:styleId="JuLista">
    <w:name w:val="Ju_List_a"/>
    <w:aliases w:val="_List_2"/>
    <w:basedOn w:val="NormalJustified"/>
    <w:uiPriority w:val="23"/>
    <w:rsid w:val="003210F5"/>
    <w:pPr>
      <w:numPr>
        <w:ilvl w:val="1"/>
        <w:numId w:val="10"/>
      </w:numPr>
    </w:pPr>
  </w:style>
  <w:style w:type="paragraph" w:customStyle="1" w:styleId="JuListi">
    <w:name w:val="Ju_List_i"/>
    <w:aliases w:val="_List_3"/>
    <w:basedOn w:val="NormalJustified"/>
    <w:uiPriority w:val="23"/>
    <w:rsid w:val="003210F5"/>
    <w:pPr>
      <w:numPr>
        <w:ilvl w:val="2"/>
        <w:numId w:val="10"/>
      </w:numPr>
    </w:pPr>
  </w:style>
  <w:style w:type="paragraph" w:customStyle="1" w:styleId="DecHTitle">
    <w:name w:val="Dec_H_Title"/>
    <w:aliases w:val="_Title_1"/>
    <w:basedOn w:val="JuPara"/>
    <w:next w:val="JuPara"/>
    <w:uiPriority w:val="38"/>
    <w:qFormat/>
    <w:rsid w:val="003210F5"/>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3210F5"/>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3210F5"/>
    <w:pPr>
      <w:keepNext/>
      <w:keepLines/>
      <w:tabs>
        <w:tab w:val="right" w:pos="7938"/>
      </w:tabs>
      <w:ind w:firstLine="0"/>
      <w:jc w:val="center"/>
    </w:pPr>
    <w:rPr>
      <w:i/>
    </w:rPr>
  </w:style>
  <w:style w:type="numbering" w:customStyle="1" w:styleId="ECHRA1StyleBulletedSquare">
    <w:name w:val="ECHR_A1_Style_Bulleted_Square"/>
    <w:basedOn w:val="NoList"/>
    <w:rsid w:val="003210F5"/>
    <w:pPr>
      <w:numPr>
        <w:numId w:val="9"/>
      </w:numPr>
    </w:pPr>
  </w:style>
  <w:style w:type="paragraph" w:customStyle="1" w:styleId="JuHHead">
    <w:name w:val="Ju_H_Head"/>
    <w:aliases w:val="_Head_1"/>
    <w:basedOn w:val="Heading1"/>
    <w:next w:val="JuPara"/>
    <w:uiPriority w:val="17"/>
    <w:qFormat/>
    <w:rsid w:val="003210F5"/>
    <w:pPr>
      <w:keepNext/>
      <w:keepLines/>
      <w:numPr>
        <w:numId w:val="5"/>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3210F5"/>
    <w:pPr>
      <w:numPr>
        <w:numId w:val="10"/>
      </w:numPr>
    </w:pPr>
  </w:style>
  <w:style w:type="paragraph" w:customStyle="1" w:styleId="JuSigned">
    <w:name w:val="Ju_Signed"/>
    <w:aliases w:val="_Signature"/>
    <w:basedOn w:val="Normal"/>
    <w:next w:val="JuPara"/>
    <w:uiPriority w:val="31"/>
    <w:qFormat/>
    <w:rsid w:val="003210F5"/>
    <w:pPr>
      <w:tabs>
        <w:tab w:val="center" w:pos="1418"/>
        <w:tab w:val="center" w:pos="5954"/>
      </w:tabs>
      <w:spacing w:before="720"/>
    </w:pPr>
  </w:style>
  <w:style w:type="paragraph" w:styleId="Title">
    <w:name w:val="Title"/>
    <w:basedOn w:val="Normal"/>
    <w:next w:val="Normal"/>
    <w:link w:val="TitleChar"/>
    <w:uiPriority w:val="98"/>
    <w:semiHidden/>
    <w:qFormat/>
    <w:rsid w:val="003210F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3210F5"/>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3210F5"/>
    <w:pPr>
      <w:numPr>
        <w:numId w:val="11"/>
      </w:numPr>
    </w:pPr>
  </w:style>
  <w:style w:type="table" w:customStyle="1" w:styleId="ECHRTable2019">
    <w:name w:val="ECHR_Table_2019"/>
    <w:basedOn w:val="TableNormal"/>
    <w:uiPriority w:val="99"/>
    <w:rsid w:val="003210F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3210F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3210F5"/>
    <w:pPr>
      <w:tabs>
        <w:tab w:val="center" w:pos="6407"/>
      </w:tabs>
      <w:spacing w:before="720"/>
      <w:jc w:val="right"/>
    </w:pPr>
  </w:style>
  <w:style w:type="paragraph" w:customStyle="1" w:styleId="JuHIRoman">
    <w:name w:val="Ju_H_I_Roman"/>
    <w:aliases w:val="_Head_2"/>
    <w:basedOn w:val="Heading2"/>
    <w:next w:val="JuPara"/>
    <w:uiPriority w:val="17"/>
    <w:qFormat/>
    <w:rsid w:val="003210F5"/>
    <w:pPr>
      <w:keepNext/>
      <w:keepLines/>
      <w:numPr>
        <w:ilvl w:val="1"/>
        <w:numId w:val="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3210F5"/>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3210F5"/>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3210F5"/>
    <w:pPr>
      <w:tabs>
        <w:tab w:val="center" w:pos="4536"/>
        <w:tab w:val="right" w:pos="9072"/>
      </w:tabs>
    </w:pPr>
  </w:style>
  <w:style w:type="character" w:customStyle="1" w:styleId="HeaderChar">
    <w:name w:val="Header Char"/>
    <w:basedOn w:val="DefaultParagraphFont"/>
    <w:link w:val="Header"/>
    <w:uiPriority w:val="98"/>
    <w:semiHidden/>
    <w:rsid w:val="003210F5"/>
    <w:rPr>
      <w:sz w:val="24"/>
      <w:szCs w:val="24"/>
      <w:lang w:val="fr-FR"/>
    </w:rPr>
  </w:style>
  <w:style w:type="character" w:customStyle="1" w:styleId="Heading1Char">
    <w:name w:val="Heading 1 Char"/>
    <w:basedOn w:val="DefaultParagraphFont"/>
    <w:link w:val="Heading1"/>
    <w:uiPriority w:val="98"/>
    <w:semiHidden/>
    <w:rsid w:val="003210F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3210F5"/>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3210F5"/>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3210F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3210F5"/>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3210F5"/>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3210F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3210F5"/>
    <w:pPr>
      <w:keepNext/>
      <w:keepLines/>
      <w:spacing w:before="240" w:after="240"/>
      <w:ind w:firstLine="284"/>
    </w:pPr>
  </w:style>
  <w:style w:type="paragraph" w:customStyle="1" w:styleId="JuJudges">
    <w:name w:val="Ju_Judges"/>
    <w:aliases w:val="_Judges"/>
    <w:basedOn w:val="Normal"/>
    <w:uiPriority w:val="32"/>
    <w:qFormat/>
    <w:rsid w:val="003210F5"/>
    <w:pPr>
      <w:tabs>
        <w:tab w:val="left" w:pos="567"/>
        <w:tab w:val="left" w:pos="1134"/>
      </w:tabs>
    </w:pPr>
  </w:style>
  <w:style w:type="character" w:customStyle="1" w:styleId="Heading4Char">
    <w:name w:val="Heading 4 Char"/>
    <w:basedOn w:val="DefaultParagraphFont"/>
    <w:link w:val="Heading4"/>
    <w:uiPriority w:val="98"/>
    <w:semiHidden/>
    <w:rsid w:val="003210F5"/>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3210F5"/>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3210F5"/>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3210F5"/>
    <w:rPr>
      <w:caps w:val="0"/>
      <w:smallCaps/>
    </w:rPr>
  </w:style>
  <w:style w:type="paragraph" w:customStyle="1" w:styleId="NormalJustified">
    <w:name w:val="Normal_Justified"/>
    <w:basedOn w:val="Normal"/>
    <w:semiHidden/>
    <w:rsid w:val="003210F5"/>
    <w:pPr>
      <w:jc w:val="both"/>
    </w:pPr>
  </w:style>
  <w:style w:type="character" w:styleId="SubtleEmphasis">
    <w:name w:val="Subtle Emphasis"/>
    <w:uiPriority w:val="98"/>
    <w:semiHidden/>
    <w:qFormat/>
    <w:rsid w:val="003210F5"/>
    <w:rPr>
      <w:i/>
      <w:iCs/>
    </w:rPr>
  </w:style>
  <w:style w:type="table" w:customStyle="1" w:styleId="ECHRTable">
    <w:name w:val="ECHR_Table"/>
    <w:basedOn w:val="TableNormal"/>
    <w:rsid w:val="003210F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210F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3210F5"/>
    <w:rPr>
      <w:b/>
      <w:bCs/>
      <w:i/>
      <w:iCs/>
      <w:spacing w:val="10"/>
      <w:bdr w:val="none" w:sz="0" w:space="0" w:color="auto"/>
      <w:shd w:val="clear" w:color="auto" w:fill="auto"/>
    </w:rPr>
  </w:style>
  <w:style w:type="paragraph" w:styleId="Footer0">
    <w:name w:val="footer"/>
    <w:basedOn w:val="Normal"/>
    <w:link w:val="FooterChar"/>
    <w:uiPriority w:val="98"/>
    <w:semiHidden/>
    <w:rsid w:val="003210F5"/>
    <w:pPr>
      <w:tabs>
        <w:tab w:val="center" w:pos="3686"/>
        <w:tab w:val="right" w:pos="7371"/>
      </w:tabs>
    </w:pPr>
  </w:style>
  <w:style w:type="character" w:customStyle="1" w:styleId="FooterChar">
    <w:name w:val="Footer Char"/>
    <w:basedOn w:val="DefaultParagraphFont"/>
    <w:link w:val="Footer0"/>
    <w:uiPriority w:val="98"/>
    <w:semiHidden/>
    <w:rsid w:val="003210F5"/>
    <w:rPr>
      <w:sz w:val="24"/>
      <w:szCs w:val="24"/>
      <w:lang w:val="fr-FR"/>
    </w:rPr>
  </w:style>
  <w:style w:type="character" w:styleId="FootnoteReference">
    <w:name w:val="footnote reference"/>
    <w:basedOn w:val="DefaultParagraphFont"/>
    <w:uiPriority w:val="98"/>
    <w:semiHidden/>
    <w:rsid w:val="003210F5"/>
    <w:rPr>
      <w:vertAlign w:val="superscript"/>
    </w:rPr>
  </w:style>
  <w:style w:type="paragraph" w:styleId="FootnoteText">
    <w:name w:val="footnote text"/>
    <w:basedOn w:val="NormalJustified"/>
    <w:link w:val="FootnoteTextChar"/>
    <w:uiPriority w:val="98"/>
    <w:semiHidden/>
    <w:rsid w:val="003210F5"/>
    <w:rPr>
      <w:sz w:val="20"/>
      <w:szCs w:val="20"/>
    </w:rPr>
  </w:style>
  <w:style w:type="character" w:customStyle="1" w:styleId="FootnoteTextChar">
    <w:name w:val="Footnote Text Char"/>
    <w:basedOn w:val="DefaultParagraphFont"/>
    <w:link w:val="FootnoteText"/>
    <w:uiPriority w:val="98"/>
    <w:semiHidden/>
    <w:rsid w:val="003210F5"/>
    <w:rPr>
      <w:sz w:val="20"/>
      <w:szCs w:val="20"/>
      <w:lang w:val="fr-FR"/>
    </w:rPr>
  </w:style>
  <w:style w:type="character" w:customStyle="1" w:styleId="Heading6Char">
    <w:name w:val="Heading 6 Char"/>
    <w:basedOn w:val="DefaultParagraphFont"/>
    <w:link w:val="Heading6"/>
    <w:uiPriority w:val="98"/>
    <w:semiHidden/>
    <w:rsid w:val="003210F5"/>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3210F5"/>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3210F5"/>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3210F5"/>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3210F5"/>
    <w:rPr>
      <w:color w:val="0072BC" w:themeColor="hyperlink"/>
      <w:u w:val="single"/>
    </w:rPr>
  </w:style>
  <w:style w:type="character" w:styleId="IntenseEmphasis">
    <w:name w:val="Intense Emphasis"/>
    <w:uiPriority w:val="98"/>
    <w:semiHidden/>
    <w:qFormat/>
    <w:rsid w:val="003210F5"/>
    <w:rPr>
      <w:b/>
      <w:bCs/>
    </w:rPr>
  </w:style>
  <w:style w:type="paragraph" w:styleId="IntenseQuote">
    <w:name w:val="Intense Quote"/>
    <w:basedOn w:val="Normal"/>
    <w:next w:val="Normal"/>
    <w:link w:val="IntenseQuoteChar"/>
    <w:uiPriority w:val="98"/>
    <w:semiHidden/>
    <w:qFormat/>
    <w:rsid w:val="003210F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3210F5"/>
    <w:rPr>
      <w:b/>
      <w:bCs/>
      <w:i/>
      <w:iCs/>
      <w:sz w:val="24"/>
      <w:szCs w:val="24"/>
      <w:lang w:val="fr-FR" w:bidi="en-US"/>
    </w:rPr>
  </w:style>
  <w:style w:type="character" w:styleId="IntenseReference">
    <w:name w:val="Intense Reference"/>
    <w:uiPriority w:val="98"/>
    <w:semiHidden/>
    <w:qFormat/>
    <w:rsid w:val="003210F5"/>
    <w:rPr>
      <w:smallCaps/>
      <w:spacing w:val="5"/>
      <w:u w:val="single"/>
    </w:rPr>
  </w:style>
  <w:style w:type="paragraph" w:styleId="ListParagraph">
    <w:name w:val="List Paragraph"/>
    <w:basedOn w:val="Normal"/>
    <w:uiPriority w:val="98"/>
    <w:semiHidden/>
    <w:qFormat/>
    <w:rsid w:val="003210F5"/>
    <w:pPr>
      <w:ind w:left="720"/>
      <w:contextualSpacing/>
    </w:pPr>
  </w:style>
  <w:style w:type="table" w:customStyle="1" w:styleId="LtrTableAddress">
    <w:name w:val="Ltr_Table_Address"/>
    <w:aliases w:val="ECHR_Ltr_Table_Address"/>
    <w:basedOn w:val="TableNormal"/>
    <w:uiPriority w:val="99"/>
    <w:rsid w:val="003210F5"/>
    <w:rPr>
      <w:sz w:val="24"/>
      <w:szCs w:val="24"/>
    </w:rPr>
    <w:tblPr>
      <w:tblInd w:w="5103" w:type="dxa"/>
    </w:tblPr>
  </w:style>
  <w:style w:type="paragraph" w:styleId="Quote">
    <w:name w:val="Quote"/>
    <w:basedOn w:val="Normal"/>
    <w:next w:val="Normal"/>
    <w:link w:val="QuoteChar"/>
    <w:uiPriority w:val="98"/>
    <w:semiHidden/>
    <w:qFormat/>
    <w:rsid w:val="003210F5"/>
    <w:pPr>
      <w:spacing w:before="200"/>
      <w:ind w:left="360" w:right="360"/>
    </w:pPr>
    <w:rPr>
      <w:i/>
      <w:iCs/>
      <w:lang w:bidi="en-US"/>
    </w:rPr>
  </w:style>
  <w:style w:type="character" w:customStyle="1" w:styleId="QuoteChar">
    <w:name w:val="Quote Char"/>
    <w:basedOn w:val="DefaultParagraphFont"/>
    <w:link w:val="Quote"/>
    <w:uiPriority w:val="98"/>
    <w:semiHidden/>
    <w:rsid w:val="003210F5"/>
    <w:rPr>
      <w:i/>
      <w:iCs/>
      <w:sz w:val="24"/>
      <w:szCs w:val="24"/>
      <w:lang w:val="fr-FR" w:bidi="en-US"/>
    </w:rPr>
  </w:style>
  <w:style w:type="character" w:styleId="SubtleReference">
    <w:name w:val="Subtle Reference"/>
    <w:uiPriority w:val="98"/>
    <w:semiHidden/>
    <w:qFormat/>
    <w:rsid w:val="003210F5"/>
    <w:rPr>
      <w:smallCaps/>
    </w:rPr>
  </w:style>
  <w:style w:type="table" w:styleId="TableGrid">
    <w:name w:val="Table Grid"/>
    <w:basedOn w:val="TableNormal"/>
    <w:uiPriority w:val="59"/>
    <w:semiHidden/>
    <w:rsid w:val="003210F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3210F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3210F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3210F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3210F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3210F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3210F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3210F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3210F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3210F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210F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210F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3210F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3210F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3210F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3210F5"/>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3210F5"/>
    <w:pPr>
      <w:numPr>
        <w:numId w:val="6"/>
      </w:numPr>
    </w:pPr>
  </w:style>
  <w:style w:type="paragraph" w:customStyle="1" w:styleId="JuPara">
    <w:name w:val="Ju_Para"/>
    <w:aliases w:val="_Para"/>
    <w:basedOn w:val="NormalJustified"/>
    <w:link w:val="JuParaChar"/>
    <w:uiPriority w:val="4"/>
    <w:qFormat/>
    <w:rsid w:val="003210F5"/>
    <w:pPr>
      <w:ind w:firstLine="284"/>
    </w:pPr>
  </w:style>
  <w:style w:type="numbering" w:styleId="1ai">
    <w:name w:val="Outline List 1"/>
    <w:basedOn w:val="NoList"/>
    <w:uiPriority w:val="99"/>
    <w:semiHidden/>
    <w:unhideWhenUsed/>
    <w:rsid w:val="003210F5"/>
    <w:pPr>
      <w:numPr>
        <w:numId w:val="7"/>
      </w:numPr>
    </w:pPr>
  </w:style>
  <w:style w:type="table" w:customStyle="1" w:styleId="ECHRTableSimpleBox">
    <w:name w:val="ECHR_Table_Simple_Box"/>
    <w:basedOn w:val="TableNormal"/>
    <w:uiPriority w:val="99"/>
    <w:rsid w:val="003210F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210F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210F5"/>
    <w:pPr>
      <w:numPr>
        <w:numId w:val="8"/>
      </w:numPr>
    </w:pPr>
  </w:style>
  <w:style w:type="table" w:customStyle="1" w:styleId="ECHRTableForInternalUse">
    <w:name w:val="ECHR_Table_For_Internal_Use"/>
    <w:basedOn w:val="TableNormal"/>
    <w:uiPriority w:val="99"/>
    <w:rsid w:val="003210F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210F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3210F5"/>
  </w:style>
  <w:style w:type="paragraph" w:styleId="BlockText">
    <w:name w:val="Block Text"/>
    <w:basedOn w:val="Normal"/>
    <w:uiPriority w:val="98"/>
    <w:semiHidden/>
    <w:rsid w:val="003210F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210F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3210F5"/>
    <w:pPr>
      <w:spacing w:after="120"/>
    </w:pPr>
  </w:style>
  <w:style w:type="character" w:customStyle="1" w:styleId="BodyTextChar">
    <w:name w:val="Body Text Char"/>
    <w:basedOn w:val="DefaultParagraphFont"/>
    <w:link w:val="BodyText"/>
    <w:uiPriority w:val="98"/>
    <w:semiHidden/>
    <w:rsid w:val="003210F5"/>
    <w:rPr>
      <w:sz w:val="24"/>
      <w:szCs w:val="24"/>
      <w:lang w:val="fr-FR"/>
    </w:rPr>
  </w:style>
  <w:style w:type="table" w:customStyle="1" w:styleId="ECHRTableOddBanded">
    <w:name w:val="ECHR_Table_Odd_Banded"/>
    <w:basedOn w:val="TableNormal"/>
    <w:uiPriority w:val="99"/>
    <w:rsid w:val="003210F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3210F5"/>
    <w:pPr>
      <w:spacing w:after="120" w:line="480" w:lineRule="auto"/>
    </w:pPr>
  </w:style>
  <w:style w:type="table" w:customStyle="1" w:styleId="ECHRHeaderTableReduced">
    <w:name w:val="ECHR_Header_Table_Reduced"/>
    <w:basedOn w:val="TableNormal"/>
    <w:uiPriority w:val="99"/>
    <w:rsid w:val="003210F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3210F5"/>
    <w:pPr>
      <w:ind w:firstLine="284"/>
    </w:pPr>
    <w:rPr>
      <w:b/>
    </w:rPr>
  </w:style>
  <w:style w:type="character" w:styleId="PageNumber">
    <w:name w:val="page number"/>
    <w:uiPriority w:val="98"/>
    <w:semiHidden/>
    <w:rsid w:val="003210F5"/>
    <w:rPr>
      <w:sz w:val="18"/>
    </w:rPr>
  </w:style>
  <w:style w:type="paragraph" w:styleId="ListBullet2">
    <w:name w:val="List Bullet 2"/>
    <w:basedOn w:val="Normal"/>
    <w:uiPriority w:val="98"/>
    <w:semiHidden/>
    <w:rsid w:val="003210F5"/>
    <w:pPr>
      <w:numPr>
        <w:numId w:val="13"/>
      </w:numPr>
      <w:contextualSpacing/>
    </w:pPr>
  </w:style>
  <w:style w:type="character" w:customStyle="1" w:styleId="BodyText2Char">
    <w:name w:val="Body Text 2 Char"/>
    <w:basedOn w:val="DefaultParagraphFont"/>
    <w:link w:val="BodyText2"/>
    <w:uiPriority w:val="98"/>
    <w:semiHidden/>
    <w:rsid w:val="003210F5"/>
    <w:rPr>
      <w:sz w:val="24"/>
      <w:szCs w:val="24"/>
      <w:lang w:val="fr-FR"/>
    </w:rPr>
  </w:style>
  <w:style w:type="paragraph" w:styleId="BodyText3">
    <w:name w:val="Body Text 3"/>
    <w:basedOn w:val="Normal"/>
    <w:link w:val="BodyText3Char"/>
    <w:uiPriority w:val="98"/>
    <w:semiHidden/>
    <w:rsid w:val="003210F5"/>
    <w:pPr>
      <w:spacing w:after="120"/>
    </w:pPr>
    <w:rPr>
      <w:sz w:val="16"/>
      <w:szCs w:val="16"/>
    </w:rPr>
  </w:style>
  <w:style w:type="character" w:customStyle="1" w:styleId="BodyText3Char">
    <w:name w:val="Body Text 3 Char"/>
    <w:basedOn w:val="DefaultParagraphFont"/>
    <w:link w:val="BodyText3"/>
    <w:uiPriority w:val="98"/>
    <w:semiHidden/>
    <w:rsid w:val="003210F5"/>
    <w:rPr>
      <w:sz w:val="16"/>
      <w:szCs w:val="16"/>
      <w:lang w:val="fr-FR"/>
    </w:rPr>
  </w:style>
  <w:style w:type="paragraph" w:styleId="BodyTextFirstIndent">
    <w:name w:val="Body Text First Indent"/>
    <w:basedOn w:val="BodyText"/>
    <w:link w:val="BodyTextFirstIndentChar"/>
    <w:uiPriority w:val="98"/>
    <w:semiHidden/>
    <w:rsid w:val="003210F5"/>
    <w:pPr>
      <w:spacing w:after="0"/>
      <w:ind w:firstLine="360"/>
    </w:pPr>
  </w:style>
  <w:style w:type="character" w:customStyle="1" w:styleId="BodyTextFirstIndentChar">
    <w:name w:val="Body Text First Indent Char"/>
    <w:basedOn w:val="BodyTextChar"/>
    <w:link w:val="BodyTextFirstIndent"/>
    <w:uiPriority w:val="98"/>
    <w:semiHidden/>
    <w:rsid w:val="003210F5"/>
    <w:rPr>
      <w:sz w:val="24"/>
      <w:szCs w:val="24"/>
      <w:lang w:val="fr-FR"/>
    </w:rPr>
  </w:style>
  <w:style w:type="paragraph" w:styleId="BodyTextIndent">
    <w:name w:val="Body Text Indent"/>
    <w:basedOn w:val="Normal"/>
    <w:link w:val="BodyTextIndentChar"/>
    <w:uiPriority w:val="98"/>
    <w:semiHidden/>
    <w:rsid w:val="003210F5"/>
    <w:pPr>
      <w:spacing w:after="120"/>
      <w:ind w:left="283"/>
    </w:pPr>
  </w:style>
  <w:style w:type="character" w:customStyle="1" w:styleId="BodyTextIndentChar">
    <w:name w:val="Body Text Indent Char"/>
    <w:basedOn w:val="DefaultParagraphFont"/>
    <w:link w:val="BodyTextIndent"/>
    <w:uiPriority w:val="98"/>
    <w:semiHidden/>
    <w:rsid w:val="003210F5"/>
    <w:rPr>
      <w:sz w:val="24"/>
      <w:szCs w:val="24"/>
      <w:lang w:val="fr-FR"/>
    </w:rPr>
  </w:style>
  <w:style w:type="paragraph" w:styleId="BodyTextFirstIndent2">
    <w:name w:val="Body Text First Indent 2"/>
    <w:basedOn w:val="BodyTextIndent"/>
    <w:link w:val="BodyTextFirstIndent2Char"/>
    <w:uiPriority w:val="98"/>
    <w:semiHidden/>
    <w:rsid w:val="003210F5"/>
    <w:pPr>
      <w:spacing w:after="0"/>
      <w:ind w:left="360" w:firstLine="360"/>
    </w:pPr>
  </w:style>
  <w:style w:type="character" w:customStyle="1" w:styleId="BodyTextFirstIndent2Char">
    <w:name w:val="Body Text First Indent 2 Char"/>
    <w:basedOn w:val="BodyTextIndentChar"/>
    <w:link w:val="BodyTextFirstIndent2"/>
    <w:uiPriority w:val="98"/>
    <w:semiHidden/>
    <w:rsid w:val="003210F5"/>
    <w:rPr>
      <w:sz w:val="24"/>
      <w:szCs w:val="24"/>
      <w:lang w:val="fr-FR"/>
    </w:rPr>
  </w:style>
  <w:style w:type="paragraph" w:styleId="BodyTextIndent2">
    <w:name w:val="Body Text Indent 2"/>
    <w:basedOn w:val="Normal"/>
    <w:link w:val="BodyTextIndent2Char"/>
    <w:uiPriority w:val="98"/>
    <w:semiHidden/>
    <w:rsid w:val="003210F5"/>
    <w:pPr>
      <w:spacing w:after="120" w:line="480" w:lineRule="auto"/>
      <w:ind w:left="283"/>
    </w:pPr>
  </w:style>
  <w:style w:type="character" w:customStyle="1" w:styleId="BodyTextIndent2Char">
    <w:name w:val="Body Text Indent 2 Char"/>
    <w:basedOn w:val="DefaultParagraphFont"/>
    <w:link w:val="BodyTextIndent2"/>
    <w:uiPriority w:val="98"/>
    <w:semiHidden/>
    <w:rsid w:val="003210F5"/>
    <w:rPr>
      <w:sz w:val="24"/>
      <w:szCs w:val="24"/>
      <w:lang w:val="fr-FR"/>
    </w:rPr>
  </w:style>
  <w:style w:type="paragraph" w:styleId="BodyTextIndent3">
    <w:name w:val="Body Text Indent 3"/>
    <w:basedOn w:val="Normal"/>
    <w:link w:val="BodyTextIndent3Char"/>
    <w:uiPriority w:val="98"/>
    <w:semiHidden/>
    <w:rsid w:val="003210F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3210F5"/>
    <w:rPr>
      <w:sz w:val="16"/>
      <w:szCs w:val="16"/>
      <w:lang w:val="fr-FR"/>
    </w:rPr>
  </w:style>
  <w:style w:type="paragraph" w:styleId="Caption">
    <w:name w:val="caption"/>
    <w:basedOn w:val="Normal"/>
    <w:next w:val="Normal"/>
    <w:uiPriority w:val="98"/>
    <w:semiHidden/>
    <w:qFormat/>
    <w:rsid w:val="003210F5"/>
    <w:pPr>
      <w:spacing w:after="200"/>
    </w:pPr>
    <w:rPr>
      <w:b/>
      <w:bCs/>
      <w:color w:val="0072BC" w:themeColor="accent1"/>
      <w:sz w:val="18"/>
      <w:szCs w:val="18"/>
    </w:rPr>
  </w:style>
  <w:style w:type="paragraph" w:styleId="Closing">
    <w:name w:val="Closing"/>
    <w:basedOn w:val="Normal"/>
    <w:link w:val="ClosingChar"/>
    <w:uiPriority w:val="98"/>
    <w:semiHidden/>
    <w:rsid w:val="003210F5"/>
    <w:pPr>
      <w:ind w:left="4252"/>
    </w:pPr>
  </w:style>
  <w:style w:type="character" w:customStyle="1" w:styleId="ClosingChar">
    <w:name w:val="Closing Char"/>
    <w:basedOn w:val="DefaultParagraphFont"/>
    <w:link w:val="Closing"/>
    <w:uiPriority w:val="98"/>
    <w:semiHidden/>
    <w:rsid w:val="003210F5"/>
    <w:rPr>
      <w:sz w:val="24"/>
      <w:szCs w:val="24"/>
      <w:lang w:val="fr-FR"/>
    </w:rPr>
  </w:style>
  <w:style w:type="table" w:styleId="ColorfulGrid">
    <w:name w:val="Colorful Grid"/>
    <w:basedOn w:val="TableNormal"/>
    <w:uiPriority w:val="73"/>
    <w:semiHidden/>
    <w:rsid w:val="003210F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210F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210F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210F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210F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210F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210F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210F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210F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210F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210F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210F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210F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210F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210F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210F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210F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210F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210F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210F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210F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3210F5"/>
    <w:rPr>
      <w:sz w:val="16"/>
      <w:szCs w:val="16"/>
    </w:rPr>
  </w:style>
  <w:style w:type="paragraph" w:styleId="CommentText">
    <w:name w:val="annotation text"/>
    <w:basedOn w:val="Normal"/>
    <w:link w:val="CommentTextChar"/>
    <w:uiPriority w:val="98"/>
    <w:semiHidden/>
    <w:rsid w:val="003210F5"/>
    <w:rPr>
      <w:sz w:val="20"/>
      <w:szCs w:val="20"/>
    </w:rPr>
  </w:style>
  <w:style w:type="character" w:customStyle="1" w:styleId="CommentTextChar">
    <w:name w:val="Comment Text Char"/>
    <w:basedOn w:val="DefaultParagraphFont"/>
    <w:link w:val="CommentText"/>
    <w:uiPriority w:val="98"/>
    <w:semiHidden/>
    <w:rsid w:val="003210F5"/>
    <w:rPr>
      <w:sz w:val="20"/>
      <w:szCs w:val="20"/>
      <w:lang w:val="fr-FR"/>
    </w:rPr>
  </w:style>
  <w:style w:type="paragraph" w:styleId="CommentSubject">
    <w:name w:val="annotation subject"/>
    <w:basedOn w:val="CommentText"/>
    <w:next w:val="CommentText"/>
    <w:link w:val="CommentSubjectChar"/>
    <w:uiPriority w:val="98"/>
    <w:semiHidden/>
    <w:rsid w:val="003210F5"/>
    <w:rPr>
      <w:b/>
      <w:bCs/>
    </w:rPr>
  </w:style>
  <w:style w:type="character" w:customStyle="1" w:styleId="CommentSubjectChar">
    <w:name w:val="Comment Subject Char"/>
    <w:basedOn w:val="CommentTextChar"/>
    <w:link w:val="CommentSubject"/>
    <w:uiPriority w:val="98"/>
    <w:semiHidden/>
    <w:rsid w:val="003210F5"/>
    <w:rPr>
      <w:b/>
      <w:bCs/>
      <w:sz w:val="20"/>
      <w:szCs w:val="20"/>
      <w:lang w:val="fr-FR"/>
    </w:rPr>
  </w:style>
  <w:style w:type="table" w:styleId="DarkList">
    <w:name w:val="Dark List"/>
    <w:basedOn w:val="TableNormal"/>
    <w:uiPriority w:val="70"/>
    <w:semiHidden/>
    <w:rsid w:val="003210F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210F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210F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210F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210F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210F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210F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3210F5"/>
  </w:style>
  <w:style w:type="character" w:customStyle="1" w:styleId="DateChar">
    <w:name w:val="Date Char"/>
    <w:basedOn w:val="DefaultParagraphFont"/>
    <w:link w:val="Date"/>
    <w:uiPriority w:val="98"/>
    <w:semiHidden/>
    <w:rsid w:val="003210F5"/>
    <w:rPr>
      <w:sz w:val="24"/>
      <w:szCs w:val="24"/>
      <w:lang w:val="fr-FR"/>
    </w:rPr>
  </w:style>
  <w:style w:type="paragraph" w:styleId="DocumentMap">
    <w:name w:val="Document Map"/>
    <w:basedOn w:val="Normal"/>
    <w:link w:val="DocumentMapChar"/>
    <w:uiPriority w:val="98"/>
    <w:semiHidden/>
    <w:rsid w:val="003210F5"/>
    <w:rPr>
      <w:rFonts w:ascii="Tahoma" w:hAnsi="Tahoma" w:cs="Tahoma"/>
      <w:sz w:val="16"/>
      <w:szCs w:val="16"/>
    </w:rPr>
  </w:style>
  <w:style w:type="character" w:customStyle="1" w:styleId="DocumentMapChar">
    <w:name w:val="Document Map Char"/>
    <w:basedOn w:val="DefaultParagraphFont"/>
    <w:link w:val="DocumentMap"/>
    <w:uiPriority w:val="98"/>
    <w:semiHidden/>
    <w:rsid w:val="003210F5"/>
    <w:rPr>
      <w:rFonts w:ascii="Tahoma" w:hAnsi="Tahoma" w:cs="Tahoma"/>
      <w:sz w:val="16"/>
      <w:szCs w:val="16"/>
      <w:lang w:val="fr-FR"/>
    </w:rPr>
  </w:style>
  <w:style w:type="paragraph" w:styleId="E-mailSignature">
    <w:name w:val="E-mail Signature"/>
    <w:basedOn w:val="Normal"/>
    <w:link w:val="E-mailSignatureChar"/>
    <w:uiPriority w:val="98"/>
    <w:semiHidden/>
    <w:rsid w:val="003210F5"/>
  </w:style>
  <w:style w:type="character" w:customStyle="1" w:styleId="E-mailSignatureChar">
    <w:name w:val="E-mail Signature Char"/>
    <w:basedOn w:val="DefaultParagraphFont"/>
    <w:link w:val="E-mailSignature"/>
    <w:uiPriority w:val="98"/>
    <w:semiHidden/>
    <w:rsid w:val="003210F5"/>
    <w:rPr>
      <w:sz w:val="24"/>
      <w:szCs w:val="24"/>
      <w:lang w:val="fr-FR"/>
    </w:rPr>
  </w:style>
  <w:style w:type="character" w:styleId="EndnoteReference">
    <w:name w:val="endnote reference"/>
    <w:basedOn w:val="DefaultParagraphFont"/>
    <w:uiPriority w:val="98"/>
    <w:semiHidden/>
    <w:rsid w:val="003210F5"/>
    <w:rPr>
      <w:vertAlign w:val="superscript"/>
    </w:rPr>
  </w:style>
  <w:style w:type="paragraph" w:styleId="EndnoteText">
    <w:name w:val="endnote text"/>
    <w:basedOn w:val="Normal"/>
    <w:link w:val="EndnoteTextChar"/>
    <w:uiPriority w:val="98"/>
    <w:semiHidden/>
    <w:rsid w:val="003210F5"/>
    <w:rPr>
      <w:sz w:val="20"/>
      <w:szCs w:val="20"/>
    </w:rPr>
  </w:style>
  <w:style w:type="character" w:customStyle="1" w:styleId="EndnoteTextChar">
    <w:name w:val="Endnote Text Char"/>
    <w:basedOn w:val="DefaultParagraphFont"/>
    <w:link w:val="EndnoteText"/>
    <w:uiPriority w:val="98"/>
    <w:semiHidden/>
    <w:rsid w:val="003210F5"/>
    <w:rPr>
      <w:sz w:val="20"/>
      <w:szCs w:val="20"/>
      <w:lang w:val="fr-FR"/>
    </w:rPr>
  </w:style>
  <w:style w:type="paragraph" w:styleId="EnvelopeAddress">
    <w:name w:val="envelope address"/>
    <w:basedOn w:val="Normal"/>
    <w:uiPriority w:val="98"/>
    <w:semiHidden/>
    <w:rsid w:val="003210F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3210F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3210F5"/>
    <w:rPr>
      <w:color w:val="7030A0" w:themeColor="followedHyperlink"/>
      <w:u w:val="single"/>
    </w:rPr>
  </w:style>
  <w:style w:type="character" w:styleId="HTMLAcronym">
    <w:name w:val="HTML Acronym"/>
    <w:basedOn w:val="DefaultParagraphFont"/>
    <w:uiPriority w:val="98"/>
    <w:semiHidden/>
    <w:rsid w:val="003210F5"/>
  </w:style>
  <w:style w:type="paragraph" w:styleId="HTMLAddress">
    <w:name w:val="HTML Address"/>
    <w:basedOn w:val="Normal"/>
    <w:link w:val="HTMLAddressChar"/>
    <w:uiPriority w:val="98"/>
    <w:semiHidden/>
    <w:rsid w:val="003210F5"/>
    <w:rPr>
      <w:i/>
      <w:iCs/>
    </w:rPr>
  </w:style>
  <w:style w:type="character" w:customStyle="1" w:styleId="HTMLAddressChar">
    <w:name w:val="HTML Address Char"/>
    <w:basedOn w:val="DefaultParagraphFont"/>
    <w:link w:val="HTMLAddress"/>
    <w:uiPriority w:val="98"/>
    <w:semiHidden/>
    <w:rsid w:val="003210F5"/>
    <w:rPr>
      <w:i/>
      <w:iCs/>
      <w:sz w:val="24"/>
      <w:szCs w:val="24"/>
      <w:lang w:val="fr-FR"/>
    </w:rPr>
  </w:style>
  <w:style w:type="character" w:styleId="HTMLCite">
    <w:name w:val="HTML Cite"/>
    <w:basedOn w:val="DefaultParagraphFont"/>
    <w:uiPriority w:val="98"/>
    <w:semiHidden/>
    <w:rsid w:val="003210F5"/>
    <w:rPr>
      <w:i/>
      <w:iCs/>
    </w:rPr>
  </w:style>
  <w:style w:type="character" w:styleId="HTMLCode">
    <w:name w:val="HTML Code"/>
    <w:basedOn w:val="DefaultParagraphFont"/>
    <w:uiPriority w:val="98"/>
    <w:semiHidden/>
    <w:rsid w:val="003210F5"/>
    <w:rPr>
      <w:rFonts w:ascii="Consolas" w:hAnsi="Consolas" w:cs="Consolas"/>
      <w:sz w:val="20"/>
      <w:szCs w:val="20"/>
    </w:rPr>
  </w:style>
  <w:style w:type="character" w:styleId="HTMLDefinition">
    <w:name w:val="HTML Definition"/>
    <w:basedOn w:val="DefaultParagraphFont"/>
    <w:uiPriority w:val="98"/>
    <w:semiHidden/>
    <w:rsid w:val="003210F5"/>
    <w:rPr>
      <w:i/>
      <w:iCs/>
    </w:rPr>
  </w:style>
  <w:style w:type="character" w:styleId="HTMLKeyboard">
    <w:name w:val="HTML Keyboard"/>
    <w:basedOn w:val="DefaultParagraphFont"/>
    <w:uiPriority w:val="98"/>
    <w:semiHidden/>
    <w:rsid w:val="003210F5"/>
    <w:rPr>
      <w:rFonts w:ascii="Consolas" w:hAnsi="Consolas" w:cs="Consolas"/>
      <w:sz w:val="20"/>
      <w:szCs w:val="20"/>
    </w:rPr>
  </w:style>
  <w:style w:type="paragraph" w:styleId="HTMLPreformatted">
    <w:name w:val="HTML Preformatted"/>
    <w:basedOn w:val="Normal"/>
    <w:link w:val="HTMLPreformattedChar"/>
    <w:uiPriority w:val="98"/>
    <w:semiHidden/>
    <w:rsid w:val="003210F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3210F5"/>
    <w:rPr>
      <w:rFonts w:ascii="Consolas" w:hAnsi="Consolas" w:cs="Consolas"/>
      <w:sz w:val="20"/>
      <w:szCs w:val="20"/>
      <w:lang w:val="fr-FR"/>
    </w:rPr>
  </w:style>
  <w:style w:type="character" w:styleId="HTMLSample">
    <w:name w:val="HTML Sample"/>
    <w:basedOn w:val="DefaultParagraphFont"/>
    <w:uiPriority w:val="98"/>
    <w:semiHidden/>
    <w:rsid w:val="003210F5"/>
    <w:rPr>
      <w:rFonts w:ascii="Consolas" w:hAnsi="Consolas" w:cs="Consolas"/>
      <w:sz w:val="24"/>
      <w:szCs w:val="24"/>
    </w:rPr>
  </w:style>
  <w:style w:type="character" w:styleId="HTMLTypewriter">
    <w:name w:val="HTML Typewriter"/>
    <w:basedOn w:val="DefaultParagraphFont"/>
    <w:uiPriority w:val="98"/>
    <w:semiHidden/>
    <w:rsid w:val="003210F5"/>
    <w:rPr>
      <w:rFonts w:ascii="Consolas" w:hAnsi="Consolas" w:cs="Consolas"/>
      <w:sz w:val="20"/>
      <w:szCs w:val="20"/>
    </w:rPr>
  </w:style>
  <w:style w:type="character" w:styleId="HTMLVariable">
    <w:name w:val="HTML Variable"/>
    <w:basedOn w:val="DefaultParagraphFont"/>
    <w:uiPriority w:val="98"/>
    <w:semiHidden/>
    <w:rsid w:val="003210F5"/>
    <w:rPr>
      <w:i/>
      <w:iCs/>
    </w:rPr>
  </w:style>
  <w:style w:type="paragraph" w:styleId="Index1">
    <w:name w:val="index 1"/>
    <w:basedOn w:val="Normal"/>
    <w:next w:val="Normal"/>
    <w:autoRedefine/>
    <w:uiPriority w:val="98"/>
    <w:semiHidden/>
    <w:rsid w:val="003210F5"/>
    <w:pPr>
      <w:ind w:left="240" w:hanging="240"/>
    </w:pPr>
  </w:style>
  <w:style w:type="paragraph" w:styleId="Index2">
    <w:name w:val="index 2"/>
    <w:basedOn w:val="Normal"/>
    <w:next w:val="Normal"/>
    <w:autoRedefine/>
    <w:uiPriority w:val="98"/>
    <w:semiHidden/>
    <w:rsid w:val="003210F5"/>
    <w:pPr>
      <w:ind w:left="480" w:hanging="240"/>
    </w:pPr>
  </w:style>
  <w:style w:type="paragraph" w:styleId="Index3">
    <w:name w:val="index 3"/>
    <w:basedOn w:val="Normal"/>
    <w:next w:val="Normal"/>
    <w:autoRedefine/>
    <w:uiPriority w:val="98"/>
    <w:semiHidden/>
    <w:rsid w:val="003210F5"/>
    <w:pPr>
      <w:ind w:left="720" w:hanging="240"/>
    </w:pPr>
  </w:style>
  <w:style w:type="paragraph" w:styleId="Index4">
    <w:name w:val="index 4"/>
    <w:basedOn w:val="Normal"/>
    <w:next w:val="Normal"/>
    <w:autoRedefine/>
    <w:uiPriority w:val="98"/>
    <w:semiHidden/>
    <w:rsid w:val="003210F5"/>
    <w:pPr>
      <w:ind w:left="960" w:hanging="240"/>
    </w:pPr>
  </w:style>
  <w:style w:type="paragraph" w:styleId="Index5">
    <w:name w:val="index 5"/>
    <w:basedOn w:val="Normal"/>
    <w:next w:val="Normal"/>
    <w:autoRedefine/>
    <w:uiPriority w:val="98"/>
    <w:semiHidden/>
    <w:rsid w:val="003210F5"/>
    <w:pPr>
      <w:ind w:left="1200" w:hanging="240"/>
    </w:pPr>
  </w:style>
  <w:style w:type="paragraph" w:styleId="Index6">
    <w:name w:val="index 6"/>
    <w:basedOn w:val="Normal"/>
    <w:next w:val="Normal"/>
    <w:autoRedefine/>
    <w:uiPriority w:val="98"/>
    <w:semiHidden/>
    <w:rsid w:val="003210F5"/>
    <w:pPr>
      <w:ind w:left="1440" w:hanging="240"/>
    </w:pPr>
  </w:style>
  <w:style w:type="paragraph" w:styleId="Index7">
    <w:name w:val="index 7"/>
    <w:basedOn w:val="Normal"/>
    <w:next w:val="Normal"/>
    <w:autoRedefine/>
    <w:uiPriority w:val="98"/>
    <w:semiHidden/>
    <w:rsid w:val="003210F5"/>
    <w:pPr>
      <w:ind w:left="1680" w:hanging="240"/>
    </w:pPr>
  </w:style>
  <w:style w:type="paragraph" w:styleId="Index8">
    <w:name w:val="index 8"/>
    <w:basedOn w:val="Normal"/>
    <w:next w:val="Normal"/>
    <w:autoRedefine/>
    <w:uiPriority w:val="98"/>
    <w:semiHidden/>
    <w:rsid w:val="003210F5"/>
    <w:pPr>
      <w:ind w:left="1920" w:hanging="240"/>
    </w:pPr>
  </w:style>
  <w:style w:type="paragraph" w:styleId="Index9">
    <w:name w:val="index 9"/>
    <w:basedOn w:val="Normal"/>
    <w:next w:val="Normal"/>
    <w:autoRedefine/>
    <w:uiPriority w:val="98"/>
    <w:semiHidden/>
    <w:rsid w:val="003210F5"/>
    <w:pPr>
      <w:ind w:left="2160" w:hanging="240"/>
    </w:pPr>
  </w:style>
  <w:style w:type="paragraph" w:styleId="IndexHeading">
    <w:name w:val="index heading"/>
    <w:basedOn w:val="Normal"/>
    <w:next w:val="Index1"/>
    <w:uiPriority w:val="98"/>
    <w:semiHidden/>
    <w:rsid w:val="003210F5"/>
    <w:rPr>
      <w:rFonts w:asciiTheme="majorHAnsi" w:eastAsiaTheme="majorEastAsia" w:hAnsiTheme="majorHAnsi" w:cstheme="majorBidi"/>
      <w:b/>
      <w:bCs/>
    </w:rPr>
  </w:style>
  <w:style w:type="table" w:styleId="LightGrid">
    <w:name w:val="Light Grid"/>
    <w:basedOn w:val="TableNormal"/>
    <w:uiPriority w:val="62"/>
    <w:semiHidden/>
    <w:rsid w:val="003210F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210F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210F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210F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210F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210F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210F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210F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210F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210F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210F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210F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210F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210F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210F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210F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210F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210F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210F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210F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210F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3210F5"/>
  </w:style>
  <w:style w:type="paragraph" w:styleId="List">
    <w:name w:val="List"/>
    <w:basedOn w:val="Normal"/>
    <w:uiPriority w:val="98"/>
    <w:semiHidden/>
    <w:rsid w:val="003210F5"/>
    <w:pPr>
      <w:ind w:left="283" w:hanging="283"/>
      <w:contextualSpacing/>
    </w:pPr>
  </w:style>
  <w:style w:type="paragraph" w:styleId="List2">
    <w:name w:val="List 2"/>
    <w:basedOn w:val="Normal"/>
    <w:uiPriority w:val="98"/>
    <w:semiHidden/>
    <w:rsid w:val="003210F5"/>
    <w:pPr>
      <w:ind w:left="566" w:hanging="283"/>
      <w:contextualSpacing/>
    </w:pPr>
  </w:style>
  <w:style w:type="paragraph" w:styleId="List3">
    <w:name w:val="List 3"/>
    <w:basedOn w:val="Normal"/>
    <w:uiPriority w:val="98"/>
    <w:semiHidden/>
    <w:rsid w:val="003210F5"/>
    <w:pPr>
      <w:ind w:left="849" w:hanging="283"/>
      <w:contextualSpacing/>
    </w:pPr>
  </w:style>
  <w:style w:type="paragraph" w:styleId="List4">
    <w:name w:val="List 4"/>
    <w:basedOn w:val="Normal"/>
    <w:uiPriority w:val="98"/>
    <w:semiHidden/>
    <w:rsid w:val="003210F5"/>
    <w:pPr>
      <w:ind w:left="1132" w:hanging="283"/>
      <w:contextualSpacing/>
    </w:pPr>
  </w:style>
  <w:style w:type="paragraph" w:styleId="List5">
    <w:name w:val="List 5"/>
    <w:basedOn w:val="Normal"/>
    <w:uiPriority w:val="98"/>
    <w:semiHidden/>
    <w:rsid w:val="003210F5"/>
    <w:pPr>
      <w:ind w:left="1415" w:hanging="283"/>
      <w:contextualSpacing/>
    </w:pPr>
  </w:style>
  <w:style w:type="paragraph" w:styleId="ListBullet">
    <w:name w:val="List Bullet"/>
    <w:basedOn w:val="Normal"/>
    <w:uiPriority w:val="98"/>
    <w:semiHidden/>
    <w:rsid w:val="003210F5"/>
    <w:pPr>
      <w:numPr>
        <w:numId w:val="12"/>
      </w:numPr>
    </w:pPr>
  </w:style>
  <w:style w:type="paragraph" w:styleId="ListBullet3">
    <w:name w:val="List Bullet 3"/>
    <w:basedOn w:val="Normal"/>
    <w:uiPriority w:val="98"/>
    <w:semiHidden/>
    <w:rsid w:val="003210F5"/>
    <w:pPr>
      <w:numPr>
        <w:numId w:val="14"/>
      </w:numPr>
      <w:contextualSpacing/>
    </w:pPr>
  </w:style>
  <w:style w:type="paragraph" w:styleId="ListBullet4">
    <w:name w:val="List Bullet 4"/>
    <w:basedOn w:val="Normal"/>
    <w:uiPriority w:val="98"/>
    <w:semiHidden/>
    <w:rsid w:val="003210F5"/>
    <w:pPr>
      <w:numPr>
        <w:numId w:val="15"/>
      </w:numPr>
      <w:contextualSpacing/>
    </w:pPr>
  </w:style>
  <w:style w:type="paragraph" w:styleId="ListBullet5">
    <w:name w:val="List Bullet 5"/>
    <w:basedOn w:val="Normal"/>
    <w:uiPriority w:val="98"/>
    <w:semiHidden/>
    <w:rsid w:val="003210F5"/>
    <w:pPr>
      <w:numPr>
        <w:numId w:val="16"/>
      </w:numPr>
      <w:contextualSpacing/>
    </w:pPr>
  </w:style>
  <w:style w:type="paragraph" w:styleId="ListContinue">
    <w:name w:val="List Continue"/>
    <w:basedOn w:val="Normal"/>
    <w:uiPriority w:val="98"/>
    <w:semiHidden/>
    <w:rsid w:val="003210F5"/>
    <w:pPr>
      <w:spacing w:after="120"/>
      <w:ind w:left="283"/>
      <w:contextualSpacing/>
    </w:pPr>
  </w:style>
  <w:style w:type="paragraph" w:styleId="ListContinue2">
    <w:name w:val="List Continue 2"/>
    <w:basedOn w:val="Normal"/>
    <w:uiPriority w:val="98"/>
    <w:semiHidden/>
    <w:rsid w:val="003210F5"/>
    <w:pPr>
      <w:spacing w:after="120"/>
      <w:ind w:left="566"/>
      <w:contextualSpacing/>
    </w:pPr>
  </w:style>
  <w:style w:type="paragraph" w:styleId="ListContinue3">
    <w:name w:val="List Continue 3"/>
    <w:basedOn w:val="Normal"/>
    <w:uiPriority w:val="98"/>
    <w:semiHidden/>
    <w:rsid w:val="003210F5"/>
    <w:pPr>
      <w:spacing w:after="120"/>
      <w:ind w:left="849"/>
      <w:contextualSpacing/>
    </w:pPr>
  </w:style>
  <w:style w:type="paragraph" w:styleId="ListContinue4">
    <w:name w:val="List Continue 4"/>
    <w:basedOn w:val="Normal"/>
    <w:uiPriority w:val="98"/>
    <w:semiHidden/>
    <w:rsid w:val="003210F5"/>
    <w:pPr>
      <w:spacing w:after="120"/>
      <w:ind w:left="1132"/>
      <w:contextualSpacing/>
    </w:pPr>
  </w:style>
  <w:style w:type="paragraph" w:styleId="ListContinue5">
    <w:name w:val="List Continue 5"/>
    <w:basedOn w:val="Normal"/>
    <w:uiPriority w:val="98"/>
    <w:semiHidden/>
    <w:rsid w:val="003210F5"/>
    <w:pPr>
      <w:spacing w:after="120"/>
      <w:ind w:left="1415"/>
      <w:contextualSpacing/>
    </w:pPr>
  </w:style>
  <w:style w:type="paragraph" w:styleId="ListNumber">
    <w:name w:val="List Number"/>
    <w:basedOn w:val="Normal"/>
    <w:uiPriority w:val="98"/>
    <w:semiHidden/>
    <w:rsid w:val="003210F5"/>
    <w:pPr>
      <w:numPr>
        <w:numId w:val="17"/>
      </w:numPr>
      <w:contextualSpacing/>
    </w:pPr>
  </w:style>
  <w:style w:type="paragraph" w:styleId="ListNumber2">
    <w:name w:val="List Number 2"/>
    <w:basedOn w:val="Normal"/>
    <w:uiPriority w:val="98"/>
    <w:semiHidden/>
    <w:rsid w:val="003210F5"/>
    <w:pPr>
      <w:numPr>
        <w:numId w:val="18"/>
      </w:numPr>
      <w:contextualSpacing/>
    </w:pPr>
  </w:style>
  <w:style w:type="paragraph" w:styleId="ListNumber3">
    <w:name w:val="List Number 3"/>
    <w:basedOn w:val="Normal"/>
    <w:uiPriority w:val="98"/>
    <w:semiHidden/>
    <w:rsid w:val="003210F5"/>
    <w:pPr>
      <w:numPr>
        <w:numId w:val="19"/>
      </w:numPr>
      <w:contextualSpacing/>
    </w:pPr>
  </w:style>
  <w:style w:type="paragraph" w:styleId="ListNumber4">
    <w:name w:val="List Number 4"/>
    <w:basedOn w:val="Normal"/>
    <w:uiPriority w:val="98"/>
    <w:semiHidden/>
    <w:rsid w:val="003210F5"/>
    <w:pPr>
      <w:numPr>
        <w:numId w:val="20"/>
      </w:numPr>
      <w:contextualSpacing/>
    </w:pPr>
  </w:style>
  <w:style w:type="paragraph" w:styleId="ListNumber5">
    <w:name w:val="List Number 5"/>
    <w:basedOn w:val="Normal"/>
    <w:uiPriority w:val="98"/>
    <w:semiHidden/>
    <w:rsid w:val="003210F5"/>
    <w:pPr>
      <w:numPr>
        <w:numId w:val="21"/>
      </w:numPr>
      <w:contextualSpacing/>
    </w:pPr>
  </w:style>
  <w:style w:type="paragraph" w:styleId="MacroText">
    <w:name w:val="macro"/>
    <w:link w:val="MacroTextChar"/>
    <w:uiPriority w:val="98"/>
    <w:semiHidden/>
    <w:rsid w:val="003210F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3210F5"/>
    <w:rPr>
      <w:rFonts w:ascii="Consolas" w:eastAsiaTheme="minorEastAsia" w:hAnsi="Consolas" w:cs="Consolas"/>
      <w:sz w:val="20"/>
      <w:szCs w:val="20"/>
    </w:rPr>
  </w:style>
  <w:style w:type="table" w:styleId="MediumGrid1">
    <w:name w:val="Medium Grid 1"/>
    <w:basedOn w:val="TableNormal"/>
    <w:uiPriority w:val="67"/>
    <w:semiHidden/>
    <w:rsid w:val="003210F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210F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210F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210F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210F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210F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210F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210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210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210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210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210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210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210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210F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210F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210F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210F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210F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210F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210F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10F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210F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10F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10F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10F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10F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10F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10F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10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10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10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10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10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10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10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3210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3210F5"/>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3210F5"/>
    <w:rPr>
      <w:rFonts w:ascii="Times New Roman" w:hAnsi="Times New Roman" w:cs="Times New Roman"/>
    </w:rPr>
  </w:style>
  <w:style w:type="paragraph" w:styleId="NormalIndent">
    <w:name w:val="Normal Indent"/>
    <w:basedOn w:val="Normal"/>
    <w:uiPriority w:val="98"/>
    <w:semiHidden/>
    <w:rsid w:val="003210F5"/>
    <w:pPr>
      <w:ind w:left="720"/>
    </w:pPr>
  </w:style>
  <w:style w:type="paragraph" w:styleId="NoteHeading">
    <w:name w:val="Note Heading"/>
    <w:basedOn w:val="Normal"/>
    <w:next w:val="Normal"/>
    <w:link w:val="NoteHeadingChar"/>
    <w:uiPriority w:val="98"/>
    <w:semiHidden/>
    <w:rsid w:val="003210F5"/>
  </w:style>
  <w:style w:type="character" w:customStyle="1" w:styleId="NoteHeadingChar">
    <w:name w:val="Note Heading Char"/>
    <w:basedOn w:val="DefaultParagraphFont"/>
    <w:link w:val="NoteHeading"/>
    <w:uiPriority w:val="98"/>
    <w:semiHidden/>
    <w:rsid w:val="003210F5"/>
    <w:rPr>
      <w:sz w:val="24"/>
      <w:szCs w:val="24"/>
      <w:lang w:val="fr-FR"/>
    </w:rPr>
  </w:style>
  <w:style w:type="character" w:styleId="PlaceholderText">
    <w:name w:val="Placeholder Text"/>
    <w:basedOn w:val="DefaultParagraphFont"/>
    <w:uiPriority w:val="98"/>
    <w:semiHidden/>
    <w:rsid w:val="003210F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3210F5"/>
    <w:rPr>
      <w:rFonts w:ascii="Consolas" w:hAnsi="Consolas" w:cs="Consolas"/>
      <w:sz w:val="21"/>
      <w:szCs w:val="21"/>
    </w:rPr>
  </w:style>
  <w:style w:type="character" w:customStyle="1" w:styleId="PlainTextChar">
    <w:name w:val="Plain Text Char"/>
    <w:basedOn w:val="DefaultParagraphFont"/>
    <w:link w:val="PlainText"/>
    <w:uiPriority w:val="98"/>
    <w:semiHidden/>
    <w:rsid w:val="003210F5"/>
    <w:rPr>
      <w:rFonts w:ascii="Consolas" w:hAnsi="Consolas" w:cs="Consolas"/>
      <w:sz w:val="21"/>
      <w:szCs w:val="21"/>
      <w:lang w:val="fr-FR"/>
    </w:rPr>
  </w:style>
  <w:style w:type="paragraph" w:styleId="Salutation">
    <w:name w:val="Salutation"/>
    <w:basedOn w:val="Normal"/>
    <w:next w:val="Normal"/>
    <w:link w:val="SalutationChar"/>
    <w:uiPriority w:val="98"/>
    <w:semiHidden/>
    <w:rsid w:val="003210F5"/>
  </w:style>
  <w:style w:type="character" w:customStyle="1" w:styleId="SalutationChar">
    <w:name w:val="Salutation Char"/>
    <w:basedOn w:val="DefaultParagraphFont"/>
    <w:link w:val="Salutation"/>
    <w:uiPriority w:val="98"/>
    <w:semiHidden/>
    <w:rsid w:val="003210F5"/>
    <w:rPr>
      <w:sz w:val="24"/>
      <w:szCs w:val="24"/>
      <w:lang w:val="fr-FR"/>
    </w:rPr>
  </w:style>
  <w:style w:type="paragraph" w:styleId="Signature">
    <w:name w:val="Signature"/>
    <w:basedOn w:val="Normal"/>
    <w:link w:val="SignatureChar"/>
    <w:uiPriority w:val="98"/>
    <w:semiHidden/>
    <w:rsid w:val="003210F5"/>
    <w:pPr>
      <w:ind w:left="4252"/>
    </w:pPr>
  </w:style>
  <w:style w:type="character" w:customStyle="1" w:styleId="SignatureChar">
    <w:name w:val="Signature Char"/>
    <w:basedOn w:val="DefaultParagraphFont"/>
    <w:link w:val="Signature"/>
    <w:uiPriority w:val="98"/>
    <w:semiHidden/>
    <w:rsid w:val="003210F5"/>
    <w:rPr>
      <w:sz w:val="24"/>
      <w:szCs w:val="24"/>
      <w:lang w:val="fr-FR"/>
    </w:rPr>
  </w:style>
  <w:style w:type="table" w:styleId="Table3Deffects1">
    <w:name w:val="Table 3D effects 1"/>
    <w:basedOn w:val="TableNormal"/>
    <w:uiPriority w:val="99"/>
    <w:semiHidden/>
    <w:unhideWhenUsed/>
    <w:rsid w:val="003210F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210F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210F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210F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210F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210F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210F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210F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210F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210F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210F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210F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210F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210F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210F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210F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210F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210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210F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210F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210F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210F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210F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210F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210F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210F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210F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210F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210F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210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210F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210F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210F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3210F5"/>
    <w:pPr>
      <w:ind w:left="240" w:hanging="240"/>
    </w:pPr>
  </w:style>
  <w:style w:type="paragraph" w:styleId="TableofFigures">
    <w:name w:val="table of figures"/>
    <w:basedOn w:val="Normal"/>
    <w:next w:val="Normal"/>
    <w:uiPriority w:val="98"/>
    <w:semiHidden/>
    <w:rsid w:val="003210F5"/>
  </w:style>
  <w:style w:type="table" w:styleId="TableProfessional">
    <w:name w:val="Table Professional"/>
    <w:basedOn w:val="TableNormal"/>
    <w:uiPriority w:val="99"/>
    <w:semiHidden/>
    <w:unhideWhenUsed/>
    <w:rsid w:val="003210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210F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210F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210F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210F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210F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210F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210F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210F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210F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3210F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3210F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3210F5"/>
    <w:pPr>
      <w:spacing w:after="100"/>
      <w:ind w:left="1680"/>
    </w:pPr>
  </w:style>
  <w:style w:type="paragraph" w:styleId="TOC9">
    <w:name w:val="toc 9"/>
    <w:basedOn w:val="Normal"/>
    <w:next w:val="Normal"/>
    <w:autoRedefine/>
    <w:uiPriority w:val="98"/>
    <w:semiHidden/>
    <w:rsid w:val="003210F5"/>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3210F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210F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3210F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3210F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210F5"/>
    <w:pPr>
      <w:numPr>
        <w:numId w:val="9"/>
      </w:numPr>
      <w:spacing w:before="60" w:after="60"/>
    </w:pPr>
  </w:style>
  <w:style w:type="paragraph" w:customStyle="1" w:styleId="ECHRBullet2">
    <w:name w:val="ECHR_Bullet_2"/>
    <w:aliases w:val="_Bul_2"/>
    <w:basedOn w:val="ECHRBullet1"/>
    <w:uiPriority w:val="23"/>
    <w:semiHidden/>
    <w:rsid w:val="003210F5"/>
    <w:pPr>
      <w:numPr>
        <w:ilvl w:val="1"/>
      </w:numPr>
    </w:pPr>
  </w:style>
  <w:style w:type="paragraph" w:customStyle="1" w:styleId="ECHRBullet3">
    <w:name w:val="ECHR_Bullet_3"/>
    <w:aliases w:val="_Bul_3"/>
    <w:basedOn w:val="ECHRBullet2"/>
    <w:uiPriority w:val="23"/>
    <w:semiHidden/>
    <w:rsid w:val="003210F5"/>
    <w:pPr>
      <w:numPr>
        <w:ilvl w:val="2"/>
      </w:numPr>
    </w:pPr>
  </w:style>
  <w:style w:type="paragraph" w:customStyle="1" w:styleId="ECHRBullet4">
    <w:name w:val="ECHR_Bullet_4"/>
    <w:aliases w:val="_Bul_4"/>
    <w:basedOn w:val="ECHRBullet3"/>
    <w:uiPriority w:val="23"/>
    <w:semiHidden/>
    <w:rsid w:val="003210F5"/>
    <w:pPr>
      <w:numPr>
        <w:ilvl w:val="3"/>
      </w:numPr>
    </w:pPr>
  </w:style>
  <w:style w:type="paragraph" w:customStyle="1" w:styleId="ECHRConfidential">
    <w:name w:val="ECHR_Confidential"/>
    <w:aliases w:val="_Confidential"/>
    <w:basedOn w:val="Normal"/>
    <w:next w:val="Normal"/>
    <w:uiPriority w:val="42"/>
    <w:semiHidden/>
    <w:qFormat/>
    <w:rsid w:val="003210F5"/>
    <w:pPr>
      <w:jc w:val="right"/>
    </w:pPr>
    <w:rPr>
      <w:color w:val="C00000"/>
      <w:sz w:val="20"/>
    </w:rPr>
  </w:style>
  <w:style w:type="paragraph" w:customStyle="1" w:styleId="ECHRDecisionBody">
    <w:name w:val="ECHR_Decision_Body"/>
    <w:aliases w:val="_Decision_Body"/>
    <w:basedOn w:val="NormalJustified"/>
    <w:uiPriority w:val="54"/>
    <w:semiHidden/>
    <w:rsid w:val="003210F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3210F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3210F5"/>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3210F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3210F5"/>
    <w:pPr>
      <w:jc w:val="right"/>
    </w:pPr>
    <w:rPr>
      <w:sz w:val="20"/>
    </w:rPr>
  </w:style>
  <w:style w:type="paragraph" w:customStyle="1" w:styleId="ECHRHeaderRefIt">
    <w:name w:val="ECHR_Header_Ref_It"/>
    <w:aliases w:val="_Ref_Ital"/>
    <w:basedOn w:val="Normal"/>
    <w:next w:val="ECHRHeaderDate"/>
    <w:uiPriority w:val="43"/>
    <w:qFormat/>
    <w:rsid w:val="003210F5"/>
    <w:pPr>
      <w:jc w:val="right"/>
    </w:pPr>
    <w:rPr>
      <w:i/>
      <w:sz w:val="20"/>
    </w:rPr>
  </w:style>
  <w:style w:type="paragraph" w:customStyle="1" w:styleId="ECHRHeading9">
    <w:name w:val="ECHR_Heading_9"/>
    <w:aliases w:val="_Head_9"/>
    <w:basedOn w:val="Heading9"/>
    <w:uiPriority w:val="17"/>
    <w:semiHidden/>
    <w:rsid w:val="003210F5"/>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3210F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3210F5"/>
    <w:pPr>
      <w:numPr>
        <w:numId w:val="11"/>
      </w:numPr>
      <w:spacing w:before="60" w:after="60"/>
    </w:pPr>
  </w:style>
  <w:style w:type="paragraph" w:customStyle="1" w:styleId="ECHRNumberedList2">
    <w:name w:val="ECHR_Numbered_List_2"/>
    <w:aliases w:val="_Num_2"/>
    <w:basedOn w:val="ECHRNumberedList1"/>
    <w:uiPriority w:val="23"/>
    <w:semiHidden/>
    <w:rsid w:val="003210F5"/>
    <w:pPr>
      <w:numPr>
        <w:ilvl w:val="1"/>
      </w:numPr>
    </w:pPr>
  </w:style>
  <w:style w:type="paragraph" w:customStyle="1" w:styleId="ECHRNumberedList3">
    <w:name w:val="ECHR_Numbered_List_3"/>
    <w:aliases w:val="_Num_3"/>
    <w:basedOn w:val="ECHRNumberedList2"/>
    <w:uiPriority w:val="23"/>
    <w:semiHidden/>
    <w:rsid w:val="003210F5"/>
    <w:pPr>
      <w:numPr>
        <w:ilvl w:val="2"/>
      </w:numPr>
    </w:pPr>
  </w:style>
  <w:style w:type="paragraph" w:customStyle="1" w:styleId="ECHRParaHanging">
    <w:name w:val="ECHR_Para_Hanging"/>
    <w:aliases w:val="_Hanging"/>
    <w:basedOn w:val="NormalJustified"/>
    <w:uiPriority w:val="8"/>
    <w:semiHidden/>
    <w:qFormat/>
    <w:rsid w:val="003210F5"/>
    <w:pPr>
      <w:ind w:left="567" w:hanging="567"/>
    </w:pPr>
  </w:style>
  <w:style w:type="paragraph" w:customStyle="1" w:styleId="ECHRParaIndent">
    <w:name w:val="ECHR_Para_Indent"/>
    <w:aliases w:val="_Indent"/>
    <w:basedOn w:val="NormalJustified"/>
    <w:uiPriority w:val="7"/>
    <w:semiHidden/>
    <w:qFormat/>
    <w:rsid w:val="003210F5"/>
    <w:pPr>
      <w:spacing w:before="120" w:after="120"/>
      <w:ind w:left="567"/>
    </w:pPr>
  </w:style>
  <w:style w:type="character" w:customStyle="1" w:styleId="ECHRRed">
    <w:name w:val="ECHR_Red"/>
    <w:aliases w:val="_Red"/>
    <w:basedOn w:val="DefaultParagraphFont"/>
    <w:uiPriority w:val="15"/>
    <w:semiHidden/>
    <w:qFormat/>
    <w:rsid w:val="003210F5"/>
    <w:rPr>
      <w:color w:val="C00000" w:themeColor="accent2"/>
    </w:rPr>
  </w:style>
  <w:style w:type="paragraph" w:customStyle="1" w:styleId="DecList">
    <w:name w:val="Dec_List"/>
    <w:aliases w:val="_List"/>
    <w:basedOn w:val="JuList"/>
    <w:uiPriority w:val="22"/>
    <w:rsid w:val="003210F5"/>
    <w:pPr>
      <w:numPr>
        <w:numId w:val="0"/>
      </w:numPr>
      <w:ind w:left="284"/>
    </w:pPr>
  </w:style>
  <w:style w:type="table" w:customStyle="1" w:styleId="ECHRTable2">
    <w:name w:val="ECHR_Table_2"/>
    <w:basedOn w:val="TableNormal"/>
    <w:uiPriority w:val="99"/>
    <w:rsid w:val="003210F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3210F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3210F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3210F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3210F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3210F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3210F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3210F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3210F5"/>
    <w:pPr>
      <w:outlineLvl w:val="0"/>
    </w:pPr>
  </w:style>
  <w:style w:type="paragraph" w:customStyle="1" w:styleId="ECHRTitleTOC1">
    <w:name w:val="ECHR_Title_TOC_1"/>
    <w:aliases w:val="_Title_L_TOC"/>
    <w:basedOn w:val="ECHRTitle1"/>
    <w:next w:val="Normal"/>
    <w:uiPriority w:val="27"/>
    <w:semiHidden/>
    <w:qFormat/>
    <w:rsid w:val="003210F5"/>
    <w:pPr>
      <w:outlineLvl w:val="0"/>
    </w:pPr>
  </w:style>
  <w:style w:type="paragraph" w:customStyle="1" w:styleId="ECHRPlaceholder">
    <w:name w:val="ECHR_Placeholder"/>
    <w:aliases w:val="_Placeholder"/>
    <w:basedOn w:val="JuSigned"/>
    <w:uiPriority w:val="31"/>
    <w:rsid w:val="003210F5"/>
    <w:rPr>
      <w:color w:val="FFFFFF"/>
    </w:rPr>
  </w:style>
  <w:style w:type="paragraph" w:customStyle="1" w:styleId="ECHRSpacer">
    <w:name w:val="ECHR_Spacer"/>
    <w:aliases w:val="_Spacer"/>
    <w:basedOn w:val="Normal"/>
    <w:uiPriority w:val="45"/>
    <w:semiHidden/>
    <w:rsid w:val="003210F5"/>
    <w:rPr>
      <w:sz w:val="4"/>
    </w:rPr>
  </w:style>
  <w:style w:type="table" w:customStyle="1" w:styleId="ECHRTableGrey">
    <w:name w:val="ECHR_Table_Grey"/>
    <w:basedOn w:val="TableNormal"/>
    <w:uiPriority w:val="99"/>
    <w:rsid w:val="003210F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3A74F0"/>
    <w:rPr>
      <w:sz w:val="24"/>
      <w:szCs w:val="24"/>
      <w:lang w:val="fr-FR"/>
    </w:rPr>
  </w:style>
  <w:style w:type="character" w:customStyle="1" w:styleId="JuNames0">
    <w:name w:val="Ju_Names"/>
    <w:rsid w:val="003A74F0"/>
    <w:rPr>
      <w:smallCaps/>
    </w:rPr>
  </w:style>
  <w:style w:type="paragraph" w:customStyle="1" w:styleId="JuList4">
    <w:name w:val="Ju_List_4"/>
    <w:aliases w:val="N_Bul_4"/>
    <w:basedOn w:val="JuListi"/>
    <w:uiPriority w:val="19"/>
    <w:rsid w:val="003A74F0"/>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semiHidden/>
    <w:rsid w:val="003A7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A74F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A74F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A74F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A74F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A74F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A74F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A74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A74F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3A74F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3A74F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3A74F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3A74F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3A74F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3A74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A74F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3A74F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3A74F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3A74F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3A74F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3A74F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3A74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A74F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3A74F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3A74F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3A74F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3A74F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3A74F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3A74F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A74F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3A74F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3A74F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3A74F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3A74F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3A74F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3A74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A74F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3A74F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3A74F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3A74F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3A74F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3A74F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3A74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A74F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3A74F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3A74F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3A74F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3A74F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3A74F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3A74F0"/>
    <w:rPr>
      <w:color w:val="2B579A"/>
      <w:shd w:val="clear" w:color="auto" w:fill="E1DFDD"/>
    </w:rPr>
  </w:style>
  <w:style w:type="table" w:styleId="ListTable1Light">
    <w:name w:val="List Table 1 Light"/>
    <w:basedOn w:val="TableNormal"/>
    <w:uiPriority w:val="46"/>
    <w:semiHidden/>
    <w:rsid w:val="003A74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A74F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3A74F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3A74F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3A74F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3A74F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3A74F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3A74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A74F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3A74F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3A74F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3A74F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3A74F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3A74F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3A74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A74F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3A74F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3A74F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3A74F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3A74F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3A74F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3A74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A74F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3A74F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3A74F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3A74F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3A74F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3A74F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3A74F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A74F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A74F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A74F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A74F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A74F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A74F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A74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A74F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3A74F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3A74F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3A74F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3A74F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3A74F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3A74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A74F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A74F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A74F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A74F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A74F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A74F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3A74F0"/>
    <w:rPr>
      <w:color w:val="2B579A"/>
      <w:shd w:val="clear" w:color="auto" w:fill="E1DFDD"/>
    </w:rPr>
  </w:style>
  <w:style w:type="table" w:styleId="PlainTable1">
    <w:name w:val="Plain Table 1"/>
    <w:basedOn w:val="TableNormal"/>
    <w:uiPriority w:val="41"/>
    <w:semiHidden/>
    <w:rsid w:val="003A74F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3A74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A74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A74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3A7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3A74F0"/>
    <w:rPr>
      <w:u w:val="dotted"/>
    </w:rPr>
  </w:style>
  <w:style w:type="character" w:customStyle="1" w:styleId="SmartLink">
    <w:name w:val="Smart Link"/>
    <w:basedOn w:val="DefaultParagraphFont"/>
    <w:uiPriority w:val="99"/>
    <w:semiHidden/>
    <w:unhideWhenUsed/>
    <w:rsid w:val="003A74F0"/>
    <w:rPr>
      <w:color w:val="0000FF"/>
      <w:u w:val="single"/>
      <w:shd w:val="clear" w:color="auto" w:fill="F3F2F1"/>
    </w:rPr>
  </w:style>
  <w:style w:type="table" w:styleId="TableGridLight">
    <w:name w:val="Grid Table Light"/>
    <w:basedOn w:val="TableNormal"/>
    <w:uiPriority w:val="40"/>
    <w:semiHidden/>
    <w:rsid w:val="003A74F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3A74F0"/>
    <w:rPr>
      <w:sz w:val="24"/>
      <w:szCs w:val="24"/>
      <w:lang w:val="fr-FR"/>
    </w:rPr>
  </w:style>
  <w:style w:type="table" w:customStyle="1" w:styleId="ECHRListTable1">
    <w:name w:val="ECHR_List_Table1"/>
    <w:basedOn w:val="TableNormal"/>
    <w:uiPriority w:val="99"/>
    <w:rsid w:val="003A74F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ListTable2">
    <w:name w:val="ECHR_List_Table2"/>
    <w:basedOn w:val="TableNormal"/>
    <w:uiPriority w:val="99"/>
    <w:rsid w:val="003A74F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ListTable3">
    <w:name w:val="ECHR_List_Table3"/>
    <w:basedOn w:val="TableNormal"/>
    <w:uiPriority w:val="99"/>
    <w:rsid w:val="003A74F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8B098-8A43-46EA-864B-14D345C1A121}">
  <ds:schemaRefs>
    <ds:schemaRef ds:uri="http://schemas.openxmlformats.org/officeDocument/2006/bibliography"/>
  </ds:schemaRefs>
</ds:datastoreItem>
</file>

<file path=customXml/itemProps2.xml><?xml version="1.0" encoding="utf-8"?>
<ds:datastoreItem xmlns:ds="http://schemas.openxmlformats.org/officeDocument/2006/customXml" ds:itemID="{E50CD781-C7FA-4FD7-AE5A-E6DEF6C1A14E}"/>
</file>

<file path=customXml/itemProps3.xml><?xml version="1.0" encoding="utf-8"?>
<ds:datastoreItem xmlns:ds="http://schemas.openxmlformats.org/officeDocument/2006/customXml" ds:itemID="{1DB1D796-CC03-4C7B-80BD-794C8FF8CAB5}"/>
</file>

<file path=customXml/itemProps4.xml><?xml version="1.0" encoding="utf-8"?>
<ds:datastoreItem xmlns:ds="http://schemas.openxmlformats.org/officeDocument/2006/customXml" ds:itemID="{47AA3561-4A2D-4276-A7BE-4787D32EAD88}"/>
</file>

<file path=docProps/app.xml><?xml version="1.0" encoding="utf-8"?>
<Properties xmlns="http://schemas.openxmlformats.org/officeDocument/2006/extended-properties" xmlns:vt="http://schemas.openxmlformats.org/officeDocument/2006/docPropsVTypes">
  <Template>Normal.dotm</Template>
  <TotalTime>0</TotalTime>
  <Pages>1</Pages>
  <Words>13440</Words>
  <Characters>76611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2022-05-19T07:50:00Z</dcterms:created>
  <dcterms:modified xsi:type="dcterms:W3CDTF">2022-05-19T07:50:00Z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29744/13</vt:lpwstr>
  </property>
  <property fmtid="{D5CDD505-2E9C-101B-9397-08002B2CF9AE}" pid="4" name="CASEID">
    <vt:lpwstr>880305</vt:lpwstr>
  </property>
  <property fmtid="{D5CDD505-2E9C-101B-9397-08002B2CF9AE}" pid="5" name="ContentTypeId">
    <vt:lpwstr>0x010100558EB02BDB9E204AB350EDD385B68E10</vt:lpwstr>
  </property>
</Properties>
</file>