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40F03" w:rsidR="00CC0320" w:rsidP="00640F03" w:rsidRDefault="00CC0320" w14:paraId="67F04FD1" w14:textId="77777777">
      <w:pPr>
        <w:jc w:val="center"/>
        <w:rPr>
          <w:rFonts w:ascii="Times New Roman" w:hAnsi="Times New Roman" w:eastAsia="Times New Roman" w:cs="Times New Roman"/>
          <w:lang w:val="fr-FR"/>
        </w:rPr>
      </w:pPr>
      <w:bookmarkStart w:name="_Toc61622452" w:id="0"/>
      <w:bookmarkStart w:name="_Hlk80888279" w:id="1"/>
    </w:p>
    <w:p w:rsidRPr="00640F03" w:rsidR="00CC0320" w:rsidP="00640F03" w:rsidRDefault="00CC0320" w14:paraId="0932F04D" w14:textId="77777777">
      <w:pPr>
        <w:jc w:val="center"/>
        <w:rPr>
          <w:rFonts w:ascii="Times New Roman" w:hAnsi="Times New Roman" w:eastAsia="Times New Roman" w:cs="Times New Roman"/>
          <w:lang w:val="fr-FR"/>
        </w:rPr>
      </w:pPr>
    </w:p>
    <w:p w:rsidRPr="00640F03" w:rsidR="00CC0320" w:rsidP="00640F03" w:rsidRDefault="00CC0320" w14:paraId="0239789E" w14:textId="77777777">
      <w:pPr>
        <w:pStyle w:val="DecHCase"/>
        <w:spacing w:after="240"/>
        <w:rPr>
          <w:rFonts w:eastAsia="Times New Roman"/>
          <w:sz w:val="28"/>
          <w:szCs w:val="28"/>
          <w:lang w:val="fr-FR"/>
        </w:rPr>
      </w:pPr>
      <w:r w:rsidRPr="00640F03">
        <w:rPr>
          <w:rFonts w:eastAsia="Times New Roman"/>
          <w:sz w:val="28"/>
          <w:szCs w:val="28"/>
          <w:lang w:val="fr-FR"/>
        </w:rPr>
        <w:t>GRANDE CHAMBRE</w:t>
      </w:r>
    </w:p>
    <w:p w:rsidRPr="00640F03" w:rsidR="00CC0320" w:rsidP="00640F03" w:rsidRDefault="00CC0320" w14:paraId="71D4F32D" w14:textId="77777777">
      <w:pPr>
        <w:ind w:firstLine="284"/>
        <w:jc w:val="both"/>
        <w:rPr>
          <w:rFonts w:ascii="Times New Roman" w:hAnsi="Times New Roman" w:eastAsia="Times New Roman" w:cs="Times New Roman"/>
          <w:lang w:val="fr-FR"/>
        </w:rPr>
      </w:pPr>
    </w:p>
    <w:p w:rsidRPr="00640F03" w:rsidR="00CC0320" w:rsidP="00640F03" w:rsidRDefault="00CC0320" w14:paraId="501403EE" w14:textId="2AE7972E">
      <w:pPr>
        <w:pStyle w:val="DecHCase"/>
        <w:spacing w:after="240"/>
        <w:rPr>
          <w:sz w:val="28"/>
          <w:szCs w:val="28"/>
          <w:lang w:val="fr-FR"/>
        </w:rPr>
      </w:pPr>
      <w:r w:rsidRPr="00640F03">
        <w:rPr>
          <w:sz w:val="28"/>
          <w:szCs w:val="28"/>
          <w:lang w:val="fr-FR"/>
        </w:rPr>
        <w:t>DÉCISION</w:t>
      </w:r>
    </w:p>
    <w:p w:rsidRPr="00640F03" w:rsidR="006D1232" w:rsidP="00640F03" w:rsidRDefault="00175708" w14:paraId="7777D404" w14:textId="0067F4ED">
      <w:pPr>
        <w:pStyle w:val="JuTitle"/>
        <w:rPr>
          <w:rFonts w:eastAsia="Times New Roman"/>
          <w:lang w:val="fr-FR"/>
        </w:rPr>
      </w:pPr>
      <w:r w:rsidRPr="00640F03">
        <w:rPr>
          <w:rFonts w:eastAsia="Times New Roman"/>
          <w:lang w:val="fr-FR"/>
        </w:rPr>
        <w:t>Demande d</w:t>
      </w:r>
      <w:r w:rsidRPr="00640F03" w:rsidR="00640F03">
        <w:rPr>
          <w:rFonts w:eastAsia="Times New Roman"/>
          <w:lang w:val="fr-FR"/>
        </w:rPr>
        <w:t>’</w:t>
      </w:r>
      <w:r w:rsidRPr="00640F03">
        <w:rPr>
          <w:rFonts w:eastAsia="Times New Roman"/>
          <w:lang w:val="fr-FR"/>
        </w:rPr>
        <w:t>avis consultatif au titre de l</w:t>
      </w:r>
      <w:r w:rsidRPr="00640F03" w:rsidR="00640F03">
        <w:rPr>
          <w:rFonts w:eastAsia="Times New Roman"/>
          <w:lang w:val="fr-FR"/>
        </w:rPr>
        <w:t>’</w:t>
      </w:r>
      <w:r w:rsidRPr="00640F03">
        <w:rPr>
          <w:rFonts w:eastAsia="Times New Roman"/>
          <w:lang w:val="fr-FR"/>
        </w:rPr>
        <w:t xml:space="preserve">article 29 de la Convention pour la protection des </w:t>
      </w:r>
      <w:r w:rsidRPr="00640F03" w:rsidR="005D6F4E">
        <w:rPr>
          <w:rFonts w:eastAsia="Times New Roman"/>
          <w:lang w:val="fr-FR"/>
        </w:rPr>
        <w:t>d</w:t>
      </w:r>
      <w:r w:rsidRPr="00640F03">
        <w:rPr>
          <w:rFonts w:eastAsia="Times New Roman"/>
          <w:lang w:val="fr-FR"/>
        </w:rPr>
        <w:t>roits de l</w:t>
      </w:r>
      <w:r w:rsidRPr="00640F03" w:rsidR="00640F03">
        <w:rPr>
          <w:rFonts w:eastAsia="Times New Roman"/>
          <w:lang w:val="fr-FR"/>
        </w:rPr>
        <w:t>’</w:t>
      </w:r>
      <w:r w:rsidRPr="00640F03" w:rsidR="005D6F4E">
        <w:rPr>
          <w:rFonts w:eastAsia="Times New Roman"/>
          <w:lang w:val="fr-FR"/>
        </w:rPr>
        <w:t>h</w:t>
      </w:r>
      <w:r w:rsidRPr="00640F03">
        <w:rPr>
          <w:rFonts w:eastAsia="Times New Roman"/>
          <w:lang w:val="fr-FR"/>
        </w:rPr>
        <w:t>omme et de la dignité de l</w:t>
      </w:r>
      <w:r w:rsidRPr="00640F03" w:rsidR="00640F03">
        <w:rPr>
          <w:rFonts w:eastAsia="Times New Roman"/>
          <w:lang w:val="fr-FR"/>
        </w:rPr>
        <w:t>’</w:t>
      </w:r>
      <w:r w:rsidRPr="00640F03">
        <w:rPr>
          <w:rFonts w:eastAsia="Times New Roman"/>
          <w:lang w:val="fr-FR"/>
        </w:rPr>
        <w:t>être humain à l</w:t>
      </w:r>
      <w:r w:rsidRPr="00640F03" w:rsidR="00640F03">
        <w:rPr>
          <w:rFonts w:eastAsia="Times New Roman"/>
          <w:lang w:val="fr-FR"/>
        </w:rPr>
        <w:t>’</w:t>
      </w:r>
      <w:r w:rsidRPr="00640F03">
        <w:rPr>
          <w:rFonts w:eastAsia="Times New Roman"/>
          <w:lang w:val="fr-FR"/>
        </w:rPr>
        <w:t xml:space="preserve">égard des applications de la biologie et de la médecine : Convention sur les </w:t>
      </w:r>
      <w:r w:rsidRPr="00640F03" w:rsidR="005D6F4E">
        <w:rPr>
          <w:rFonts w:eastAsia="Times New Roman"/>
          <w:lang w:val="fr-FR"/>
        </w:rPr>
        <w:t>d</w:t>
      </w:r>
      <w:r w:rsidRPr="00640F03">
        <w:rPr>
          <w:rFonts w:eastAsia="Times New Roman"/>
          <w:lang w:val="fr-FR"/>
        </w:rPr>
        <w:t>roits de l</w:t>
      </w:r>
      <w:r w:rsidRPr="00640F03" w:rsidR="00640F03">
        <w:rPr>
          <w:rFonts w:eastAsia="Times New Roman"/>
          <w:lang w:val="fr-FR"/>
        </w:rPr>
        <w:t>’</w:t>
      </w:r>
      <w:r w:rsidRPr="00640F03" w:rsidR="005D6F4E">
        <w:rPr>
          <w:rFonts w:eastAsia="Times New Roman"/>
          <w:lang w:val="fr-FR"/>
        </w:rPr>
        <w:t>h</w:t>
      </w:r>
      <w:r w:rsidRPr="00640F03">
        <w:rPr>
          <w:rFonts w:eastAsia="Times New Roman"/>
          <w:lang w:val="fr-FR"/>
        </w:rPr>
        <w:t>omme et la biomédecine</w:t>
      </w:r>
    </w:p>
    <w:p w:rsidRPr="00640F03" w:rsidR="006D1232" w:rsidP="00640F03" w:rsidRDefault="006D1232" w14:paraId="5373BD7E" w14:textId="1A396CA2">
      <w:pPr>
        <w:pStyle w:val="DecHCase"/>
        <w:rPr>
          <w:rFonts w:eastAsia="Times New Roman"/>
          <w:lang w:val="fr-FR"/>
        </w:rPr>
      </w:pPr>
    </w:p>
    <w:p w:rsidRPr="00640F03" w:rsidR="006D1232" w:rsidP="00640F03" w:rsidRDefault="006D1232" w14:paraId="28093EDF" w14:textId="05BDB773">
      <w:pPr>
        <w:pStyle w:val="DecHCase"/>
        <w:rPr>
          <w:rFonts w:eastAsia="Times New Roman"/>
          <w:lang w:val="fr-FR"/>
        </w:rPr>
      </w:pPr>
    </w:p>
    <w:p w:rsidRPr="00640F03" w:rsidR="006D1232" w:rsidP="00640F03" w:rsidRDefault="006D1232" w14:paraId="5A33605C" w14:textId="0004A25C">
      <w:pPr>
        <w:pStyle w:val="DecHCase"/>
        <w:rPr>
          <w:rFonts w:eastAsia="Times New Roman"/>
          <w:lang w:val="fr-FR"/>
        </w:rPr>
      </w:pPr>
    </w:p>
    <w:p w:rsidRPr="00640F03" w:rsidR="006D1232" w:rsidP="00640F03" w:rsidRDefault="006D1232" w14:paraId="4CD55D57" w14:textId="306ABC1B">
      <w:pPr>
        <w:pStyle w:val="DecHCase"/>
        <w:rPr>
          <w:rFonts w:eastAsia="Times New Roman"/>
          <w:lang w:val="fr-FR"/>
        </w:rPr>
      </w:pPr>
    </w:p>
    <w:p w:rsidRPr="00640F03" w:rsidR="006D1232" w:rsidP="00640F03" w:rsidRDefault="006D1232" w14:paraId="09BF35EC" w14:textId="0784579C">
      <w:pPr>
        <w:pStyle w:val="DecHCase"/>
        <w:rPr>
          <w:rFonts w:eastAsia="Times New Roman"/>
          <w:lang w:val="fr-FR"/>
        </w:rPr>
      </w:pPr>
    </w:p>
    <w:p w:rsidRPr="00640F03" w:rsidR="00F827E4" w:rsidP="00640F03" w:rsidRDefault="00F827E4" w14:paraId="40CC1B46" w14:textId="61A5C789">
      <w:pPr>
        <w:pStyle w:val="DecHCase"/>
        <w:rPr>
          <w:rFonts w:eastAsia="Times New Roman"/>
          <w:lang w:val="fr-FR"/>
        </w:rPr>
      </w:pPr>
    </w:p>
    <w:p w:rsidRPr="00640F03" w:rsidR="00F827E4" w:rsidP="00640F03" w:rsidRDefault="00F827E4" w14:paraId="713F21B2" w14:textId="77777777">
      <w:pPr>
        <w:pStyle w:val="DecHCase"/>
        <w:rPr>
          <w:rFonts w:eastAsia="Times New Roman"/>
          <w:lang w:val="fr-FR"/>
        </w:rPr>
      </w:pPr>
      <w:r w:rsidRPr="00640F03">
        <w:rPr>
          <w:rFonts w:eastAsia="Times New Roman"/>
          <w:lang w:val="fr-FR"/>
        </w:rPr>
        <w:t>STRASBOURG</w:t>
      </w:r>
    </w:p>
    <w:p w:rsidRPr="00640F03" w:rsidR="00B6155C" w:rsidP="00640F03" w:rsidRDefault="006E3B0B" w14:paraId="1E1B0D13" w14:textId="4BE42566">
      <w:pPr>
        <w:pStyle w:val="DecHCase"/>
        <w:rPr>
          <w:rFonts w:eastAsia="Times New Roman"/>
          <w:lang w:val="fr-FR"/>
        </w:rPr>
      </w:pPr>
      <w:r w:rsidRPr="00640F03">
        <w:rPr>
          <w:rFonts w:eastAsia="Times New Roman"/>
          <w:lang w:val="fr-FR"/>
        </w:rPr>
        <w:t>15 septembre</w:t>
      </w:r>
      <w:r w:rsidRPr="00640F03" w:rsidR="00F827E4">
        <w:rPr>
          <w:rFonts w:eastAsia="Times New Roman"/>
          <w:lang w:val="fr-FR"/>
        </w:rPr>
        <w:t xml:space="preserve"> 2021</w:t>
      </w:r>
    </w:p>
    <w:p w:rsidRPr="00640F03" w:rsidR="00B6155C" w:rsidP="00640F03" w:rsidRDefault="00B6155C" w14:paraId="3E40B595" w14:textId="50F1FDF8">
      <w:pPr>
        <w:rPr>
          <w:rFonts w:eastAsia="Times New Roman"/>
          <w:lang w:val="fr-FR"/>
        </w:rPr>
      </w:pPr>
    </w:p>
    <w:p w:rsidRPr="00640F03" w:rsidR="00195F07" w:rsidP="00640F03" w:rsidRDefault="00195F07" w14:paraId="153DB659" w14:textId="77777777">
      <w:pPr>
        <w:pStyle w:val="DecHCase"/>
        <w:rPr>
          <w:rFonts w:eastAsia="Times New Roman"/>
          <w:lang w:val="fr-FR"/>
        </w:rPr>
        <w:sectPr w:rsidRPr="00640F03" w:rsidR="00195F07" w:rsidSect="00B6155C">
          <w:headerReference w:type="default" r:id="rId8"/>
          <w:footerReference w:type="even" r:id="rId9"/>
          <w:footerReference w:type="default" r:id="rId10"/>
          <w:endnotePr>
            <w:numFmt w:val="decimal"/>
          </w:endnotePr>
          <w:pgSz w:w="11906" w:h="16838" w:code="9"/>
          <w:pgMar w:top="2274" w:right="2274" w:bottom="2274" w:left="2274" w:header="1701" w:footer="720" w:gutter="0"/>
          <w:pgNumType w:start="1"/>
          <w:cols w:space="720"/>
          <w:noEndnote/>
        </w:sectPr>
      </w:pPr>
    </w:p>
    <w:p w:rsidRPr="00640F03" w:rsidR="00175708" w:rsidP="00640F03" w:rsidRDefault="00175708" w14:paraId="341A593C" w14:textId="6BE5FD7D">
      <w:pPr>
        <w:pStyle w:val="JuPara"/>
        <w:rPr>
          <w:lang w:val="fr-FR"/>
        </w:rPr>
      </w:pPr>
      <w:bookmarkStart w:name="lt_pId221" w:id="2"/>
      <w:bookmarkEnd w:id="0"/>
      <w:r w:rsidRPr="00640F03">
        <w:rPr>
          <w:lang w:val="fr-FR"/>
        </w:rPr>
        <w:t>La Cour européenne des droits de l</w:t>
      </w:r>
      <w:r w:rsidRPr="00640F03" w:rsidR="00640F03">
        <w:rPr>
          <w:lang w:val="fr-FR"/>
        </w:rPr>
        <w:t>’</w:t>
      </w:r>
      <w:r w:rsidRPr="00640F03">
        <w:rPr>
          <w:lang w:val="fr-FR"/>
        </w:rPr>
        <w:t>homme, siégeant en une Grande Chambre composée de :</w:t>
      </w:r>
      <w:bookmarkEnd w:id="2"/>
    </w:p>
    <w:p w:rsidRPr="00640F03" w:rsidR="00175708" w:rsidP="00640F03" w:rsidRDefault="00C96271" w14:paraId="18BCD7E0" w14:textId="6ACC8D93">
      <w:pPr>
        <w:pStyle w:val="JuJudges"/>
        <w:rPr>
          <w:i/>
          <w:iCs/>
          <w:lang w:val="fr-FR"/>
        </w:rPr>
      </w:pPr>
      <w:r w:rsidRPr="00640F03">
        <w:rPr>
          <w:lang w:val="fr-FR"/>
        </w:rPr>
        <w:tab/>
      </w:r>
      <w:r w:rsidRPr="00640F03" w:rsidR="00175708">
        <w:rPr>
          <w:lang w:val="fr-FR"/>
        </w:rPr>
        <w:t xml:space="preserve">Robert Spano, </w:t>
      </w:r>
      <w:r w:rsidRPr="00640F03" w:rsidR="00175708">
        <w:rPr>
          <w:i/>
          <w:iCs/>
          <w:lang w:val="fr-FR"/>
        </w:rPr>
        <w:t>président</w:t>
      </w:r>
      <w:r w:rsidRPr="00640F03" w:rsidR="00175708">
        <w:rPr>
          <w:lang w:val="fr-FR"/>
        </w:rPr>
        <w:t>,</w:t>
      </w:r>
      <w:r w:rsidRPr="00640F03">
        <w:rPr>
          <w:lang w:val="fr-FR"/>
        </w:rPr>
        <w:br/>
      </w:r>
      <w:r w:rsidRPr="00640F03">
        <w:rPr>
          <w:lang w:val="fr-FR"/>
        </w:rPr>
        <w:tab/>
      </w:r>
      <w:r w:rsidRPr="00640F03" w:rsidR="00175708">
        <w:rPr>
          <w:lang w:val="fr-FR"/>
        </w:rPr>
        <w:t>Jon Fridrik Kjølbro,</w:t>
      </w:r>
      <w:r w:rsidRPr="00640F03">
        <w:rPr>
          <w:lang w:val="fr-FR"/>
        </w:rPr>
        <w:br/>
      </w:r>
      <w:r w:rsidRPr="00640F03">
        <w:rPr>
          <w:lang w:val="fr-FR"/>
        </w:rPr>
        <w:tab/>
      </w:r>
      <w:r w:rsidRPr="00640F03" w:rsidR="00175708">
        <w:rPr>
          <w:lang w:val="fr-FR"/>
        </w:rPr>
        <w:t>Ksenija Turković,</w:t>
      </w:r>
      <w:r w:rsidRPr="00640F03">
        <w:rPr>
          <w:lang w:val="fr-FR"/>
        </w:rPr>
        <w:br/>
      </w:r>
      <w:r w:rsidRPr="00640F03">
        <w:rPr>
          <w:lang w:val="fr-FR"/>
        </w:rPr>
        <w:tab/>
      </w:r>
      <w:r w:rsidRPr="00640F03" w:rsidR="00175708">
        <w:rPr>
          <w:lang w:val="fr-FR"/>
        </w:rPr>
        <w:t>Paul Lemmens,</w:t>
      </w:r>
      <w:r w:rsidRPr="00640F03">
        <w:rPr>
          <w:lang w:val="fr-FR"/>
        </w:rPr>
        <w:br/>
      </w:r>
      <w:r w:rsidRPr="00640F03">
        <w:rPr>
          <w:lang w:val="fr-FR"/>
        </w:rPr>
        <w:tab/>
      </w:r>
      <w:r w:rsidRPr="00640F03" w:rsidR="00175708">
        <w:rPr>
          <w:lang w:val="fr-FR"/>
        </w:rPr>
        <w:t>Síofra O</w:t>
      </w:r>
      <w:r w:rsidRPr="00640F03" w:rsidR="00640F03">
        <w:rPr>
          <w:lang w:val="fr-FR"/>
        </w:rPr>
        <w:t>’</w:t>
      </w:r>
      <w:r w:rsidRPr="00640F03" w:rsidR="00175708">
        <w:rPr>
          <w:lang w:val="fr-FR"/>
        </w:rPr>
        <w:t>Leary,</w:t>
      </w:r>
      <w:r w:rsidRPr="00640F03">
        <w:rPr>
          <w:lang w:val="fr-FR"/>
        </w:rPr>
        <w:br/>
      </w:r>
      <w:r w:rsidRPr="00640F03">
        <w:rPr>
          <w:lang w:val="fr-FR"/>
        </w:rPr>
        <w:tab/>
      </w:r>
      <w:r w:rsidRPr="00640F03" w:rsidR="00175708">
        <w:rPr>
          <w:lang w:val="fr-FR"/>
        </w:rPr>
        <w:t>Yonko Grozev,</w:t>
      </w:r>
      <w:r w:rsidRPr="00640F03">
        <w:rPr>
          <w:lang w:val="fr-FR"/>
        </w:rPr>
        <w:br/>
      </w:r>
      <w:r w:rsidRPr="00640F03">
        <w:rPr>
          <w:lang w:val="fr-FR"/>
        </w:rPr>
        <w:tab/>
      </w:r>
      <w:r w:rsidRPr="00640F03" w:rsidR="00175708">
        <w:rPr>
          <w:lang w:val="fr-FR"/>
        </w:rPr>
        <w:t>Carlo Ranzoni,</w:t>
      </w:r>
      <w:r w:rsidRPr="00640F03">
        <w:rPr>
          <w:lang w:val="fr-FR"/>
        </w:rPr>
        <w:br/>
      </w:r>
      <w:r w:rsidRPr="00640F03">
        <w:rPr>
          <w:lang w:val="fr-FR"/>
        </w:rPr>
        <w:tab/>
      </w:r>
      <w:r w:rsidRPr="00640F03" w:rsidR="00175708">
        <w:rPr>
          <w:lang w:val="fr-FR"/>
        </w:rPr>
        <w:t>Armen Harutyunyan,</w:t>
      </w:r>
      <w:r w:rsidRPr="00640F03">
        <w:rPr>
          <w:lang w:val="fr-FR"/>
        </w:rPr>
        <w:br/>
      </w:r>
      <w:r w:rsidRPr="00640F03">
        <w:rPr>
          <w:lang w:val="fr-FR"/>
        </w:rPr>
        <w:tab/>
      </w:r>
      <w:r w:rsidRPr="00640F03" w:rsidR="00175708">
        <w:rPr>
          <w:lang w:val="fr-FR"/>
        </w:rPr>
        <w:t>Gabriele Kucsko-Stadlmayer,</w:t>
      </w:r>
      <w:r w:rsidRPr="00640F03">
        <w:rPr>
          <w:lang w:val="fr-FR"/>
        </w:rPr>
        <w:br/>
      </w:r>
      <w:r w:rsidRPr="00640F03">
        <w:rPr>
          <w:lang w:val="fr-FR"/>
        </w:rPr>
        <w:tab/>
      </w:r>
      <w:r w:rsidRPr="00640F03" w:rsidR="00175708">
        <w:rPr>
          <w:lang w:val="fr-FR"/>
        </w:rPr>
        <w:t>Alena Poláčková,</w:t>
      </w:r>
      <w:r w:rsidRPr="00640F03">
        <w:rPr>
          <w:lang w:val="fr-FR"/>
        </w:rPr>
        <w:br/>
      </w:r>
      <w:r w:rsidRPr="00640F03">
        <w:rPr>
          <w:lang w:val="fr-FR"/>
        </w:rPr>
        <w:tab/>
      </w:r>
      <w:r w:rsidRPr="00640F03" w:rsidR="00175708">
        <w:rPr>
          <w:lang w:val="fr-FR"/>
        </w:rPr>
        <w:t>Marko Bošnjak,</w:t>
      </w:r>
      <w:r w:rsidRPr="00640F03">
        <w:rPr>
          <w:lang w:val="fr-FR"/>
        </w:rPr>
        <w:br/>
      </w:r>
      <w:r w:rsidRPr="00640F03">
        <w:rPr>
          <w:lang w:val="fr-FR"/>
        </w:rPr>
        <w:tab/>
      </w:r>
      <w:r w:rsidRPr="00640F03" w:rsidR="00175708">
        <w:rPr>
          <w:lang w:val="fr-FR"/>
        </w:rPr>
        <w:t>Tim Eicke,</w:t>
      </w:r>
      <w:r w:rsidRPr="00640F03">
        <w:rPr>
          <w:lang w:val="fr-FR"/>
        </w:rPr>
        <w:br/>
      </w:r>
      <w:r w:rsidRPr="00640F03">
        <w:rPr>
          <w:lang w:val="fr-FR"/>
        </w:rPr>
        <w:tab/>
      </w:r>
      <w:r w:rsidRPr="00640F03" w:rsidR="00175708">
        <w:rPr>
          <w:lang w:val="fr-FR"/>
        </w:rPr>
        <w:t>Jovan Ilievski,</w:t>
      </w:r>
      <w:r w:rsidRPr="00640F03">
        <w:rPr>
          <w:lang w:val="fr-FR"/>
        </w:rPr>
        <w:br/>
      </w:r>
      <w:r w:rsidRPr="00640F03">
        <w:rPr>
          <w:lang w:val="fr-FR"/>
        </w:rPr>
        <w:tab/>
      </w:r>
      <w:r w:rsidRPr="00640F03" w:rsidR="00175708">
        <w:rPr>
          <w:lang w:val="fr-FR"/>
        </w:rPr>
        <w:t>Lado Chanturia,</w:t>
      </w:r>
      <w:r w:rsidRPr="00640F03">
        <w:rPr>
          <w:lang w:val="fr-FR"/>
        </w:rPr>
        <w:br/>
      </w:r>
      <w:r w:rsidRPr="00640F03">
        <w:rPr>
          <w:lang w:val="fr-FR"/>
        </w:rPr>
        <w:tab/>
      </w:r>
      <w:r w:rsidRPr="00640F03" w:rsidR="00175708">
        <w:rPr>
          <w:lang w:val="fr-FR"/>
        </w:rPr>
        <w:t>Maria Elósegui,</w:t>
      </w:r>
      <w:r w:rsidRPr="00640F03">
        <w:rPr>
          <w:lang w:val="fr-FR"/>
        </w:rPr>
        <w:br/>
      </w:r>
      <w:r w:rsidRPr="00640F03">
        <w:rPr>
          <w:lang w:val="fr-FR"/>
        </w:rPr>
        <w:tab/>
      </w:r>
      <w:r w:rsidRPr="00640F03" w:rsidR="00175708">
        <w:rPr>
          <w:lang w:val="fr-FR"/>
        </w:rPr>
        <w:t>Raffaele Sabato,</w:t>
      </w:r>
      <w:r w:rsidRPr="00640F03">
        <w:rPr>
          <w:lang w:val="fr-FR"/>
        </w:rPr>
        <w:br/>
      </w:r>
      <w:r w:rsidRPr="00640F03">
        <w:rPr>
          <w:lang w:val="fr-FR"/>
        </w:rPr>
        <w:tab/>
      </w:r>
      <w:r w:rsidRPr="00640F03" w:rsidR="00175708">
        <w:rPr>
          <w:lang w:val="fr-FR"/>
        </w:rPr>
        <w:t>Lorraine Schembri Orland,</w:t>
      </w:r>
      <w:r w:rsidRPr="00640F03" w:rsidR="00175708">
        <w:rPr>
          <w:i/>
          <w:iCs/>
          <w:lang w:val="fr-FR"/>
        </w:rPr>
        <w:t xml:space="preserve"> juges</w:t>
      </w:r>
      <w:r w:rsidRPr="00640F03" w:rsidR="00175708">
        <w:rPr>
          <w:lang w:val="fr-FR"/>
        </w:rPr>
        <w:t>,</w:t>
      </w:r>
      <w:r w:rsidRPr="00640F03">
        <w:rPr>
          <w:lang w:val="fr-FR"/>
        </w:rPr>
        <w:br/>
      </w:r>
      <w:r w:rsidRPr="00640F03" w:rsidR="00175708">
        <w:rPr>
          <w:lang w:val="fr-FR"/>
        </w:rPr>
        <w:t xml:space="preserve">et de Johan Callewaert, </w:t>
      </w:r>
      <w:r w:rsidRPr="00640F03" w:rsidR="00175708">
        <w:rPr>
          <w:i/>
          <w:iCs/>
          <w:lang w:val="fr-FR"/>
        </w:rPr>
        <w:t>greffier adjoint de la Grande Chambre</w:t>
      </w:r>
      <w:r w:rsidRPr="00640F03" w:rsidR="00175708">
        <w:rPr>
          <w:lang w:val="fr-FR"/>
        </w:rPr>
        <w:t>,</w:t>
      </w:r>
    </w:p>
    <w:p w:rsidRPr="00640F03" w:rsidR="00175708" w:rsidP="00640F03" w:rsidRDefault="00175708" w14:paraId="1FB26745" w14:textId="78DA322B">
      <w:pPr>
        <w:pStyle w:val="JuPara"/>
        <w:rPr>
          <w:lang w:val="fr-FR"/>
        </w:rPr>
      </w:pPr>
      <w:r w:rsidRPr="00640F03">
        <w:rPr>
          <w:lang w:val="fr-FR"/>
        </w:rPr>
        <w:t>Après en avoir délibéré en chambre du conseil les 10</w:t>
      </w:r>
      <w:r w:rsidRPr="00640F03" w:rsidR="00A35581">
        <w:rPr>
          <w:lang w:val="fr-FR"/>
        </w:rPr>
        <w:t> </w:t>
      </w:r>
      <w:r w:rsidRPr="00640F03">
        <w:rPr>
          <w:lang w:val="fr-FR"/>
        </w:rPr>
        <w:t>février et 9</w:t>
      </w:r>
      <w:r w:rsidRPr="00640F03" w:rsidR="00A35581">
        <w:rPr>
          <w:lang w:val="fr-FR"/>
        </w:rPr>
        <w:t> </w:t>
      </w:r>
      <w:r w:rsidRPr="00640F03">
        <w:rPr>
          <w:lang w:val="fr-FR"/>
        </w:rPr>
        <w:t>juin 2021,</w:t>
      </w:r>
    </w:p>
    <w:p w:rsidRPr="00640F03" w:rsidR="00F6518C" w:rsidP="00640F03" w:rsidRDefault="00175708" w14:paraId="453FD814" w14:textId="3F430E8F">
      <w:pPr>
        <w:pStyle w:val="JuPara"/>
        <w:rPr>
          <w:rFonts w:eastAsia="Times New Roman"/>
          <w:lang w:val="fr-FR"/>
        </w:rPr>
      </w:pPr>
      <w:r w:rsidRPr="00640F03">
        <w:rPr>
          <w:lang w:val="fr-FR"/>
        </w:rPr>
        <w:t xml:space="preserve">Rend la décision que voici, adoptée </w:t>
      </w:r>
      <w:r w:rsidRPr="00640F03" w:rsidR="00922786">
        <w:rPr>
          <w:lang w:val="fr-FR"/>
        </w:rPr>
        <w:t>à cette dernière date</w:t>
      </w:r>
      <w:r w:rsidRPr="00640F03">
        <w:rPr>
          <w:lang w:val="fr-FR"/>
        </w:rPr>
        <w:t> :</w:t>
      </w:r>
    </w:p>
    <w:p w:rsidRPr="00640F03" w:rsidR="00F6518C" w:rsidP="00640F03" w:rsidRDefault="00F6518C" w14:paraId="3D513EE6" w14:textId="066E6EBD">
      <w:pPr>
        <w:pStyle w:val="JuHHead"/>
        <w:rPr>
          <w:rFonts w:eastAsia="MingLiU"/>
          <w:lang w:val="fr-FR"/>
        </w:rPr>
      </w:pPr>
      <w:bookmarkStart w:name="_Toc59466896" w:id="3"/>
      <w:bookmarkStart w:name="_Toc61622453" w:id="4"/>
      <w:r w:rsidRPr="00640F03">
        <w:rPr>
          <w:rFonts w:eastAsia="MingLiU"/>
          <w:lang w:val="fr-FR"/>
        </w:rPr>
        <w:t>PROC</w:t>
      </w:r>
      <w:r w:rsidRPr="00640F03" w:rsidR="00922786">
        <w:rPr>
          <w:rFonts w:eastAsia="MingLiU"/>
          <w:lang w:val="fr-FR"/>
        </w:rPr>
        <w:t>É</w:t>
      </w:r>
      <w:r w:rsidRPr="00640F03">
        <w:rPr>
          <w:rFonts w:eastAsia="MingLiU"/>
          <w:lang w:val="fr-FR"/>
        </w:rPr>
        <w:t>DURE</w:t>
      </w:r>
      <w:bookmarkEnd w:id="3"/>
      <w:bookmarkEnd w:id="4"/>
    </w:p>
    <w:p w:rsidRPr="00640F03" w:rsidR="007C0232" w:rsidP="00640F03" w:rsidRDefault="00F6518C" w14:paraId="007B600C" w14:textId="0B3B107B">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w:t>
      </w:r>
      <w:r w:rsidRPr="00640F03">
        <w:rPr>
          <w:lang w:val="fr-FR"/>
        </w:rPr>
        <w:fldChar w:fldCharType="end"/>
      </w:r>
      <w:r w:rsidRPr="00640F03">
        <w:rPr>
          <w:lang w:val="fr-FR"/>
        </w:rPr>
        <w:t>.  </w:t>
      </w:r>
      <w:r w:rsidRPr="00640F03" w:rsidR="00922786">
        <w:rPr>
          <w:lang w:val="fr-FR"/>
        </w:rPr>
        <w:t>Par une lettre du 3</w:t>
      </w:r>
      <w:r w:rsidRPr="00640F03" w:rsidR="00A35581">
        <w:rPr>
          <w:lang w:val="fr-FR"/>
        </w:rPr>
        <w:t> </w:t>
      </w:r>
      <w:r w:rsidRPr="00640F03" w:rsidR="00922786">
        <w:rPr>
          <w:lang w:val="fr-FR"/>
        </w:rPr>
        <w:t>décembre 2019, le président du Comité de Bioéthique du Conseil de l</w:t>
      </w:r>
      <w:r w:rsidRPr="00640F03" w:rsidR="00640F03">
        <w:rPr>
          <w:lang w:val="fr-FR"/>
        </w:rPr>
        <w:t>’</w:t>
      </w:r>
      <w:r w:rsidRPr="00640F03" w:rsidR="00922786">
        <w:rPr>
          <w:lang w:val="fr-FR"/>
        </w:rPr>
        <w:t>Europe (« le DH-BIO ») a informé le président de la Cour européenne des droits de l</w:t>
      </w:r>
      <w:r w:rsidRPr="00640F03" w:rsidR="00640F03">
        <w:rPr>
          <w:lang w:val="fr-FR"/>
        </w:rPr>
        <w:t>’</w:t>
      </w:r>
      <w:r w:rsidRPr="00640F03" w:rsidR="00922786">
        <w:rPr>
          <w:lang w:val="fr-FR"/>
        </w:rPr>
        <w:t>homme (« la Cour ») de la décision du Comité, adoptée dans sa composition restreinte aux représentants des Parties à la Convention pour la protection des droits de l</w:t>
      </w:r>
      <w:r w:rsidRPr="00640F03" w:rsidR="00640F03">
        <w:rPr>
          <w:lang w:val="fr-FR"/>
        </w:rPr>
        <w:t>’</w:t>
      </w:r>
      <w:r w:rsidRPr="00640F03" w:rsidR="00922786">
        <w:rPr>
          <w:lang w:val="fr-FR"/>
        </w:rPr>
        <w:t>homme et de la dignité de l</w:t>
      </w:r>
      <w:r w:rsidRPr="00640F03" w:rsidR="00640F03">
        <w:rPr>
          <w:lang w:val="fr-FR"/>
        </w:rPr>
        <w:t>’</w:t>
      </w:r>
      <w:r w:rsidRPr="00640F03" w:rsidR="00922786">
        <w:rPr>
          <w:lang w:val="fr-FR"/>
        </w:rPr>
        <w:t>être humain à l</w:t>
      </w:r>
      <w:r w:rsidRPr="00640F03" w:rsidR="00640F03">
        <w:rPr>
          <w:lang w:val="fr-FR"/>
        </w:rPr>
        <w:t>’</w:t>
      </w:r>
      <w:r w:rsidRPr="00640F03" w:rsidR="00922786">
        <w:rPr>
          <w:lang w:val="fr-FR"/>
        </w:rPr>
        <w:t>égard des applications de la biologie et de la médecine : Convention sur les droits de l</w:t>
      </w:r>
      <w:r w:rsidRPr="00640F03" w:rsidR="00640F03">
        <w:rPr>
          <w:lang w:val="fr-FR"/>
        </w:rPr>
        <w:t>’</w:t>
      </w:r>
      <w:r w:rsidRPr="00640F03" w:rsidR="00922786">
        <w:rPr>
          <w:lang w:val="fr-FR"/>
        </w:rPr>
        <w:t>homme et la biomédecine (« la Convention d</w:t>
      </w:r>
      <w:r w:rsidRPr="00640F03" w:rsidR="00640F03">
        <w:rPr>
          <w:lang w:val="fr-FR"/>
        </w:rPr>
        <w:t>’</w:t>
      </w:r>
      <w:r w:rsidRPr="00640F03" w:rsidR="00922786">
        <w:rPr>
          <w:lang w:val="fr-FR"/>
        </w:rPr>
        <w:t>Oviedo »), de demander à la Cour un avis consultatif au titre de l</w:t>
      </w:r>
      <w:r w:rsidRPr="00640F03" w:rsidR="00640F03">
        <w:rPr>
          <w:lang w:val="fr-FR"/>
        </w:rPr>
        <w:t>’</w:t>
      </w:r>
      <w:r w:rsidRPr="00640F03" w:rsidR="00922786">
        <w:rPr>
          <w:lang w:val="fr-FR"/>
        </w:rPr>
        <w:t>article 29 de la Convention d</w:t>
      </w:r>
      <w:r w:rsidRPr="00640F03" w:rsidR="00640F03">
        <w:rPr>
          <w:lang w:val="fr-FR"/>
        </w:rPr>
        <w:t>’</w:t>
      </w:r>
      <w:r w:rsidRPr="00640F03" w:rsidR="00922786">
        <w:rPr>
          <w:lang w:val="fr-FR"/>
        </w:rPr>
        <w:t>Oviedo. La demande était ainsi libellée :</w:t>
      </w:r>
    </w:p>
    <w:p w:rsidRPr="00640F03" w:rsidR="00922786" w:rsidP="00640F03" w:rsidRDefault="00922786" w14:paraId="6325F1A3" w14:textId="554C9C8B">
      <w:pPr>
        <w:pStyle w:val="JuQuot"/>
        <w:rPr>
          <w:lang w:val="fr-FR"/>
        </w:rPr>
      </w:pPr>
      <w:r w:rsidRPr="00640F03">
        <w:rPr>
          <w:lang w:val="fr-FR"/>
        </w:rPr>
        <w:t>« Conformément à l</w:t>
      </w:r>
      <w:r w:rsidRPr="00640F03" w:rsidR="00640F03">
        <w:rPr>
          <w:lang w:val="fr-FR"/>
        </w:rPr>
        <w:t>’</w:t>
      </w:r>
      <w:r w:rsidRPr="00640F03">
        <w:rPr>
          <w:lang w:val="fr-FR"/>
        </w:rPr>
        <w:t>article</w:t>
      </w:r>
      <w:r w:rsidRPr="00640F03" w:rsidR="00A35581">
        <w:rPr>
          <w:lang w:val="fr-FR"/>
        </w:rPr>
        <w:t> </w:t>
      </w:r>
      <w:r w:rsidRPr="00640F03">
        <w:rPr>
          <w:lang w:val="fr-FR"/>
        </w:rPr>
        <w:t>29 de la Convention sur les droits de l</w:t>
      </w:r>
      <w:r w:rsidRPr="00640F03" w:rsidR="00640F03">
        <w:rPr>
          <w:lang w:val="fr-FR"/>
        </w:rPr>
        <w:t>’</w:t>
      </w:r>
      <w:r w:rsidRPr="00640F03">
        <w:rPr>
          <w:lang w:val="fr-FR"/>
        </w:rPr>
        <w:t>homme et la biomédecine (STE n</w:t>
      </w:r>
      <w:r w:rsidRPr="00640F03">
        <w:rPr>
          <w:vertAlign w:val="superscript"/>
          <w:lang w:val="fr-FR"/>
        </w:rPr>
        <w:t>o</w:t>
      </w:r>
      <w:r w:rsidRPr="00640F03" w:rsidR="00A35581">
        <w:rPr>
          <w:lang w:val="fr-FR"/>
        </w:rPr>
        <w:t> </w:t>
      </w:r>
      <w:r w:rsidRPr="00640F03">
        <w:rPr>
          <w:lang w:val="fr-FR"/>
        </w:rPr>
        <w:t>164, « la Convention d</w:t>
      </w:r>
      <w:r w:rsidRPr="00640F03" w:rsidR="00640F03">
        <w:rPr>
          <w:lang w:val="fr-FR"/>
        </w:rPr>
        <w:t>’</w:t>
      </w:r>
      <w:r w:rsidRPr="00640F03">
        <w:rPr>
          <w:lang w:val="fr-FR"/>
        </w:rPr>
        <w:t>Oviedo »), le Comité de bioéthique, dans sa composition restreinte aux représentants des Parties à la Convention d</w:t>
      </w:r>
      <w:r w:rsidRPr="00640F03" w:rsidR="00640F03">
        <w:rPr>
          <w:lang w:val="fr-FR"/>
        </w:rPr>
        <w:t>’</w:t>
      </w:r>
      <w:r w:rsidRPr="00640F03">
        <w:rPr>
          <w:lang w:val="fr-FR"/>
        </w:rPr>
        <w:t>Oviedo, demande à la Cour européenne des droits de l</w:t>
      </w:r>
      <w:r w:rsidRPr="00640F03" w:rsidR="00640F03">
        <w:rPr>
          <w:lang w:val="fr-FR"/>
        </w:rPr>
        <w:t>’</w:t>
      </w:r>
      <w:r w:rsidRPr="00640F03">
        <w:rPr>
          <w:lang w:val="fr-FR"/>
        </w:rPr>
        <w:t>homme de donner un avis consultatif sur les questions juridiques suivantes relatives à l</w:t>
      </w:r>
      <w:r w:rsidRPr="00640F03" w:rsidR="00640F03">
        <w:rPr>
          <w:lang w:val="fr-FR"/>
        </w:rPr>
        <w:t>’</w:t>
      </w:r>
      <w:r w:rsidRPr="00640F03">
        <w:rPr>
          <w:lang w:val="fr-FR"/>
        </w:rPr>
        <w:t>interprétation de la Convention d</w:t>
      </w:r>
      <w:r w:rsidRPr="00640F03" w:rsidR="00640F03">
        <w:rPr>
          <w:lang w:val="fr-FR"/>
        </w:rPr>
        <w:t>’</w:t>
      </w:r>
      <w:r w:rsidRPr="00640F03">
        <w:rPr>
          <w:lang w:val="fr-FR"/>
        </w:rPr>
        <w:t>Oviedo, vu la Convention européenne des droits de l</w:t>
      </w:r>
      <w:r w:rsidRPr="00640F03" w:rsidR="00640F03">
        <w:rPr>
          <w:lang w:val="fr-FR"/>
        </w:rPr>
        <w:t>’</w:t>
      </w:r>
      <w:r w:rsidRPr="00640F03">
        <w:rPr>
          <w:lang w:val="fr-FR"/>
        </w:rPr>
        <w:t>homme, la jurisprudence pertinente de la Cour européenne des droits de l</w:t>
      </w:r>
      <w:r w:rsidRPr="00640F03" w:rsidR="00640F03">
        <w:rPr>
          <w:lang w:val="fr-FR"/>
        </w:rPr>
        <w:t>’</w:t>
      </w:r>
      <w:r w:rsidRPr="00640F03">
        <w:rPr>
          <w:lang w:val="fr-FR"/>
        </w:rPr>
        <w:t>homme et la Convention d</w:t>
      </w:r>
      <w:r w:rsidRPr="00640F03" w:rsidR="00640F03">
        <w:rPr>
          <w:lang w:val="fr-FR"/>
        </w:rPr>
        <w:t>’</w:t>
      </w:r>
      <w:r w:rsidRPr="00640F03">
        <w:rPr>
          <w:lang w:val="fr-FR"/>
        </w:rPr>
        <w:t>Oviedo :</w:t>
      </w:r>
    </w:p>
    <w:p w:rsidRPr="00640F03" w:rsidR="00922786" w:rsidP="00640F03" w:rsidRDefault="00922786" w14:paraId="41B3E0DE" w14:textId="51B621FB">
      <w:pPr>
        <w:pStyle w:val="JuQuot"/>
        <w:rPr>
          <w:lang w:val="fr-FR"/>
        </w:rPr>
      </w:pPr>
      <w:r w:rsidRPr="00640F03">
        <w:rPr>
          <w:lang w:val="fr-FR"/>
        </w:rPr>
        <w:t>1)  À la lumière de l</w:t>
      </w:r>
      <w:r w:rsidRPr="00640F03" w:rsidR="00640F03">
        <w:rPr>
          <w:lang w:val="fr-FR"/>
        </w:rPr>
        <w:t>’</w:t>
      </w:r>
      <w:r w:rsidRPr="00640F03">
        <w:rPr>
          <w:lang w:val="fr-FR"/>
        </w:rPr>
        <w:t>objectif de la Convention d</w:t>
      </w:r>
      <w:r w:rsidRPr="00640F03" w:rsidR="00640F03">
        <w:rPr>
          <w:lang w:val="fr-FR"/>
        </w:rPr>
        <w:t>’</w:t>
      </w:r>
      <w:r w:rsidRPr="00640F03">
        <w:rPr>
          <w:lang w:val="fr-FR"/>
        </w:rPr>
        <w:t>Oviedo de « [garantir] à toute personne, sans discrimination, le respect de son intégrité » (Article</w:t>
      </w:r>
      <w:r w:rsidRPr="00640F03" w:rsidR="00A35581">
        <w:rPr>
          <w:lang w:val="fr-FR"/>
        </w:rPr>
        <w:t> </w:t>
      </w:r>
      <w:r w:rsidRPr="00640F03">
        <w:rPr>
          <w:lang w:val="fr-FR"/>
        </w:rPr>
        <w:t>1 de la Convention d</w:t>
      </w:r>
      <w:r w:rsidRPr="00640F03" w:rsidR="00640F03">
        <w:rPr>
          <w:lang w:val="fr-FR"/>
        </w:rPr>
        <w:t>’</w:t>
      </w:r>
      <w:r w:rsidRPr="00640F03">
        <w:rPr>
          <w:lang w:val="fr-FR"/>
        </w:rPr>
        <w:t>Oviedo), quelles sont les « conditions de protection » visées à l</w:t>
      </w:r>
      <w:r w:rsidRPr="00640F03" w:rsidR="00640F03">
        <w:rPr>
          <w:lang w:val="fr-FR"/>
        </w:rPr>
        <w:t>’</w:t>
      </w:r>
      <w:r w:rsidRPr="00640F03">
        <w:rPr>
          <w:lang w:val="fr-FR"/>
        </w:rPr>
        <w:t>article</w:t>
      </w:r>
      <w:r w:rsidRPr="00640F03" w:rsidR="00A35581">
        <w:rPr>
          <w:lang w:val="fr-FR"/>
        </w:rPr>
        <w:t> </w:t>
      </w:r>
      <w:r w:rsidRPr="00640F03">
        <w:rPr>
          <w:lang w:val="fr-FR"/>
        </w:rPr>
        <w:t>7 de la Convention d</w:t>
      </w:r>
      <w:r w:rsidRPr="00640F03" w:rsidR="00640F03">
        <w:rPr>
          <w:lang w:val="fr-FR"/>
        </w:rPr>
        <w:t>’</w:t>
      </w:r>
      <w:r w:rsidRPr="00640F03">
        <w:rPr>
          <w:lang w:val="fr-FR"/>
        </w:rPr>
        <w:t>Oviedo qui doivent être prévues par la loi dans les États membres pour répondre aux exigences minimales de protection ?</w:t>
      </w:r>
    </w:p>
    <w:p w:rsidRPr="00640F03" w:rsidR="00F6518C" w:rsidP="00640F03" w:rsidRDefault="00922786" w14:paraId="5592B3D1" w14:textId="15AEC52E">
      <w:pPr>
        <w:pStyle w:val="JuQuot"/>
        <w:rPr>
          <w:lang w:val="fr-FR"/>
        </w:rPr>
      </w:pPr>
      <w:r w:rsidRPr="00640F03">
        <w:rPr>
          <w:lang w:val="fr-FR"/>
        </w:rPr>
        <w:t>2)  Dans le cas du traitement d</w:t>
      </w:r>
      <w:r w:rsidRPr="00640F03" w:rsidR="00640F03">
        <w:rPr>
          <w:lang w:val="fr-FR"/>
        </w:rPr>
        <w:t>’</w:t>
      </w:r>
      <w:r w:rsidRPr="00640F03">
        <w:rPr>
          <w:lang w:val="fr-FR"/>
        </w:rPr>
        <w:t>un trouble mental sans le consentement de la personne concernée dans le but de protéger autrui</w:t>
      </w:r>
      <w:r w:rsidRPr="00640F03">
        <w:rPr>
          <w:i/>
          <w:iCs/>
          <w:lang w:val="fr-FR"/>
        </w:rPr>
        <w:t xml:space="preserve"> </w:t>
      </w:r>
      <w:r w:rsidRPr="00640F03">
        <w:rPr>
          <w:lang w:val="fr-FR"/>
        </w:rPr>
        <w:t>contre un préjudice grave (voir l</w:t>
      </w:r>
      <w:r w:rsidRPr="00640F03" w:rsidR="00640F03">
        <w:rPr>
          <w:lang w:val="fr-FR"/>
        </w:rPr>
        <w:t>’</w:t>
      </w:r>
      <w:r w:rsidRPr="00640F03">
        <w:rPr>
          <w:lang w:val="fr-FR"/>
        </w:rPr>
        <w:t>article</w:t>
      </w:r>
      <w:r w:rsidRPr="00640F03" w:rsidR="00A35581">
        <w:rPr>
          <w:lang w:val="fr-FR"/>
        </w:rPr>
        <w:t> </w:t>
      </w:r>
      <w:r w:rsidRPr="00640F03">
        <w:rPr>
          <w:lang w:val="fr-FR"/>
        </w:rPr>
        <w:t>26 §</w:t>
      </w:r>
      <w:r w:rsidRPr="00640F03" w:rsidR="00A35581">
        <w:rPr>
          <w:lang w:val="fr-FR"/>
        </w:rPr>
        <w:t> </w:t>
      </w:r>
      <w:r w:rsidRPr="00640F03">
        <w:rPr>
          <w:lang w:val="fr-FR"/>
        </w:rPr>
        <w:t>1 de la Convention d</w:t>
      </w:r>
      <w:r w:rsidRPr="00640F03" w:rsidR="00640F03">
        <w:rPr>
          <w:lang w:val="fr-FR"/>
        </w:rPr>
        <w:t>’</w:t>
      </w:r>
      <w:r w:rsidRPr="00640F03">
        <w:rPr>
          <w:lang w:val="fr-FR"/>
        </w:rPr>
        <w:t>Oviedo), qui ne relève donc pas du champ d</w:t>
      </w:r>
      <w:r w:rsidRPr="00640F03" w:rsidR="00640F03">
        <w:rPr>
          <w:lang w:val="fr-FR"/>
        </w:rPr>
        <w:t>’</w:t>
      </w:r>
      <w:r w:rsidRPr="00640F03">
        <w:rPr>
          <w:lang w:val="fr-FR"/>
        </w:rPr>
        <w:t>application de l</w:t>
      </w:r>
      <w:r w:rsidRPr="00640F03" w:rsidR="00640F03">
        <w:rPr>
          <w:lang w:val="fr-FR"/>
        </w:rPr>
        <w:t>’</w:t>
      </w:r>
      <w:r w:rsidRPr="00640F03">
        <w:rPr>
          <w:lang w:val="fr-FR"/>
        </w:rPr>
        <w:t>article 7 de la Convention d</w:t>
      </w:r>
      <w:r w:rsidRPr="00640F03" w:rsidR="00640F03">
        <w:rPr>
          <w:lang w:val="fr-FR"/>
        </w:rPr>
        <w:t>’</w:t>
      </w:r>
      <w:r w:rsidRPr="00640F03">
        <w:rPr>
          <w:lang w:val="fr-FR"/>
        </w:rPr>
        <w:t>Oviedo, les mêmes conditions de protection que celles mentionnées dans la question 1) devraient-elles s</w:t>
      </w:r>
      <w:r w:rsidRPr="00640F03" w:rsidR="00640F03">
        <w:rPr>
          <w:lang w:val="fr-FR"/>
        </w:rPr>
        <w:t>’</w:t>
      </w:r>
      <w:r w:rsidRPr="00640F03">
        <w:rPr>
          <w:lang w:val="fr-FR"/>
        </w:rPr>
        <w:t>appliquer ? »</w:t>
      </w:r>
    </w:p>
    <w:p w:rsidRPr="00640F03" w:rsidR="00F6518C" w:rsidP="00640F03" w:rsidRDefault="00F6518C" w14:paraId="78093084" w14:textId="691AA749">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2</w:t>
      </w:r>
      <w:r w:rsidRPr="00640F03">
        <w:rPr>
          <w:lang w:val="fr-FR"/>
        </w:rPr>
        <w:fldChar w:fldCharType="end"/>
      </w:r>
      <w:r w:rsidRPr="00640F03">
        <w:rPr>
          <w:lang w:val="fr-FR"/>
        </w:rPr>
        <w:t>.  </w:t>
      </w:r>
      <w:r w:rsidRPr="00640F03" w:rsidR="00922786">
        <w:rPr>
          <w:lang w:val="fr-FR"/>
        </w:rPr>
        <w:t>À l</w:t>
      </w:r>
      <w:r w:rsidRPr="00640F03" w:rsidR="00640F03">
        <w:rPr>
          <w:lang w:val="fr-FR"/>
        </w:rPr>
        <w:t>’</w:t>
      </w:r>
      <w:r w:rsidRPr="00640F03" w:rsidR="00922786">
        <w:rPr>
          <w:lang w:val="fr-FR"/>
        </w:rPr>
        <w:t>appui de sa demande, le DH-BIO a donné l</w:t>
      </w:r>
      <w:r w:rsidRPr="00640F03" w:rsidR="00640F03">
        <w:rPr>
          <w:lang w:val="fr-FR"/>
        </w:rPr>
        <w:t>’</w:t>
      </w:r>
      <w:r w:rsidRPr="00640F03" w:rsidR="00922786">
        <w:rPr>
          <w:lang w:val="fr-FR"/>
        </w:rPr>
        <w:t>explication suivante :</w:t>
      </w:r>
    </w:p>
    <w:p w:rsidRPr="00640F03" w:rsidR="006E0F85" w:rsidP="00640F03" w:rsidRDefault="00922786" w14:paraId="34BAF53E" w14:textId="56F5FDA4">
      <w:pPr>
        <w:pStyle w:val="JuQuot"/>
        <w:rPr>
          <w:lang w:val="fr-FR"/>
        </w:rPr>
      </w:pPr>
      <w:r w:rsidRPr="00640F03">
        <w:rPr>
          <w:lang w:val="fr-FR"/>
        </w:rPr>
        <w:t>« Les deux questions visent à clarifier certains aspects de l</w:t>
      </w:r>
      <w:r w:rsidRPr="00640F03" w:rsidR="00640F03">
        <w:rPr>
          <w:lang w:val="fr-FR"/>
        </w:rPr>
        <w:t>’</w:t>
      </w:r>
      <w:r w:rsidRPr="00640F03">
        <w:rPr>
          <w:lang w:val="fr-FR"/>
        </w:rPr>
        <w:t>interprétation juridique de l</w:t>
      </w:r>
      <w:r w:rsidRPr="00640F03" w:rsidR="00640F03">
        <w:rPr>
          <w:lang w:val="fr-FR"/>
        </w:rPr>
        <w:t>’</w:t>
      </w:r>
      <w:r w:rsidRPr="00640F03">
        <w:rPr>
          <w:lang w:val="fr-FR"/>
        </w:rPr>
        <w:t>article</w:t>
      </w:r>
      <w:r w:rsidRPr="00640F03" w:rsidR="00A35581">
        <w:rPr>
          <w:lang w:val="fr-FR"/>
        </w:rPr>
        <w:t> </w:t>
      </w:r>
      <w:r w:rsidRPr="00640F03">
        <w:rPr>
          <w:lang w:val="fr-FR"/>
        </w:rPr>
        <w:t>7 de la Convention d</w:t>
      </w:r>
      <w:r w:rsidRPr="00640F03" w:rsidR="00640F03">
        <w:rPr>
          <w:lang w:val="fr-FR"/>
        </w:rPr>
        <w:t>’</w:t>
      </w:r>
      <w:r w:rsidRPr="00640F03">
        <w:rPr>
          <w:lang w:val="fr-FR"/>
        </w:rPr>
        <w:t>Oviedo, dans le but d</w:t>
      </w:r>
      <w:r w:rsidRPr="00640F03" w:rsidR="00640F03">
        <w:rPr>
          <w:lang w:val="fr-FR"/>
        </w:rPr>
        <w:t>’</w:t>
      </w:r>
      <w:r w:rsidRPr="00640F03">
        <w:rPr>
          <w:lang w:val="fr-FR"/>
        </w:rPr>
        <w:t>éclairer les actuels et futurs travaux du DH-BIO en la matière.</w:t>
      </w:r>
    </w:p>
    <w:p w:rsidRPr="00640F03" w:rsidR="00922786" w:rsidP="00640F03" w:rsidRDefault="00922786" w14:paraId="3485D036" w14:textId="3E9C1EB9">
      <w:pPr>
        <w:pStyle w:val="JuQuot"/>
        <w:rPr>
          <w:lang w:val="fr-FR"/>
        </w:rPr>
      </w:pPr>
      <w:r w:rsidRPr="00640F03">
        <w:rPr>
          <w:lang w:val="fr-FR"/>
        </w:rPr>
        <w:t>La première question proposée a pour objectif d</w:t>
      </w:r>
      <w:r w:rsidRPr="00640F03" w:rsidR="00640F03">
        <w:rPr>
          <w:lang w:val="fr-FR"/>
        </w:rPr>
        <w:t>’</w:t>
      </w:r>
      <w:r w:rsidRPr="00640F03">
        <w:rPr>
          <w:lang w:val="fr-FR"/>
        </w:rPr>
        <w:t>obtenir des éclaircissements, fondés sur l</w:t>
      </w:r>
      <w:r w:rsidRPr="00640F03" w:rsidR="00640F03">
        <w:rPr>
          <w:lang w:val="fr-FR"/>
        </w:rPr>
        <w:t>’</w:t>
      </w:r>
      <w:r w:rsidRPr="00640F03">
        <w:rPr>
          <w:lang w:val="fr-FR"/>
        </w:rPr>
        <w:t>ensemble de la jurisprudence pertinente de la Cour, quant aux exigences auxquelles doivent répondre ces « conditions de protection » visées à l</w:t>
      </w:r>
      <w:r w:rsidRPr="00640F03" w:rsidR="00640F03">
        <w:rPr>
          <w:lang w:val="fr-FR"/>
        </w:rPr>
        <w:t>’</w:t>
      </w:r>
      <w:r w:rsidRPr="00640F03" w:rsidR="00EE08C4">
        <w:rPr>
          <w:lang w:val="fr-FR"/>
        </w:rPr>
        <w:t>a</w:t>
      </w:r>
      <w:r w:rsidRPr="00640F03">
        <w:rPr>
          <w:lang w:val="fr-FR"/>
        </w:rPr>
        <w:t>rticle</w:t>
      </w:r>
      <w:r w:rsidRPr="00640F03" w:rsidR="00A35581">
        <w:rPr>
          <w:lang w:val="fr-FR"/>
        </w:rPr>
        <w:t> </w:t>
      </w:r>
      <w:r w:rsidRPr="00640F03">
        <w:rPr>
          <w:lang w:val="fr-FR"/>
        </w:rPr>
        <w:t>7 pour protéger efficacement les droits de l</w:t>
      </w:r>
      <w:r w:rsidRPr="00640F03" w:rsidR="00640F03">
        <w:rPr>
          <w:lang w:val="fr-FR"/>
        </w:rPr>
        <w:t>’</w:t>
      </w:r>
      <w:r w:rsidRPr="00640F03">
        <w:rPr>
          <w:lang w:val="fr-FR"/>
        </w:rPr>
        <w:t>homme de la personne concernée et protéger son intégrité.</w:t>
      </w:r>
    </w:p>
    <w:p w:rsidRPr="00640F03" w:rsidR="006E0F85" w:rsidP="00640F03" w:rsidRDefault="00922786" w14:paraId="721B2A1F" w14:textId="530572BB">
      <w:pPr>
        <w:pStyle w:val="JuQuot"/>
        <w:rPr>
          <w:lang w:val="fr-FR"/>
        </w:rPr>
      </w:pPr>
      <w:r w:rsidRPr="00640F03">
        <w:rPr>
          <w:lang w:val="fr-FR"/>
        </w:rPr>
        <w:t>L</w:t>
      </w:r>
      <w:r w:rsidRPr="00640F03" w:rsidR="00640F03">
        <w:rPr>
          <w:lang w:val="fr-FR"/>
        </w:rPr>
        <w:t>’</w:t>
      </w:r>
      <w:r w:rsidRPr="00640F03">
        <w:rPr>
          <w:lang w:val="fr-FR"/>
        </w:rPr>
        <w:t>article</w:t>
      </w:r>
      <w:r w:rsidRPr="00640F03" w:rsidR="00A35581">
        <w:rPr>
          <w:lang w:val="fr-FR"/>
        </w:rPr>
        <w:t> </w:t>
      </w:r>
      <w:r w:rsidRPr="00640F03">
        <w:rPr>
          <w:lang w:val="fr-FR"/>
        </w:rPr>
        <w:t>7 de la Convention d</w:t>
      </w:r>
      <w:r w:rsidRPr="00640F03" w:rsidR="00640F03">
        <w:rPr>
          <w:lang w:val="fr-FR"/>
        </w:rPr>
        <w:t>’</w:t>
      </w:r>
      <w:r w:rsidRPr="00640F03">
        <w:rPr>
          <w:lang w:val="fr-FR"/>
        </w:rPr>
        <w:t>Oviedo limite expressément le traitement involontaire d</w:t>
      </w:r>
      <w:r w:rsidRPr="00640F03" w:rsidR="00640F03">
        <w:rPr>
          <w:lang w:val="fr-FR"/>
        </w:rPr>
        <w:t>’</w:t>
      </w:r>
      <w:r w:rsidRPr="00640F03">
        <w:rPr>
          <w:lang w:val="fr-FR"/>
        </w:rPr>
        <w:t>une personne souffrant d</w:t>
      </w:r>
      <w:r w:rsidRPr="00640F03" w:rsidR="00640F03">
        <w:rPr>
          <w:lang w:val="fr-FR"/>
        </w:rPr>
        <w:t>’</w:t>
      </w:r>
      <w:r w:rsidRPr="00640F03">
        <w:rPr>
          <w:lang w:val="fr-FR"/>
        </w:rPr>
        <w:t>un trouble mental dans le cas où un tel traitement est nécessaire pour prévenir un préjudice grave pour la santé de cette personne. Ainsi, l</w:t>
      </w:r>
      <w:r w:rsidRPr="00640F03" w:rsidR="00640F03">
        <w:rPr>
          <w:lang w:val="fr-FR"/>
        </w:rPr>
        <w:t>’</w:t>
      </w:r>
      <w:r w:rsidRPr="00640F03">
        <w:rPr>
          <w:lang w:val="fr-FR"/>
        </w:rPr>
        <w:t xml:space="preserve">article 7 ne prévoit pas de traitement involontaire dans les cas où un tel traitement peut être nécessaire pour éviter tout préjudice grave à </w:t>
      </w:r>
      <w:r w:rsidRPr="00640F03">
        <w:rPr>
          <w:i/>
          <w:iCs/>
          <w:lang w:val="fr-FR"/>
        </w:rPr>
        <w:t>autrui</w:t>
      </w:r>
      <w:r w:rsidRPr="00640F03">
        <w:rPr>
          <w:lang w:val="fr-FR"/>
        </w:rPr>
        <w:t>.</w:t>
      </w:r>
    </w:p>
    <w:p w:rsidRPr="00640F03" w:rsidR="006E0F85" w:rsidP="00640F03" w:rsidRDefault="00922786" w14:paraId="08534977" w14:textId="11F13A52">
      <w:pPr>
        <w:pStyle w:val="JuQuot"/>
        <w:rPr>
          <w:lang w:val="fr-FR"/>
        </w:rPr>
      </w:pPr>
      <w:r w:rsidRPr="00640F03">
        <w:rPr>
          <w:lang w:val="fr-FR"/>
        </w:rPr>
        <w:t>Selon le paragraphe</w:t>
      </w:r>
      <w:r w:rsidRPr="00640F03" w:rsidR="00A35581">
        <w:rPr>
          <w:lang w:val="fr-FR"/>
        </w:rPr>
        <w:t> </w:t>
      </w:r>
      <w:r w:rsidRPr="00640F03">
        <w:rPr>
          <w:lang w:val="fr-FR"/>
        </w:rPr>
        <w:t>151 du rapport explicatif de la Convention d</w:t>
      </w:r>
      <w:r w:rsidRPr="00640F03" w:rsidR="00640F03">
        <w:rPr>
          <w:lang w:val="fr-FR"/>
        </w:rPr>
        <w:t>’</w:t>
      </w:r>
      <w:r w:rsidRPr="00640F03">
        <w:rPr>
          <w:lang w:val="fr-FR"/>
        </w:rPr>
        <w:t>Oviedo, « [l]a personne qui, en raison de ses troubles mentaux, représente une menace d</w:t>
      </w:r>
      <w:r w:rsidRPr="00640F03" w:rsidR="00640F03">
        <w:rPr>
          <w:lang w:val="fr-FR"/>
        </w:rPr>
        <w:t>’</w:t>
      </w:r>
      <w:r w:rsidRPr="00640F03">
        <w:rPr>
          <w:lang w:val="fr-FR"/>
        </w:rPr>
        <w:t>atteinte grave à la sécurité des autres peut, conformément à la loi, être l</w:t>
      </w:r>
      <w:r w:rsidRPr="00640F03" w:rsidR="00640F03">
        <w:rPr>
          <w:lang w:val="fr-FR"/>
        </w:rPr>
        <w:t>’</w:t>
      </w:r>
      <w:r w:rsidRPr="00640F03">
        <w:rPr>
          <w:lang w:val="fr-FR"/>
        </w:rPr>
        <w:t>objet sans son accord d</w:t>
      </w:r>
      <w:r w:rsidRPr="00640F03" w:rsidR="00640F03">
        <w:rPr>
          <w:lang w:val="fr-FR"/>
        </w:rPr>
        <w:t>’</w:t>
      </w:r>
      <w:r w:rsidRPr="00640F03">
        <w:rPr>
          <w:lang w:val="fr-FR"/>
        </w:rPr>
        <w:t>une mesure de placement ou de traitement. Dans ce cas, en plus des cas visés à l</w:t>
      </w:r>
      <w:r w:rsidRPr="00640F03" w:rsidR="00640F03">
        <w:rPr>
          <w:lang w:val="fr-FR"/>
        </w:rPr>
        <w:t>’</w:t>
      </w:r>
      <w:r w:rsidRPr="00640F03">
        <w:rPr>
          <w:lang w:val="fr-FR"/>
        </w:rPr>
        <w:t>article</w:t>
      </w:r>
      <w:r w:rsidRPr="00640F03" w:rsidR="00A35581">
        <w:rPr>
          <w:lang w:val="fr-FR"/>
        </w:rPr>
        <w:t> </w:t>
      </w:r>
      <w:r w:rsidRPr="00640F03">
        <w:rPr>
          <w:lang w:val="fr-FR"/>
        </w:rPr>
        <w:t>7, la restriction fondée sur des motifs de protection des droits et libertés d</w:t>
      </w:r>
      <w:r w:rsidRPr="00640F03" w:rsidR="00640F03">
        <w:rPr>
          <w:lang w:val="fr-FR"/>
        </w:rPr>
        <w:t>’</w:t>
      </w:r>
      <w:r w:rsidRPr="00640F03">
        <w:rPr>
          <w:lang w:val="fr-FR"/>
        </w:rPr>
        <w:t>autrui peut être applicable ».</w:t>
      </w:r>
    </w:p>
    <w:p w:rsidRPr="00640F03" w:rsidR="00F6518C" w:rsidP="00640F03" w:rsidRDefault="00922786" w14:paraId="08640D45" w14:textId="1D25330D">
      <w:pPr>
        <w:pStyle w:val="JuQuot"/>
        <w:rPr>
          <w:lang w:val="fr-FR"/>
        </w:rPr>
      </w:pPr>
      <w:r w:rsidRPr="00640F03">
        <w:rPr>
          <w:lang w:val="fr-FR"/>
        </w:rPr>
        <w:t>La deuxième question vise à préciser les conditions de protection applicables dans ce cas par rapport à celles visées à l</w:t>
      </w:r>
      <w:r w:rsidRPr="00640F03" w:rsidR="00640F03">
        <w:rPr>
          <w:lang w:val="fr-FR"/>
        </w:rPr>
        <w:t>’</w:t>
      </w:r>
      <w:r w:rsidRPr="00640F03">
        <w:rPr>
          <w:lang w:val="fr-FR"/>
        </w:rPr>
        <w:t>article</w:t>
      </w:r>
      <w:r w:rsidRPr="00640F03" w:rsidR="00A35581">
        <w:rPr>
          <w:lang w:val="fr-FR"/>
        </w:rPr>
        <w:t> </w:t>
      </w:r>
      <w:r w:rsidRPr="00640F03">
        <w:rPr>
          <w:lang w:val="fr-FR"/>
        </w:rPr>
        <w:t>7. »</w:t>
      </w:r>
    </w:p>
    <w:p w:rsidRPr="00640F03" w:rsidR="00F6518C" w:rsidP="00640F03" w:rsidRDefault="00F6518C" w14:paraId="015DCFC2" w14:textId="53523AA3">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w:t>
      </w:r>
      <w:r w:rsidRPr="00640F03">
        <w:rPr>
          <w:lang w:val="fr-FR"/>
        </w:rPr>
        <w:fldChar w:fldCharType="end"/>
      </w:r>
      <w:r w:rsidRPr="00640F03">
        <w:rPr>
          <w:lang w:val="fr-FR"/>
        </w:rPr>
        <w:t>.  </w:t>
      </w:r>
      <w:bookmarkStart w:name="_Hlk78382842" w:id="5"/>
      <w:r w:rsidRPr="00640F03" w:rsidR="00922786">
        <w:rPr>
          <w:lang w:val="fr-FR"/>
        </w:rPr>
        <w:t>En l</w:t>
      </w:r>
      <w:r w:rsidRPr="00640F03" w:rsidR="00640F03">
        <w:rPr>
          <w:lang w:val="fr-FR"/>
        </w:rPr>
        <w:t>’</w:t>
      </w:r>
      <w:r w:rsidRPr="00640F03" w:rsidR="00922786">
        <w:rPr>
          <w:lang w:val="fr-FR"/>
        </w:rPr>
        <w:t xml:space="preserve">absence de règles régissant spécifiquement ce type de procédure, le président </w:t>
      </w:r>
      <w:r w:rsidRPr="00640F03" w:rsidR="00C94409">
        <w:rPr>
          <w:lang w:val="fr-FR"/>
        </w:rPr>
        <w:t xml:space="preserve">de la Cour </w:t>
      </w:r>
      <w:r w:rsidRPr="00640F03" w:rsidR="00922786">
        <w:rPr>
          <w:lang w:val="fr-FR"/>
        </w:rPr>
        <w:t xml:space="preserve">a décidé </w:t>
      </w:r>
      <w:r w:rsidRPr="00640F03" w:rsidR="00076C4E">
        <w:rPr>
          <w:lang w:val="fr-FR"/>
        </w:rPr>
        <w:t>qu</w:t>
      </w:r>
      <w:r w:rsidRPr="00640F03" w:rsidR="00640F03">
        <w:rPr>
          <w:lang w:val="fr-FR"/>
        </w:rPr>
        <w:t>’</w:t>
      </w:r>
      <w:r w:rsidRPr="00640F03" w:rsidR="00076C4E">
        <w:rPr>
          <w:lang w:val="fr-FR"/>
        </w:rPr>
        <w:t>il convenait d</w:t>
      </w:r>
      <w:r w:rsidRPr="00640F03" w:rsidR="00640F03">
        <w:rPr>
          <w:lang w:val="fr-FR"/>
        </w:rPr>
        <w:t>’</w:t>
      </w:r>
      <w:r w:rsidRPr="00640F03" w:rsidR="00076C4E">
        <w:rPr>
          <w:lang w:val="fr-FR"/>
        </w:rPr>
        <w:t xml:space="preserve">appliquer </w:t>
      </w:r>
      <w:r w:rsidRPr="00640F03" w:rsidR="00922786">
        <w:rPr>
          <w:lang w:val="fr-FR"/>
        </w:rPr>
        <w:t>par analogie</w:t>
      </w:r>
      <w:r w:rsidRPr="00640F03" w:rsidR="00076C4E">
        <w:rPr>
          <w:lang w:val="fr-FR"/>
        </w:rPr>
        <w:t xml:space="preserve"> le </w:t>
      </w:r>
      <w:r w:rsidRPr="00640F03" w:rsidR="00922786">
        <w:rPr>
          <w:lang w:val="fr-FR"/>
        </w:rPr>
        <w:t xml:space="preserve">chapitre IX du règlement de la Cour. Le </w:t>
      </w:r>
      <w:bookmarkEnd w:id="5"/>
      <w:r w:rsidRPr="00640F03" w:rsidR="00922786">
        <w:rPr>
          <w:lang w:val="fr-FR"/>
        </w:rPr>
        <w:t>greff</w:t>
      </w:r>
      <w:r w:rsidRPr="00640F03" w:rsidR="008733A9">
        <w:rPr>
          <w:lang w:val="fr-FR"/>
        </w:rPr>
        <w:t>i</w:t>
      </w:r>
      <w:r w:rsidRPr="00640F03" w:rsidR="00922786">
        <w:rPr>
          <w:lang w:val="fr-FR"/>
        </w:rPr>
        <w:t>e</w:t>
      </w:r>
      <w:r w:rsidRPr="00640F03" w:rsidR="008733A9">
        <w:rPr>
          <w:lang w:val="fr-FR"/>
        </w:rPr>
        <w:t>r</w:t>
      </w:r>
      <w:r w:rsidRPr="00640F03" w:rsidR="00922786">
        <w:rPr>
          <w:lang w:val="fr-FR"/>
        </w:rPr>
        <w:t xml:space="preserve"> a, par </w:t>
      </w:r>
      <w:r w:rsidRPr="00640F03" w:rsidR="00EE08C4">
        <w:rPr>
          <w:lang w:val="fr-FR"/>
        </w:rPr>
        <w:t xml:space="preserve">une </w:t>
      </w:r>
      <w:r w:rsidRPr="00640F03" w:rsidR="00922786">
        <w:rPr>
          <w:lang w:val="fr-FR"/>
        </w:rPr>
        <w:t>lettre du 23</w:t>
      </w:r>
      <w:r w:rsidRPr="00640F03" w:rsidR="007D2743">
        <w:rPr>
          <w:lang w:val="fr-FR"/>
        </w:rPr>
        <w:t> </w:t>
      </w:r>
      <w:r w:rsidRPr="00640F03" w:rsidR="00922786">
        <w:rPr>
          <w:lang w:val="fr-FR"/>
        </w:rPr>
        <w:t xml:space="preserve">juin 2020, informé les Parties contractantes </w:t>
      </w:r>
      <w:r w:rsidRPr="00640F03" w:rsidR="008733A9">
        <w:rPr>
          <w:lang w:val="fr-FR"/>
        </w:rPr>
        <w:t>à la Convention européenne des droits de l</w:t>
      </w:r>
      <w:r w:rsidRPr="00640F03" w:rsidR="00640F03">
        <w:rPr>
          <w:lang w:val="fr-FR"/>
        </w:rPr>
        <w:t>’</w:t>
      </w:r>
      <w:r w:rsidRPr="00640F03" w:rsidR="008733A9">
        <w:rPr>
          <w:lang w:val="fr-FR"/>
        </w:rPr>
        <w:t xml:space="preserve">homme (« la Convention ») </w:t>
      </w:r>
      <w:r w:rsidRPr="00640F03" w:rsidR="00922786">
        <w:rPr>
          <w:lang w:val="fr-FR"/>
        </w:rPr>
        <w:t>qu</w:t>
      </w:r>
      <w:r w:rsidRPr="00640F03" w:rsidR="00640F03">
        <w:rPr>
          <w:lang w:val="fr-FR"/>
        </w:rPr>
        <w:t>’</w:t>
      </w:r>
      <w:r w:rsidRPr="00640F03" w:rsidR="00922786">
        <w:rPr>
          <w:lang w:val="fr-FR"/>
        </w:rPr>
        <w:t>elles pouvaient soumettre à la Cour des observations écrites concernant cette demande (article 84 §</w:t>
      </w:r>
      <w:r w:rsidRPr="00640F03" w:rsidR="007D2743">
        <w:rPr>
          <w:lang w:val="fr-FR"/>
        </w:rPr>
        <w:t> </w:t>
      </w:r>
      <w:r w:rsidRPr="00640F03" w:rsidR="00922786">
        <w:rPr>
          <w:lang w:val="fr-FR"/>
        </w:rPr>
        <w:t>2 du règlement). Les Parties contractantes ont été invitées à se prononcer sur la question de la compétence de la Cour, à soumettre leurs observations sur la demande formulée par le DH-BIO et à fournir des informations concernant leur droit et leur pratique internes pertinents, notamment sur le point de savoir si une personne qui souffre d</w:t>
      </w:r>
      <w:r w:rsidRPr="00640F03" w:rsidR="00640F03">
        <w:rPr>
          <w:lang w:val="fr-FR"/>
        </w:rPr>
        <w:t>’</w:t>
      </w:r>
      <w:r w:rsidRPr="00640F03" w:rsidR="00922786">
        <w:rPr>
          <w:lang w:val="fr-FR"/>
        </w:rPr>
        <w:t>un trouble mental grave pourrait être soumise, sans son consentement, à un traitement qui vise à protéger autrui contre un préjudice grave et, dans l</w:t>
      </w:r>
      <w:r w:rsidRPr="00640F03" w:rsidR="00640F03">
        <w:rPr>
          <w:lang w:val="fr-FR"/>
        </w:rPr>
        <w:t>’</w:t>
      </w:r>
      <w:r w:rsidRPr="00640F03" w:rsidR="00922786">
        <w:rPr>
          <w:lang w:val="fr-FR"/>
        </w:rPr>
        <w:t>affirmative, si cette possibilité trouve une base légale dans l</w:t>
      </w:r>
      <w:r w:rsidRPr="00640F03" w:rsidR="00640F03">
        <w:rPr>
          <w:lang w:val="fr-FR"/>
        </w:rPr>
        <w:t>’</w:t>
      </w:r>
      <w:r w:rsidRPr="00640F03" w:rsidR="00922786">
        <w:rPr>
          <w:lang w:val="fr-FR"/>
        </w:rPr>
        <w:t>article</w:t>
      </w:r>
      <w:r w:rsidRPr="00640F03" w:rsidR="007D2743">
        <w:rPr>
          <w:lang w:val="fr-FR"/>
        </w:rPr>
        <w:t> </w:t>
      </w:r>
      <w:r w:rsidRPr="00640F03" w:rsidR="00922786">
        <w:rPr>
          <w:lang w:val="fr-FR"/>
        </w:rPr>
        <w:t>26 §</w:t>
      </w:r>
      <w:r w:rsidRPr="00640F03" w:rsidR="007D2743">
        <w:rPr>
          <w:lang w:val="fr-FR"/>
        </w:rPr>
        <w:t> </w:t>
      </w:r>
      <w:r w:rsidRPr="00640F03" w:rsidR="00922786">
        <w:rPr>
          <w:lang w:val="fr-FR"/>
        </w:rPr>
        <w:t>1 de la Convention d</w:t>
      </w:r>
      <w:r w:rsidRPr="00640F03" w:rsidR="00640F03">
        <w:rPr>
          <w:lang w:val="fr-FR"/>
        </w:rPr>
        <w:t>’</w:t>
      </w:r>
      <w:r w:rsidRPr="00640F03" w:rsidR="00922786">
        <w:rPr>
          <w:lang w:val="fr-FR"/>
        </w:rPr>
        <w:t>Oviedo.</w:t>
      </w:r>
    </w:p>
    <w:p w:rsidRPr="00640F03" w:rsidR="00922786" w:rsidP="00640F03" w:rsidRDefault="00F6518C" w14:paraId="7563645C" w14:textId="23BEFD3B">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w:t>
      </w:r>
      <w:r w:rsidRPr="00640F03">
        <w:rPr>
          <w:lang w:val="fr-FR"/>
        </w:rPr>
        <w:fldChar w:fldCharType="end"/>
      </w:r>
      <w:r w:rsidRPr="00640F03">
        <w:rPr>
          <w:lang w:val="fr-FR"/>
        </w:rPr>
        <w:t>.  </w:t>
      </w:r>
      <w:r w:rsidRPr="00640F03" w:rsidR="00922786">
        <w:rPr>
          <w:lang w:val="fr-FR"/>
        </w:rPr>
        <w:t>Des observations ont été reçues des gouvernements albanais, andorran, arménien, azerbaïdjanais, chypriote, estonien, finlandais, français, grec, hongrois, italien, letton, lituanien, luxembourgeois, néerlandais, norvégien, polonais, portugais, roumain, russe, slovène, suisse, tchèque, turc et ukrainien. Ces observations ont été communiquées au DH-BIO et à toutes les Parties contractantes (article</w:t>
      </w:r>
      <w:r w:rsidRPr="00640F03" w:rsidR="00D92A54">
        <w:rPr>
          <w:lang w:val="fr-FR"/>
        </w:rPr>
        <w:t> </w:t>
      </w:r>
      <w:r w:rsidRPr="00640F03" w:rsidR="00922786">
        <w:rPr>
          <w:lang w:val="fr-FR"/>
        </w:rPr>
        <w:t>85 §</w:t>
      </w:r>
      <w:r w:rsidRPr="00640F03" w:rsidR="00D92A54">
        <w:rPr>
          <w:lang w:val="fr-FR"/>
        </w:rPr>
        <w:t> </w:t>
      </w:r>
      <w:r w:rsidRPr="00640F03" w:rsidR="00922786">
        <w:rPr>
          <w:lang w:val="fr-FR"/>
        </w:rPr>
        <w:t>2 du règlement, par analogie).</w:t>
      </w:r>
    </w:p>
    <w:p w:rsidRPr="00640F03" w:rsidR="00922786" w:rsidP="00640F03" w:rsidRDefault="00922786" w14:paraId="010E0E7E" w14:textId="68BE6626">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w:t>
      </w:r>
      <w:r w:rsidRPr="00640F03">
        <w:rPr>
          <w:lang w:val="fr-FR"/>
        </w:rPr>
        <w:fldChar w:fldCharType="end"/>
      </w:r>
      <w:r w:rsidRPr="00640F03">
        <w:rPr>
          <w:lang w:val="fr-FR"/>
        </w:rPr>
        <w:t>.  Le président a autorisé les organisations de la société civile suivantes à intervenir dans la procédure : Validity</w:t>
      </w:r>
      <w:r w:rsidRPr="00640F03" w:rsidR="008733A9">
        <w:rPr>
          <w:lang w:val="fr-FR"/>
        </w:rPr>
        <w:t> ;</w:t>
      </w:r>
      <w:r w:rsidRPr="00640F03">
        <w:rPr>
          <w:lang w:val="fr-FR"/>
        </w:rPr>
        <w:t xml:space="preserve"> l</w:t>
      </w:r>
      <w:r w:rsidRPr="00640F03" w:rsidR="00640F03">
        <w:rPr>
          <w:lang w:val="fr-FR"/>
        </w:rPr>
        <w:t>’</w:t>
      </w:r>
      <w:r w:rsidRPr="00640F03">
        <w:rPr>
          <w:lang w:val="fr-FR"/>
        </w:rPr>
        <w:t>International Disability Alliance, le Forum européen des personnes handicapées, Inclusion Europe, Autisme</w:t>
      </w:r>
      <w:r w:rsidRPr="00640F03">
        <w:rPr>
          <w:lang w:val="fr-FR"/>
        </w:rPr>
        <w:noBreakHyphen/>
        <w:t>Europe et Mental Health Europe (conjointement)</w:t>
      </w:r>
      <w:r w:rsidRPr="00640F03" w:rsidR="008733A9">
        <w:rPr>
          <w:lang w:val="fr-FR"/>
        </w:rPr>
        <w:t> ;</w:t>
      </w:r>
      <w:r w:rsidRPr="00640F03">
        <w:rPr>
          <w:lang w:val="fr-FR"/>
        </w:rPr>
        <w:t xml:space="preserve"> et le Center for Human Rights of Users and Survivors of Psychiatry. Leurs observations écrites ont été communiquées au DH-BIO et à toutes les Parties contractantes. Les organisations intervenantes ont également reçu une copie des observations des Parties contractantes (article</w:t>
      </w:r>
      <w:r w:rsidRPr="00640F03" w:rsidR="00D92A54">
        <w:rPr>
          <w:lang w:val="fr-FR"/>
        </w:rPr>
        <w:t> </w:t>
      </w:r>
      <w:r w:rsidRPr="00640F03">
        <w:rPr>
          <w:lang w:val="fr-FR"/>
        </w:rPr>
        <w:t>44 §§</w:t>
      </w:r>
      <w:r w:rsidRPr="00640F03" w:rsidR="00A35581">
        <w:rPr>
          <w:lang w:val="fr-FR"/>
        </w:rPr>
        <w:t> </w:t>
      </w:r>
      <w:r w:rsidRPr="00640F03">
        <w:rPr>
          <w:lang w:val="fr-FR"/>
        </w:rPr>
        <w:t xml:space="preserve">3-6, </w:t>
      </w:r>
      <w:r w:rsidRPr="00640F03">
        <w:rPr>
          <w:iCs/>
          <w:lang w:val="fr-FR"/>
        </w:rPr>
        <w:t>par analogie</w:t>
      </w:r>
      <w:r w:rsidRPr="00640F03">
        <w:rPr>
          <w:lang w:val="fr-FR"/>
        </w:rPr>
        <w:t>).</w:t>
      </w:r>
    </w:p>
    <w:p w:rsidRPr="00640F03" w:rsidR="00F6518C" w:rsidP="00640F03" w:rsidRDefault="00922786" w14:paraId="66EEC1DE" w14:textId="5166403B">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w:t>
      </w:r>
      <w:r w:rsidRPr="00640F03">
        <w:rPr>
          <w:lang w:val="fr-FR"/>
        </w:rPr>
        <w:fldChar w:fldCharType="end"/>
      </w:r>
      <w:r w:rsidRPr="00640F03">
        <w:rPr>
          <w:lang w:val="fr-FR"/>
        </w:rPr>
        <w:t xml:space="preserve">.  La demande a été attribuée à la Grande Chambre de la Cour. La composition de la Grande Chambre a été arrêtée conformément aux articles 26 de la Convention et 24 du règlement, </w:t>
      </w:r>
      <w:r w:rsidRPr="00640F03">
        <w:rPr>
          <w:i/>
          <w:lang w:val="fr-FR"/>
        </w:rPr>
        <w:t>mutatis mutandis</w:t>
      </w:r>
      <w:r w:rsidRPr="00640F03">
        <w:rPr>
          <w:lang w:val="fr-FR"/>
        </w:rPr>
        <w:t>.</w:t>
      </w:r>
    </w:p>
    <w:p w:rsidRPr="00640F03" w:rsidR="00F6518C" w:rsidP="00640F03" w:rsidRDefault="006033E0" w14:paraId="70903D95" w14:textId="1E71F106">
      <w:pPr>
        <w:pStyle w:val="JuHIRoman"/>
        <w:rPr>
          <w:rFonts w:eastAsia="MingLiU"/>
          <w:lang w:val="fr-FR"/>
        </w:rPr>
      </w:pPr>
      <w:r w:rsidRPr="00640F03">
        <w:rPr>
          <w:rFonts w:eastAsia="MingLiU"/>
          <w:lang w:val="fr-FR"/>
        </w:rPr>
        <w:t>LE CONTEXTE DANS LEQUEL S</w:t>
      </w:r>
      <w:r w:rsidRPr="00640F03" w:rsidR="00640F03">
        <w:rPr>
          <w:rFonts w:eastAsia="MingLiU"/>
          <w:lang w:val="fr-FR"/>
        </w:rPr>
        <w:t>’</w:t>
      </w:r>
      <w:r w:rsidRPr="00640F03">
        <w:rPr>
          <w:rFonts w:eastAsia="MingLiU"/>
          <w:lang w:val="fr-FR"/>
        </w:rPr>
        <w:t>INSCRIT LA DEMANDE</w:t>
      </w:r>
    </w:p>
    <w:p w:rsidRPr="00640F03" w:rsidR="00F6518C" w:rsidP="00640F03" w:rsidRDefault="006033E0" w14:paraId="68977875" w14:textId="4BD62E2F">
      <w:pPr>
        <w:pStyle w:val="JuHA"/>
        <w:rPr>
          <w:rFonts w:eastAsia="MingLiU"/>
          <w:lang w:val="fr-FR"/>
        </w:rPr>
      </w:pPr>
      <w:r w:rsidRPr="00640F03">
        <w:rPr>
          <w:rFonts w:eastAsia="MingLiU"/>
          <w:lang w:val="fr-FR"/>
        </w:rPr>
        <w:t>La Convention d</w:t>
      </w:r>
      <w:r w:rsidRPr="00640F03" w:rsidR="00640F03">
        <w:rPr>
          <w:rFonts w:eastAsia="MingLiU"/>
          <w:lang w:val="fr-FR"/>
        </w:rPr>
        <w:t>’</w:t>
      </w:r>
      <w:r w:rsidRPr="00640F03">
        <w:rPr>
          <w:rFonts w:eastAsia="MingLiU"/>
          <w:lang w:val="fr-FR"/>
        </w:rPr>
        <w:t>Oviedo et sa genèse</w:t>
      </w:r>
    </w:p>
    <w:p w:rsidRPr="00640F03" w:rsidR="00F6518C" w:rsidP="00640F03" w:rsidRDefault="00F6518C" w14:paraId="15F5201C" w14:textId="1761D1C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7</w:t>
      </w:r>
      <w:r w:rsidRPr="00640F03">
        <w:rPr>
          <w:lang w:val="fr-FR"/>
        </w:rPr>
        <w:fldChar w:fldCharType="end"/>
      </w:r>
      <w:r w:rsidRPr="00640F03">
        <w:rPr>
          <w:lang w:val="fr-FR"/>
        </w:rPr>
        <w:t>.  </w:t>
      </w:r>
      <w:r w:rsidRPr="00640F03" w:rsidR="00922786">
        <w:rPr>
          <w:lang w:val="fr-FR"/>
        </w:rPr>
        <w:t>Ouverte à la signature le 4</w:t>
      </w:r>
      <w:r w:rsidRPr="00640F03" w:rsidR="00A35581">
        <w:rPr>
          <w:lang w:val="fr-FR"/>
        </w:rPr>
        <w:t> </w:t>
      </w:r>
      <w:r w:rsidRPr="00640F03" w:rsidR="00922786">
        <w:rPr>
          <w:lang w:val="fr-FR"/>
        </w:rPr>
        <w:t>avril 1997, la Convention d</w:t>
      </w:r>
      <w:r w:rsidRPr="00640F03" w:rsidR="00640F03">
        <w:rPr>
          <w:lang w:val="fr-FR"/>
        </w:rPr>
        <w:t>’</w:t>
      </w:r>
      <w:r w:rsidRPr="00640F03" w:rsidR="00922786">
        <w:rPr>
          <w:lang w:val="fr-FR"/>
        </w:rPr>
        <w:t>Oviedo a été élaborée dans le but d</w:t>
      </w:r>
      <w:r w:rsidRPr="00640F03" w:rsidR="00640F03">
        <w:rPr>
          <w:lang w:val="fr-FR"/>
        </w:rPr>
        <w:t>’</w:t>
      </w:r>
      <w:r w:rsidRPr="00640F03" w:rsidR="00922786">
        <w:rPr>
          <w:lang w:val="fr-FR"/>
        </w:rPr>
        <w:t>offrir un cadre commun de protection des droits de l</w:t>
      </w:r>
      <w:r w:rsidRPr="00640F03" w:rsidR="00640F03">
        <w:rPr>
          <w:lang w:val="fr-FR"/>
        </w:rPr>
        <w:t>’</w:t>
      </w:r>
      <w:r w:rsidRPr="00640F03" w:rsidR="00922786">
        <w:rPr>
          <w:lang w:val="fr-FR"/>
        </w:rPr>
        <w:t>homme et de la dignité de l</w:t>
      </w:r>
      <w:r w:rsidRPr="00640F03" w:rsidR="00640F03">
        <w:rPr>
          <w:lang w:val="fr-FR"/>
        </w:rPr>
        <w:t>’</w:t>
      </w:r>
      <w:r w:rsidRPr="00640F03" w:rsidR="00922786">
        <w:rPr>
          <w:lang w:val="fr-FR"/>
        </w:rPr>
        <w:t>être humain à l</w:t>
      </w:r>
      <w:r w:rsidRPr="00640F03" w:rsidR="00640F03">
        <w:rPr>
          <w:lang w:val="fr-FR"/>
        </w:rPr>
        <w:t>’</w:t>
      </w:r>
      <w:r w:rsidRPr="00640F03" w:rsidR="00922786">
        <w:rPr>
          <w:lang w:val="fr-FR"/>
        </w:rPr>
        <w:t>égard des applications de la biologie et de la médecine tant dans les domaines établis de longue date que dans ceux en évolution. Il ressort clairement de ce texte, en particulier de son titre, de son préambule ainsi que de son objet et de son but tels qu</w:t>
      </w:r>
      <w:r w:rsidRPr="00640F03" w:rsidR="00640F03">
        <w:rPr>
          <w:lang w:val="fr-FR"/>
        </w:rPr>
        <w:t>’</w:t>
      </w:r>
      <w:r w:rsidRPr="00640F03" w:rsidR="00922786">
        <w:rPr>
          <w:lang w:val="fr-FR"/>
        </w:rPr>
        <w:t>énoncés dans son premier article, qu</w:t>
      </w:r>
      <w:r w:rsidRPr="00640F03" w:rsidR="00640F03">
        <w:rPr>
          <w:lang w:val="fr-FR"/>
        </w:rPr>
        <w:t>’</w:t>
      </w:r>
      <w:r w:rsidRPr="00640F03" w:rsidR="00922786">
        <w:rPr>
          <w:lang w:val="fr-FR"/>
        </w:rPr>
        <w:t>il a beaucoup en commun avec la Convention. À cet égard, le rapport explicatif de la Convention d</w:t>
      </w:r>
      <w:r w:rsidRPr="00640F03" w:rsidR="00640F03">
        <w:rPr>
          <w:lang w:val="fr-FR"/>
        </w:rPr>
        <w:t>’</w:t>
      </w:r>
      <w:r w:rsidRPr="00640F03" w:rsidR="00922786">
        <w:rPr>
          <w:lang w:val="fr-FR"/>
        </w:rPr>
        <w:t>Oviedo, dans son paragraphe</w:t>
      </w:r>
      <w:r w:rsidRPr="00640F03" w:rsidR="00D92A54">
        <w:rPr>
          <w:lang w:val="fr-FR"/>
        </w:rPr>
        <w:t> </w:t>
      </w:r>
      <w:r w:rsidRPr="00640F03" w:rsidR="00922786">
        <w:rPr>
          <w:lang w:val="fr-FR"/>
        </w:rPr>
        <w:t>9, énonce ce qui suit :</w:t>
      </w:r>
    </w:p>
    <w:p w:rsidRPr="00640F03" w:rsidR="00F6518C" w:rsidP="00640F03" w:rsidRDefault="00922786" w14:paraId="77DD9275" w14:textId="6A0DC0D3">
      <w:pPr>
        <w:pStyle w:val="JuQuot"/>
        <w:rPr>
          <w:lang w:val="fr-FR"/>
        </w:rPr>
      </w:pPr>
      <w:r w:rsidRPr="00640F03">
        <w:rPr>
          <w:lang w:val="fr-FR"/>
        </w:rPr>
        <w:t>« Non seulement la philosophie des deux textes, mais aussi nombre de principes éthiques et de notions juridiques sont communs. Ainsi, la présente Convention développe-t-elle certains des principes qui figurent dans la Convention européenne des droits de l</w:t>
      </w:r>
      <w:r w:rsidRPr="00640F03" w:rsidR="00640F03">
        <w:rPr>
          <w:lang w:val="fr-FR"/>
        </w:rPr>
        <w:t>’</w:t>
      </w:r>
      <w:r w:rsidRPr="00640F03">
        <w:rPr>
          <w:lang w:val="fr-FR"/>
        </w:rPr>
        <w:t>homme. »</w:t>
      </w:r>
    </w:p>
    <w:p w:rsidRPr="00640F03" w:rsidR="00F6518C" w:rsidP="00640F03" w:rsidRDefault="00F6518C" w14:paraId="0A488CDE" w14:textId="16E71236">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8</w:t>
      </w:r>
      <w:r w:rsidRPr="00640F03">
        <w:rPr>
          <w:lang w:val="fr-FR"/>
        </w:rPr>
        <w:fldChar w:fldCharType="end"/>
      </w:r>
      <w:r w:rsidRPr="00640F03">
        <w:rPr>
          <w:lang w:val="fr-FR"/>
        </w:rPr>
        <w:t>.  </w:t>
      </w:r>
      <w:r w:rsidRPr="00640F03" w:rsidR="00922786">
        <w:rPr>
          <w:lang w:val="fr-FR"/>
        </w:rPr>
        <w:t>La Convention d</w:t>
      </w:r>
      <w:r w:rsidRPr="00640F03" w:rsidR="00640F03">
        <w:rPr>
          <w:lang w:val="fr-FR"/>
        </w:rPr>
        <w:t>’</w:t>
      </w:r>
      <w:r w:rsidRPr="00640F03" w:rsidR="00922786">
        <w:rPr>
          <w:lang w:val="fr-FR"/>
        </w:rPr>
        <w:t>Oviedo est entrée en vigueur le 1</w:t>
      </w:r>
      <w:r w:rsidRPr="00640F03" w:rsidR="00922786">
        <w:rPr>
          <w:vertAlign w:val="superscript"/>
          <w:lang w:val="fr-FR"/>
        </w:rPr>
        <w:t>er</w:t>
      </w:r>
      <w:r w:rsidRPr="00640F03" w:rsidR="00D92A54">
        <w:rPr>
          <w:vertAlign w:val="superscript"/>
          <w:lang w:val="fr-FR"/>
        </w:rPr>
        <w:t> </w:t>
      </w:r>
      <w:r w:rsidRPr="00640F03" w:rsidR="00922786">
        <w:rPr>
          <w:lang w:val="fr-FR"/>
        </w:rPr>
        <w:t>décembre 1999, après avoir obtenu le nombre de ratifications nécessaire (cinq États, tous membres du Conseil de l</w:t>
      </w:r>
      <w:r w:rsidRPr="00640F03" w:rsidR="00640F03">
        <w:rPr>
          <w:lang w:val="fr-FR"/>
        </w:rPr>
        <w:t>’</w:t>
      </w:r>
      <w:r w:rsidRPr="00640F03" w:rsidR="00922786">
        <w:rPr>
          <w:lang w:val="fr-FR"/>
        </w:rPr>
        <w:t>Europe – article</w:t>
      </w:r>
      <w:r w:rsidRPr="00640F03" w:rsidR="00D92A54">
        <w:rPr>
          <w:lang w:val="fr-FR"/>
        </w:rPr>
        <w:t> </w:t>
      </w:r>
      <w:r w:rsidRPr="00640F03" w:rsidR="00922786">
        <w:rPr>
          <w:lang w:val="fr-FR"/>
        </w:rPr>
        <w:t>33 §</w:t>
      </w:r>
      <w:r w:rsidRPr="00640F03" w:rsidR="00A35581">
        <w:rPr>
          <w:lang w:val="fr-FR"/>
        </w:rPr>
        <w:t> </w:t>
      </w:r>
      <w:r w:rsidRPr="00640F03" w:rsidR="00922786">
        <w:rPr>
          <w:lang w:val="fr-FR"/>
        </w:rPr>
        <w:t>3). À la date où la présente décision a été adoptée, les vingt-neuf États suivants étaient parties à la Convention d</w:t>
      </w:r>
      <w:r w:rsidRPr="00640F03" w:rsidR="00640F03">
        <w:rPr>
          <w:lang w:val="fr-FR"/>
        </w:rPr>
        <w:t>’</w:t>
      </w:r>
      <w:r w:rsidRPr="00640F03" w:rsidR="00922786">
        <w:rPr>
          <w:lang w:val="fr-FR"/>
        </w:rPr>
        <w:t xml:space="preserve">Oviedo : </w:t>
      </w:r>
      <w:r w:rsidRPr="00640F03" w:rsidR="00C94409">
        <w:rPr>
          <w:lang w:val="fr-FR"/>
        </w:rPr>
        <w:t>l</w:t>
      </w:r>
      <w:r w:rsidRPr="00640F03" w:rsidR="00640F03">
        <w:rPr>
          <w:lang w:val="fr-FR"/>
        </w:rPr>
        <w:t>’</w:t>
      </w:r>
      <w:r w:rsidRPr="00640F03" w:rsidR="00922786">
        <w:rPr>
          <w:lang w:val="fr-FR"/>
        </w:rPr>
        <w:t xml:space="preserve">Albanie, </w:t>
      </w:r>
      <w:r w:rsidRPr="00640F03" w:rsidR="00C94409">
        <w:rPr>
          <w:lang w:val="fr-FR"/>
        </w:rPr>
        <w:t xml:space="preserve">la </w:t>
      </w:r>
      <w:r w:rsidRPr="00640F03" w:rsidR="00922786">
        <w:rPr>
          <w:lang w:val="fr-FR"/>
        </w:rPr>
        <w:t xml:space="preserve">Bosnie-Herzégovine, </w:t>
      </w:r>
      <w:r w:rsidRPr="00640F03" w:rsidR="00C94409">
        <w:rPr>
          <w:lang w:val="fr-FR"/>
        </w:rPr>
        <w:t xml:space="preserve">la </w:t>
      </w:r>
      <w:r w:rsidRPr="00640F03" w:rsidR="00922786">
        <w:rPr>
          <w:lang w:val="fr-FR"/>
        </w:rPr>
        <w:t xml:space="preserve">Bulgarie, Chypre, </w:t>
      </w:r>
      <w:r w:rsidRPr="00640F03" w:rsidR="00C94409">
        <w:rPr>
          <w:lang w:val="fr-FR"/>
        </w:rPr>
        <w:t xml:space="preserve">la </w:t>
      </w:r>
      <w:r w:rsidRPr="00640F03" w:rsidR="00922786">
        <w:rPr>
          <w:lang w:val="fr-FR"/>
        </w:rPr>
        <w:t xml:space="preserve">Croatie, </w:t>
      </w:r>
      <w:r w:rsidRPr="00640F03" w:rsidR="00C94409">
        <w:rPr>
          <w:lang w:val="fr-FR"/>
        </w:rPr>
        <w:t xml:space="preserve">le </w:t>
      </w:r>
      <w:r w:rsidRPr="00640F03" w:rsidR="00922786">
        <w:rPr>
          <w:lang w:val="fr-FR"/>
        </w:rPr>
        <w:t xml:space="preserve">Danemark, </w:t>
      </w:r>
      <w:r w:rsidRPr="00640F03" w:rsidR="00C94409">
        <w:rPr>
          <w:lang w:val="fr-FR"/>
        </w:rPr>
        <w:t>l</w:t>
      </w:r>
      <w:r w:rsidRPr="00640F03" w:rsidR="00640F03">
        <w:rPr>
          <w:lang w:val="fr-FR"/>
        </w:rPr>
        <w:t>’</w:t>
      </w:r>
      <w:r w:rsidRPr="00640F03" w:rsidR="00922786">
        <w:rPr>
          <w:lang w:val="fr-FR"/>
        </w:rPr>
        <w:t xml:space="preserve">Espagne, </w:t>
      </w:r>
      <w:r w:rsidRPr="00640F03" w:rsidR="00C94409">
        <w:rPr>
          <w:lang w:val="fr-FR"/>
        </w:rPr>
        <w:t>l</w:t>
      </w:r>
      <w:r w:rsidRPr="00640F03" w:rsidR="00640F03">
        <w:rPr>
          <w:lang w:val="fr-FR"/>
        </w:rPr>
        <w:t>’</w:t>
      </w:r>
      <w:r w:rsidRPr="00640F03" w:rsidR="00922786">
        <w:rPr>
          <w:lang w:val="fr-FR"/>
        </w:rPr>
        <w:t xml:space="preserve">Estonie, </w:t>
      </w:r>
      <w:r w:rsidRPr="00640F03" w:rsidR="00C94409">
        <w:rPr>
          <w:lang w:val="fr-FR"/>
        </w:rPr>
        <w:t xml:space="preserve">la </w:t>
      </w:r>
      <w:r w:rsidRPr="00640F03" w:rsidR="00922786">
        <w:rPr>
          <w:lang w:val="fr-FR"/>
        </w:rPr>
        <w:t xml:space="preserve">Finlande, </w:t>
      </w:r>
      <w:r w:rsidRPr="00640F03" w:rsidR="00C94409">
        <w:rPr>
          <w:lang w:val="fr-FR"/>
        </w:rPr>
        <w:t xml:space="preserve">la </w:t>
      </w:r>
      <w:r w:rsidRPr="00640F03" w:rsidR="00922786">
        <w:rPr>
          <w:lang w:val="fr-FR"/>
        </w:rPr>
        <w:t xml:space="preserve">France, </w:t>
      </w:r>
      <w:r w:rsidRPr="00640F03" w:rsidR="00C94409">
        <w:rPr>
          <w:lang w:val="fr-FR"/>
        </w:rPr>
        <w:t xml:space="preserve">la </w:t>
      </w:r>
      <w:r w:rsidRPr="00640F03" w:rsidR="00922786">
        <w:rPr>
          <w:lang w:val="fr-FR"/>
        </w:rPr>
        <w:t xml:space="preserve">Géorgie, </w:t>
      </w:r>
      <w:r w:rsidRPr="00640F03" w:rsidR="00C94409">
        <w:rPr>
          <w:lang w:val="fr-FR"/>
        </w:rPr>
        <w:t xml:space="preserve">la </w:t>
      </w:r>
      <w:r w:rsidRPr="00640F03" w:rsidR="00922786">
        <w:rPr>
          <w:lang w:val="fr-FR"/>
        </w:rPr>
        <w:t xml:space="preserve">Grèce, </w:t>
      </w:r>
      <w:r w:rsidRPr="00640F03" w:rsidR="00C94409">
        <w:rPr>
          <w:lang w:val="fr-FR"/>
        </w:rPr>
        <w:t xml:space="preserve">la </w:t>
      </w:r>
      <w:r w:rsidRPr="00640F03" w:rsidR="00922786">
        <w:rPr>
          <w:lang w:val="fr-FR"/>
        </w:rPr>
        <w:t xml:space="preserve">Hongrie, </w:t>
      </w:r>
      <w:r w:rsidRPr="00640F03" w:rsidR="00C94409">
        <w:rPr>
          <w:lang w:val="fr-FR"/>
        </w:rPr>
        <w:t>l</w:t>
      </w:r>
      <w:r w:rsidRPr="00640F03" w:rsidR="00640F03">
        <w:rPr>
          <w:lang w:val="fr-FR"/>
        </w:rPr>
        <w:t>’</w:t>
      </w:r>
      <w:r w:rsidRPr="00640F03" w:rsidR="00922786">
        <w:rPr>
          <w:lang w:val="fr-FR"/>
        </w:rPr>
        <w:t xml:space="preserve">Islande, </w:t>
      </w:r>
      <w:r w:rsidRPr="00640F03" w:rsidR="00C94409">
        <w:rPr>
          <w:lang w:val="fr-FR"/>
        </w:rPr>
        <w:t xml:space="preserve">la </w:t>
      </w:r>
      <w:r w:rsidRPr="00640F03" w:rsidR="00922786">
        <w:rPr>
          <w:lang w:val="fr-FR"/>
        </w:rPr>
        <w:t xml:space="preserve">Lettonie, </w:t>
      </w:r>
      <w:r w:rsidRPr="00640F03" w:rsidR="00C94409">
        <w:rPr>
          <w:lang w:val="fr-FR"/>
        </w:rPr>
        <w:t xml:space="preserve">la </w:t>
      </w:r>
      <w:r w:rsidRPr="00640F03" w:rsidR="00922786">
        <w:rPr>
          <w:lang w:val="fr-FR"/>
        </w:rPr>
        <w:t xml:space="preserve">Lituanie, </w:t>
      </w:r>
      <w:r w:rsidRPr="00640F03" w:rsidR="00C94409">
        <w:rPr>
          <w:lang w:val="fr-FR"/>
        </w:rPr>
        <w:t xml:space="preserve">la </w:t>
      </w:r>
      <w:r w:rsidRPr="00640F03" w:rsidR="00922786">
        <w:rPr>
          <w:lang w:val="fr-FR"/>
        </w:rPr>
        <w:t xml:space="preserve">Macédoine du Nord, </w:t>
      </w:r>
      <w:r w:rsidRPr="00640F03" w:rsidR="00C94409">
        <w:rPr>
          <w:lang w:val="fr-FR"/>
        </w:rPr>
        <w:t xml:space="preserve">le </w:t>
      </w:r>
      <w:r w:rsidRPr="00640F03" w:rsidR="00922786">
        <w:rPr>
          <w:lang w:val="fr-FR"/>
        </w:rPr>
        <w:t xml:space="preserve">Monténégro, </w:t>
      </w:r>
      <w:r w:rsidRPr="00640F03" w:rsidR="00C94409">
        <w:rPr>
          <w:lang w:val="fr-FR"/>
        </w:rPr>
        <w:t xml:space="preserve">la </w:t>
      </w:r>
      <w:r w:rsidRPr="00640F03" w:rsidR="00922786">
        <w:rPr>
          <w:lang w:val="fr-FR"/>
        </w:rPr>
        <w:t xml:space="preserve">Norvège, </w:t>
      </w:r>
      <w:r w:rsidRPr="00640F03" w:rsidR="00C94409">
        <w:rPr>
          <w:lang w:val="fr-FR"/>
        </w:rPr>
        <w:t xml:space="preserve">le </w:t>
      </w:r>
      <w:r w:rsidRPr="00640F03" w:rsidR="00922786">
        <w:rPr>
          <w:lang w:val="fr-FR"/>
        </w:rPr>
        <w:t xml:space="preserve">Portugal, </w:t>
      </w:r>
      <w:r w:rsidRPr="00640F03" w:rsidR="00C94409">
        <w:rPr>
          <w:lang w:val="fr-FR"/>
        </w:rPr>
        <w:t xml:space="preserve">la </w:t>
      </w:r>
      <w:r w:rsidRPr="00640F03" w:rsidR="00922786">
        <w:rPr>
          <w:lang w:val="fr-FR"/>
        </w:rPr>
        <w:t xml:space="preserve">République de Moldova, </w:t>
      </w:r>
      <w:r w:rsidRPr="00640F03" w:rsidR="000709BA">
        <w:rPr>
          <w:lang w:val="fr-FR"/>
        </w:rPr>
        <w:t xml:space="preserve">la </w:t>
      </w:r>
      <w:r w:rsidRPr="00640F03" w:rsidR="00922786">
        <w:rPr>
          <w:lang w:val="fr-FR"/>
        </w:rPr>
        <w:t xml:space="preserve">République tchèque, </w:t>
      </w:r>
      <w:r w:rsidRPr="00640F03" w:rsidR="00C94409">
        <w:rPr>
          <w:lang w:val="fr-FR"/>
        </w:rPr>
        <w:t xml:space="preserve">la </w:t>
      </w:r>
      <w:r w:rsidRPr="00640F03" w:rsidR="00922786">
        <w:rPr>
          <w:lang w:val="fr-FR"/>
        </w:rPr>
        <w:t>Roumanie, Saint</w:t>
      </w:r>
      <w:r w:rsidRPr="00640F03" w:rsidR="00922786">
        <w:rPr>
          <w:lang w:val="fr-FR"/>
        </w:rPr>
        <w:noBreakHyphen/>
        <w:t xml:space="preserve">Marin, </w:t>
      </w:r>
      <w:r w:rsidRPr="00640F03" w:rsidR="00C94409">
        <w:rPr>
          <w:lang w:val="fr-FR"/>
        </w:rPr>
        <w:t xml:space="preserve">la </w:t>
      </w:r>
      <w:r w:rsidRPr="00640F03" w:rsidR="00922786">
        <w:rPr>
          <w:lang w:val="fr-FR"/>
        </w:rPr>
        <w:t xml:space="preserve">Serbie, </w:t>
      </w:r>
      <w:r w:rsidRPr="00640F03" w:rsidR="00C94409">
        <w:rPr>
          <w:lang w:val="fr-FR"/>
        </w:rPr>
        <w:t xml:space="preserve">la </w:t>
      </w:r>
      <w:r w:rsidRPr="00640F03" w:rsidR="00922786">
        <w:rPr>
          <w:lang w:val="fr-FR"/>
        </w:rPr>
        <w:t xml:space="preserve">Slovaquie, </w:t>
      </w:r>
      <w:r w:rsidRPr="00640F03" w:rsidR="00C94409">
        <w:rPr>
          <w:lang w:val="fr-FR"/>
        </w:rPr>
        <w:t xml:space="preserve">la </w:t>
      </w:r>
      <w:r w:rsidRPr="00640F03" w:rsidR="00922786">
        <w:rPr>
          <w:lang w:val="fr-FR"/>
        </w:rPr>
        <w:t xml:space="preserve">Slovénie, </w:t>
      </w:r>
      <w:r w:rsidRPr="00640F03" w:rsidR="00C94409">
        <w:rPr>
          <w:lang w:val="fr-FR"/>
        </w:rPr>
        <w:t xml:space="preserve">la </w:t>
      </w:r>
      <w:r w:rsidRPr="00640F03" w:rsidR="00922786">
        <w:rPr>
          <w:lang w:val="fr-FR"/>
        </w:rPr>
        <w:t xml:space="preserve">Suisse et </w:t>
      </w:r>
      <w:r w:rsidRPr="00640F03" w:rsidR="00C94409">
        <w:rPr>
          <w:lang w:val="fr-FR"/>
        </w:rPr>
        <w:t xml:space="preserve">la </w:t>
      </w:r>
      <w:r w:rsidRPr="00640F03" w:rsidR="00922786">
        <w:rPr>
          <w:lang w:val="fr-FR"/>
        </w:rPr>
        <w:t>Turquie. La Convention d</w:t>
      </w:r>
      <w:r w:rsidRPr="00640F03" w:rsidR="00640F03">
        <w:rPr>
          <w:lang w:val="fr-FR"/>
        </w:rPr>
        <w:t>’</w:t>
      </w:r>
      <w:r w:rsidRPr="00640F03" w:rsidR="00922786">
        <w:rPr>
          <w:lang w:val="fr-FR"/>
        </w:rPr>
        <w:t>Oviedo est également ouverte à la signature des États non</w:t>
      </w:r>
      <w:r w:rsidRPr="00640F03" w:rsidR="00EE08C4">
        <w:rPr>
          <w:lang w:val="fr-FR"/>
        </w:rPr>
        <w:t xml:space="preserve"> </w:t>
      </w:r>
      <w:r w:rsidRPr="00640F03" w:rsidR="00922786">
        <w:rPr>
          <w:lang w:val="fr-FR"/>
        </w:rPr>
        <w:t>membres qui ont participé à son élaboration et de l</w:t>
      </w:r>
      <w:r w:rsidRPr="00640F03" w:rsidR="00640F03">
        <w:rPr>
          <w:lang w:val="fr-FR"/>
        </w:rPr>
        <w:t>’</w:t>
      </w:r>
      <w:r w:rsidRPr="00640F03" w:rsidR="00922786">
        <w:rPr>
          <w:lang w:val="fr-FR"/>
        </w:rPr>
        <w:t>Union européenne (article</w:t>
      </w:r>
      <w:r w:rsidRPr="00640F03" w:rsidR="00D92A54">
        <w:rPr>
          <w:lang w:val="fr-FR"/>
        </w:rPr>
        <w:t> </w:t>
      </w:r>
      <w:r w:rsidRPr="00640F03" w:rsidR="00922786">
        <w:rPr>
          <w:lang w:val="fr-FR"/>
        </w:rPr>
        <w:t>33 §</w:t>
      </w:r>
      <w:r w:rsidRPr="00640F03" w:rsidR="00D92A54">
        <w:rPr>
          <w:lang w:val="fr-FR"/>
        </w:rPr>
        <w:t> </w:t>
      </w:r>
      <w:r w:rsidRPr="00640F03" w:rsidR="00922786">
        <w:rPr>
          <w:lang w:val="fr-FR"/>
        </w:rPr>
        <w:t>1), ainsi qu</w:t>
      </w:r>
      <w:r w:rsidRPr="00640F03" w:rsidR="00640F03">
        <w:rPr>
          <w:lang w:val="fr-FR"/>
        </w:rPr>
        <w:t>’</w:t>
      </w:r>
      <w:r w:rsidRPr="00640F03" w:rsidR="00922786">
        <w:rPr>
          <w:lang w:val="fr-FR"/>
        </w:rPr>
        <w:t>à tout autre État tiers conformément à la procédure définie à l</w:t>
      </w:r>
      <w:r w:rsidRPr="00640F03" w:rsidR="00640F03">
        <w:rPr>
          <w:lang w:val="fr-FR"/>
        </w:rPr>
        <w:t>’</w:t>
      </w:r>
      <w:r w:rsidRPr="00640F03" w:rsidR="00922786">
        <w:rPr>
          <w:lang w:val="fr-FR"/>
        </w:rPr>
        <w:t>article</w:t>
      </w:r>
      <w:r w:rsidRPr="00640F03" w:rsidR="00D92A54">
        <w:rPr>
          <w:lang w:val="fr-FR"/>
        </w:rPr>
        <w:t> </w:t>
      </w:r>
      <w:r w:rsidRPr="00640F03" w:rsidR="00922786">
        <w:rPr>
          <w:lang w:val="fr-FR"/>
        </w:rPr>
        <w:t>34. À ce jour, aucun État tiers n</w:t>
      </w:r>
      <w:r w:rsidRPr="00640F03" w:rsidR="00640F03">
        <w:rPr>
          <w:lang w:val="fr-FR"/>
        </w:rPr>
        <w:t>’</w:t>
      </w:r>
      <w:r w:rsidRPr="00640F03" w:rsidR="00922786">
        <w:rPr>
          <w:lang w:val="fr-FR"/>
        </w:rPr>
        <w:t>y a adhéré.</w:t>
      </w:r>
    </w:p>
    <w:bookmarkStart w:name="P9" w:id="6"/>
    <w:p w:rsidRPr="00640F03" w:rsidR="00F6518C" w:rsidP="00640F03" w:rsidRDefault="00F6518C" w14:paraId="1C50C597" w14:textId="7D4EBBC6">
      <w:pPr>
        <w:pStyle w:val="JuParaLast"/>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9</w:t>
      </w:r>
      <w:r w:rsidRPr="00640F03">
        <w:rPr>
          <w:lang w:val="fr-FR"/>
        </w:rPr>
        <w:fldChar w:fldCharType="end"/>
      </w:r>
      <w:bookmarkEnd w:id="6"/>
      <w:r w:rsidRPr="00640F03">
        <w:rPr>
          <w:lang w:val="fr-FR"/>
        </w:rPr>
        <w:t>.  </w:t>
      </w:r>
      <w:r w:rsidRPr="00640F03" w:rsidR="00922786">
        <w:rPr>
          <w:lang w:val="fr-FR"/>
        </w:rPr>
        <w:t>L</w:t>
      </w:r>
      <w:r w:rsidRPr="00640F03" w:rsidR="00640F03">
        <w:rPr>
          <w:lang w:val="fr-FR"/>
        </w:rPr>
        <w:t>’</w:t>
      </w:r>
      <w:r w:rsidRPr="00640F03" w:rsidR="00922786">
        <w:rPr>
          <w:lang w:val="fr-FR"/>
        </w:rPr>
        <w:t>article</w:t>
      </w:r>
      <w:r w:rsidRPr="00640F03" w:rsidR="00D92A54">
        <w:rPr>
          <w:lang w:val="fr-FR"/>
        </w:rPr>
        <w:t> </w:t>
      </w:r>
      <w:r w:rsidRPr="00640F03" w:rsidR="00922786">
        <w:rPr>
          <w:lang w:val="fr-FR"/>
        </w:rPr>
        <w:t>29 de la Convention d</w:t>
      </w:r>
      <w:r w:rsidRPr="00640F03" w:rsidR="00640F03">
        <w:rPr>
          <w:lang w:val="fr-FR"/>
        </w:rPr>
        <w:t>’</w:t>
      </w:r>
      <w:r w:rsidRPr="00640F03" w:rsidR="00922786">
        <w:rPr>
          <w:lang w:val="fr-FR"/>
        </w:rPr>
        <w:t>Oviedo est ainsi libellé :</w:t>
      </w:r>
    </w:p>
    <w:p w:rsidRPr="00640F03" w:rsidR="00922786" w:rsidP="00640F03" w:rsidRDefault="00922786" w14:paraId="4326C564" w14:textId="66635048">
      <w:pPr>
        <w:pStyle w:val="JuHArticle"/>
        <w:rPr>
          <w:lang w:val="fr-FR"/>
        </w:rPr>
      </w:pPr>
      <w:r w:rsidRPr="00640F03">
        <w:rPr>
          <w:lang w:val="fr-FR"/>
        </w:rPr>
        <w:t>Article</w:t>
      </w:r>
      <w:r w:rsidRPr="00640F03" w:rsidR="00A35581">
        <w:rPr>
          <w:lang w:val="fr-FR"/>
        </w:rPr>
        <w:t> </w:t>
      </w:r>
      <w:r w:rsidRPr="00640F03">
        <w:rPr>
          <w:lang w:val="fr-FR"/>
        </w:rPr>
        <w:t>29 – Interprétation de la Convention</w:t>
      </w:r>
    </w:p>
    <w:p w:rsidRPr="00640F03" w:rsidR="00922786" w:rsidP="00640F03" w:rsidRDefault="00EE08C4" w14:paraId="416F7421" w14:textId="46F5A1A7">
      <w:pPr>
        <w:pStyle w:val="JuQuot"/>
        <w:rPr>
          <w:lang w:val="fr-FR"/>
        </w:rPr>
      </w:pPr>
      <w:r w:rsidRPr="00640F03">
        <w:rPr>
          <w:lang w:val="fr-FR"/>
        </w:rPr>
        <w:t>« </w:t>
      </w:r>
      <w:r w:rsidRPr="00640F03" w:rsidR="00922786">
        <w:rPr>
          <w:lang w:val="fr-FR"/>
        </w:rPr>
        <w:t>La Cour européenne des droits de l</w:t>
      </w:r>
      <w:r w:rsidRPr="00640F03" w:rsidR="00640F03">
        <w:rPr>
          <w:lang w:val="fr-FR"/>
        </w:rPr>
        <w:t>’</w:t>
      </w:r>
      <w:r w:rsidRPr="00640F03" w:rsidR="00922786">
        <w:rPr>
          <w:lang w:val="fr-FR"/>
        </w:rPr>
        <w:t>homme peut donner, en dehors de tout litige concret se déroulant devant une juridiction, des avis consultatifs sur des questions juridiques concernant l</w:t>
      </w:r>
      <w:r w:rsidRPr="00640F03" w:rsidR="00640F03">
        <w:rPr>
          <w:lang w:val="fr-FR"/>
        </w:rPr>
        <w:t>’</w:t>
      </w:r>
      <w:r w:rsidRPr="00640F03" w:rsidR="00922786">
        <w:rPr>
          <w:lang w:val="fr-FR"/>
        </w:rPr>
        <w:t>interprétation de la présente Convention à la demande :</w:t>
      </w:r>
    </w:p>
    <w:p w:rsidRPr="00640F03" w:rsidR="00922786" w:rsidP="00640F03" w:rsidRDefault="00922786" w14:paraId="6BC6F7EB" w14:textId="458A6E02">
      <w:pPr>
        <w:pStyle w:val="JuQuot"/>
        <w:rPr>
          <w:lang w:val="fr-FR"/>
        </w:rPr>
      </w:pPr>
      <w:r w:rsidRPr="00640F03">
        <w:rPr>
          <w:lang w:val="fr-FR"/>
        </w:rPr>
        <w:t>–</w:t>
      </w:r>
      <w:r w:rsidRPr="00640F03" w:rsidR="00EE08C4">
        <w:rPr>
          <w:lang w:val="fr-FR"/>
        </w:rPr>
        <w:t>  </w:t>
      </w:r>
      <w:r w:rsidRPr="00640F03">
        <w:rPr>
          <w:lang w:val="fr-FR"/>
        </w:rPr>
        <w:t>du Gouvernement d</w:t>
      </w:r>
      <w:r w:rsidRPr="00640F03" w:rsidR="00640F03">
        <w:rPr>
          <w:lang w:val="fr-FR"/>
        </w:rPr>
        <w:t>’</w:t>
      </w:r>
      <w:r w:rsidRPr="00640F03">
        <w:rPr>
          <w:lang w:val="fr-FR"/>
        </w:rPr>
        <w:t>une Partie, après en avoir informé les autres Parties ;</w:t>
      </w:r>
    </w:p>
    <w:p w:rsidRPr="00640F03" w:rsidR="00F6518C" w:rsidP="00640F03" w:rsidRDefault="00922786" w14:paraId="51C7273D" w14:textId="43F4BB82">
      <w:pPr>
        <w:pStyle w:val="JuQuot"/>
        <w:rPr>
          <w:lang w:val="fr-FR"/>
        </w:rPr>
      </w:pPr>
      <w:r w:rsidRPr="00640F03">
        <w:rPr>
          <w:lang w:val="fr-FR"/>
        </w:rPr>
        <w:t>–</w:t>
      </w:r>
      <w:r w:rsidRPr="00640F03" w:rsidR="00EE08C4">
        <w:rPr>
          <w:lang w:val="fr-FR"/>
        </w:rPr>
        <w:t>  </w:t>
      </w:r>
      <w:r w:rsidRPr="00640F03">
        <w:rPr>
          <w:lang w:val="fr-FR"/>
        </w:rPr>
        <w:t>du Comité institué par l</w:t>
      </w:r>
      <w:r w:rsidRPr="00640F03" w:rsidR="00640F03">
        <w:rPr>
          <w:lang w:val="fr-FR"/>
        </w:rPr>
        <w:t>’</w:t>
      </w:r>
      <w:r w:rsidRPr="00640F03">
        <w:rPr>
          <w:lang w:val="fr-FR"/>
        </w:rPr>
        <w:t>article</w:t>
      </w:r>
      <w:r w:rsidRPr="00640F03" w:rsidR="00A35581">
        <w:rPr>
          <w:lang w:val="fr-FR"/>
        </w:rPr>
        <w:t> </w:t>
      </w:r>
      <w:r w:rsidRPr="00640F03">
        <w:rPr>
          <w:lang w:val="fr-FR"/>
        </w:rPr>
        <w:t>32, dans sa composition restreinte aux Représentants des Parties à la présente Convention, par décision prise à la majorité des deux tiers des voix exprimées. »</w:t>
      </w:r>
    </w:p>
    <w:bookmarkStart w:name="P10" w:id="7"/>
    <w:p w:rsidRPr="00640F03" w:rsidR="00F6518C" w:rsidP="00640F03" w:rsidRDefault="00F6518C" w14:paraId="603922C7" w14:textId="13622B6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10</w:t>
      </w:r>
      <w:r w:rsidRPr="00640F03">
        <w:rPr>
          <w:lang w:val="fr-FR"/>
        </w:rPr>
        <w:fldChar w:fldCharType="end"/>
      </w:r>
      <w:bookmarkEnd w:id="7"/>
      <w:r w:rsidRPr="00640F03">
        <w:rPr>
          <w:lang w:val="fr-FR"/>
        </w:rPr>
        <w:t>.  </w:t>
      </w:r>
      <w:r w:rsidRPr="00640F03" w:rsidR="00922786">
        <w:rPr>
          <w:lang w:val="fr-FR"/>
        </w:rPr>
        <w:t>L</w:t>
      </w:r>
      <w:r w:rsidRPr="00640F03" w:rsidR="00640F03">
        <w:rPr>
          <w:lang w:val="fr-FR"/>
        </w:rPr>
        <w:t>’</w:t>
      </w:r>
      <w:r w:rsidRPr="00640F03" w:rsidR="00922786">
        <w:rPr>
          <w:lang w:val="fr-FR"/>
        </w:rPr>
        <w:t>article</w:t>
      </w:r>
      <w:r w:rsidRPr="00640F03" w:rsidR="00A35581">
        <w:rPr>
          <w:lang w:val="fr-FR"/>
        </w:rPr>
        <w:t> </w:t>
      </w:r>
      <w:r w:rsidRPr="00640F03" w:rsidR="00922786">
        <w:rPr>
          <w:lang w:val="fr-FR"/>
        </w:rPr>
        <w:t xml:space="preserve">31 </w:t>
      </w:r>
      <w:r w:rsidRPr="00640F03" w:rsidR="00922786">
        <w:rPr>
          <w:iCs/>
          <w:lang w:val="fr-FR"/>
        </w:rPr>
        <w:t xml:space="preserve">de </w:t>
      </w:r>
      <w:r w:rsidRPr="00640F03" w:rsidR="00922786">
        <w:rPr>
          <w:lang w:val="fr-FR"/>
        </w:rPr>
        <w:t>la Convention d</w:t>
      </w:r>
      <w:r w:rsidRPr="00640F03" w:rsidR="00640F03">
        <w:rPr>
          <w:lang w:val="fr-FR"/>
        </w:rPr>
        <w:t>’</w:t>
      </w:r>
      <w:r w:rsidRPr="00640F03" w:rsidR="00922786">
        <w:rPr>
          <w:lang w:val="fr-FR"/>
        </w:rPr>
        <w:t>Oviedo est ainsi libellé en sa partie pertinente :</w:t>
      </w:r>
    </w:p>
    <w:p w:rsidRPr="00640F03" w:rsidR="00922786" w:rsidP="00640F03" w:rsidRDefault="00922786" w14:paraId="215D2380" w14:textId="120EF934">
      <w:pPr>
        <w:pStyle w:val="JuHArticle"/>
        <w:rPr>
          <w:lang w:val="fr-FR"/>
        </w:rPr>
      </w:pPr>
      <w:r w:rsidRPr="00640F03">
        <w:rPr>
          <w:lang w:val="fr-FR"/>
        </w:rPr>
        <w:t>Article</w:t>
      </w:r>
      <w:r w:rsidRPr="00640F03" w:rsidR="00A35581">
        <w:rPr>
          <w:lang w:val="fr-FR"/>
        </w:rPr>
        <w:t> </w:t>
      </w:r>
      <w:r w:rsidRPr="00640F03">
        <w:rPr>
          <w:lang w:val="fr-FR"/>
        </w:rPr>
        <w:t>31 – Protocoles</w:t>
      </w:r>
    </w:p>
    <w:p w:rsidRPr="00640F03" w:rsidR="00922786" w:rsidP="00640F03" w:rsidRDefault="00EE08C4" w14:paraId="0D279AC7" w14:textId="4BF1E627">
      <w:pPr>
        <w:pStyle w:val="JuQuot"/>
        <w:rPr>
          <w:lang w:val="fr-FR"/>
        </w:rPr>
      </w:pPr>
      <w:r w:rsidRPr="00640F03">
        <w:rPr>
          <w:lang w:val="fr-FR"/>
        </w:rPr>
        <w:t>« </w:t>
      </w:r>
      <w:r w:rsidRPr="00640F03" w:rsidR="00922786">
        <w:rPr>
          <w:lang w:val="fr-FR"/>
        </w:rPr>
        <w:t>Des protocoles peuvent être élaborés conformément aux dispositions de l</w:t>
      </w:r>
      <w:r w:rsidRPr="00640F03" w:rsidR="00640F03">
        <w:rPr>
          <w:lang w:val="fr-FR"/>
        </w:rPr>
        <w:t>’</w:t>
      </w:r>
      <w:r w:rsidRPr="00640F03" w:rsidR="00922786">
        <w:rPr>
          <w:lang w:val="fr-FR"/>
        </w:rPr>
        <w:t>article</w:t>
      </w:r>
      <w:r w:rsidRPr="00640F03" w:rsidR="00A35581">
        <w:rPr>
          <w:lang w:val="fr-FR"/>
        </w:rPr>
        <w:t> </w:t>
      </w:r>
      <w:r w:rsidRPr="00640F03" w:rsidR="00922786">
        <w:rPr>
          <w:lang w:val="fr-FR"/>
        </w:rPr>
        <w:t>32, en vue de développer, dans des domaines spécifiques, les principes contenus dans la présente Convention.</w:t>
      </w:r>
    </w:p>
    <w:p w:rsidRPr="00640F03" w:rsidR="00F6518C" w:rsidP="00640F03" w:rsidRDefault="00922786" w14:paraId="189507C6" w14:textId="7E6B3F31">
      <w:pPr>
        <w:pStyle w:val="JuQuot"/>
        <w:rPr>
          <w:lang w:val="fr-FR"/>
        </w:rPr>
      </w:pPr>
      <w:r w:rsidRPr="00640F03">
        <w:rPr>
          <w:lang w:val="fr-FR"/>
        </w:rPr>
        <w:t>(</w:t>
      </w:r>
      <w:r w:rsidRPr="00640F03" w:rsidR="006E0F85">
        <w:rPr>
          <w:lang w:val="fr-FR"/>
        </w:rPr>
        <w:t>...</w:t>
      </w:r>
      <w:r w:rsidRPr="00640F03">
        <w:rPr>
          <w:lang w:val="fr-FR"/>
        </w:rPr>
        <w:t>) »</w:t>
      </w:r>
    </w:p>
    <w:p w:rsidRPr="00640F03" w:rsidR="00F6518C" w:rsidP="00640F03" w:rsidRDefault="00F6518C" w14:paraId="2857F426" w14:textId="735F3D0E">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11</w:t>
      </w:r>
      <w:r w:rsidRPr="00640F03">
        <w:rPr>
          <w:lang w:val="fr-FR"/>
        </w:rPr>
        <w:fldChar w:fldCharType="end"/>
      </w:r>
      <w:r w:rsidRPr="00640F03">
        <w:rPr>
          <w:lang w:val="fr-FR"/>
        </w:rPr>
        <w:t>.  </w:t>
      </w:r>
      <w:r w:rsidRPr="00640F03" w:rsidR="00922786">
        <w:rPr>
          <w:lang w:val="fr-FR"/>
        </w:rPr>
        <w:t>L</w:t>
      </w:r>
      <w:r w:rsidRPr="00640F03" w:rsidR="00640F03">
        <w:rPr>
          <w:lang w:val="fr-FR"/>
        </w:rPr>
        <w:t>’</w:t>
      </w:r>
      <w:r w:rsidRPr="00640F03" w:rsidR="00922786">
        <w:rPr>
          <w:lang w:val="fr-FR"/>
        </w:rPr>
        <w:t>article</w:t>
      </w:r>
      <w:r w:rsidRPr="00640F03" w:rsidR="00A35581">
        <w:rPr>
          <w:lang w:val="fr-FR"/>
        </w:rPr>
        <w:t> </w:t>
      </w:r>
      <w:r w:rsidRPr="00640F03" w:rsidR="00922786">
        <w:rPr>
          <w:lang w:val="fr-FR"/>
        </w:rPr>
        <w:t xml:space="preserve">32 </w:t>
      </w:r>
      <w:r w:rsidRPr="00640F03" w:rsidR="00922786">
        <w:rPr>
          <w:iCs/>
          <w:lang w:val="fr-FR"/>
        </w:rPr>
        <w:t xml:space="preserve">de </w:t>
      </w:r>
      <w:r w:rsidRPr="00640F03" w:rsidR="00922786">
        <w:rPr>
          <w:lang w:val="fr-FR"/>
        </w:rPr>
        <w:t>la Convention d</w:t>
      </w:r>
      <w:r w:rsidRPr="00640F03" w:rsidR="00640F03">
        <w:rPr>
          <w:lang w:val="fr-FR"/>
        </w:rPr>
        <w:t>’</w:t>
      </w:r>
      <w:r w:rsidRPr="00640F03" w:rsidR="00922786">
        <w:rPr>
          <w:lang w:val="fr-FR"/>
        </w:rPr>
        <w:t>Oviedo est ainsi libellé en ses parties pertinentes :</w:t>
      </w:r>
    </w:p>
    <w:p w:rsidRPr="00640F03" w:rsidR="00922786" w:rsidP="00640F03" w:rsidRDefault="00922786" w14:paraId="5537E648" w14:textId="77C62074">
      <w:pPr>
        <w:pStyle w:val="JuHArticle"/>
        <w:rPr>
          <w:lang w:val="fr-FR"/>
        </w:rPr>
      </w:pPr>
      <w:r w:rsidRPr="00640F03">
        <w:rPr>
          <w:lang w:val="fr-FR"/>
        </w:rPr>
        <w:t>Article</w:t>
      </w:r>
      <w:r w:rsidRPr="00640F03" w:rsidR="00A35581">
        <w:rPr>
          <w:lang w:val="fr-FR"/>
        </w:rPr>
        <w:t> </w:t>
      </w:r>
      <w:r w:rsidRPr="00640F03">
        <w:rPr>
          <w:lang w:val="fr-FR"/>
        </w:rPr>
        <w:t>32 – Amendements à la Convention</w:t>
      </w:r>
    </w:p>
    <w:p w:rsidRPr="00640F03" w:rsidR="00922786" w:rsidP="00640F03" w:rsidRDefault="00EE08C4" w14:paraId="5C8A3ECE" w14:textId="160B835B">
      <w:pPr>
        <w:pStyle w:val="JuQuot"/>
        <w:rPr>
          <w:lang w:val="fr-FR"/>
        </w:rPr>
      </w:pPr>
      <w:r w:rsidRPr="00640F03">
        <w:rPr>
          <w:lang w:val="fr-FR"/>
        </w:rPr>
        <w:t>« </w:t>
      </w:r>
      <w:r w:rsidRPr="00640F03" w:rsidR="00922786">
        <w:rPr>
          <w:lang w:val="fr-FR"/>
        </w:rPr>
        <w:t>1.  Les tâches confiées au « comité » dans le présent article et dans l</w:t>
      </w:r>
      <w:r w:rsidRPr="00640F03" w:rsidR="00640F03">
        <w:rPr>
          <w:lang w:val="fr-FR"/>
        </w:rPr>
        <w:t>’</w:t>
      </w:r>
      <w:r w:rsidRPr="00640F03" w:rsidR="00922786">
        <w:rPr>
          <w:lang w:val="fr-FR"/>
        </w:rPr>
        <w:t>article</w:t>
      </w:r>
      <w:r w:rsidRPr="00640F03" w:rsidR="00D92A54">
        <w:rPr>
          <w:lang w:val="fr-FR"/>
        </w:rPr>
        <w:t> </w:t>
      </w:r>
      <w:r w:rsidRPr="00640F03" w:rsidR="00922786">
        <w:rPr>
          <w:lang w:val="fr-FR"/>
        </w:rPr>
        <w:t>29 sont effectuées par le Comité directeur pour la bioéthique (CDBI), ou par tout autre comité désigné à cette fin par le Comité des Ministres.</w:t>
      </w:r>
    </w:p>
    <w:p w:rsidRPr="00640F03" w:rsidR="00922786" w:rsidP="00640F03" w:rsidRDefault="00922786" w14:paraId="3E985F32" w14:textId="7E61D035">
      <w:pPr>
        <w:pStyle w:val="JuQuot"/>
        <w:rPr>
          <w:lang w:val="fr-FR"/>
        </w:rPr>
      </w:pPr>
      <w:r w:rsidRPr="00640F03">
        <w:rPr>
          <w:lang w:val="fr-FR"/>
        </w:rPr>
        <w:t>2.  Sans préjudice des dispositions spécifiques de l</w:t>
      </w:r>
      <w:r w:rsidRPr="00640F03" w:rsidR="00640F03">
        <w:rPr>
          <w:lang w:val="fr-FR"/>
        </w:rPr>
        <w:t>’</w:t>
      </w:r>
      <w:r w:rsidRPr="00640F03">
        <w:rPr>
          <w:lang w:val="fr-FR"/>
        </w:rPr>
        <w:t>article</w:t>
      </w:r>
      <w:r w:rsidRPr="00640F03" w:rsidR="00D92A54">
        <w:rPr>
          <w:lang w:val="fr-FR"/>
        </w:rPr>
        <w:t> </w:t>
      </w:r>
      <w:r w:rsidRPr="00640F03">
        <w:rPr>
          <w:lang w:val="fr-FR"/>
        </w:rPr>
        <w:t>29, tout État membre du Conseil de l</w:t>
      </w:r>
      <w:r w:rsidRPr="00640F03" w:rsidR="00640F03">
        <w:rPr>
          <w:lang w:val="fr-FR"/>
        </w:rPr>
        <w:t>’</w:t>
      </w:r>
      <w:r w:rsidRPr="00640F03">
        <w:rPr>
          <w:lang w:val="fr-FR"/>
        </w:rPr>
        <w:t>Europe ainsi que toute Partie à la présente Convention qui n</w:t>
      </w:r>
      <w:r w:rsidRPr="00640F03" w:rsidR="00640F03">
        <w:rPr>
          <w:lang w:val="fr-FR"/>
        </w:rPr>
        <w:t>’</w:t>
      </w:r>
      <w:r w:rsidRPr="00640F03">
        <w:rPr>
          <w:lang w:val="fr-FR"/>
        </w:rPr>
        <w:t>est pas membre du Conseil de l</w:t>
      </w:r>
      <w:r w:rsidRPr="00640F03" w:rsidR="00640F03">
        <w:rPr>
          <w:lang w:val="fr-FR"/>
        </w:rPr>
        <w:t>’</w:t>
      </w:r>
      <w:r w:rsidRPr="00640F03">
        <w:rPr>
          <w:lang w:val="fr-FR"/>
        </w:rPr>
        <w:t>Europe peut se faire représenter au sein du comité, lorsque celui-ci accomplit les tâches confiées par la présente Convention, et y dispose d</w:t>
      </w:r>
      <w:r w:rsidRPr="00640F03" w:rsidR="00640F03">
        <w:rPr>
          <w:lang w:val="fr-FR"/>
        </w:rPr>
        <w:t>’</w:t>
      </w:r>
      <w:r w:rsidRPr="00640F03">
        <w:rPr>
          <w:lang w:val="fr-FR"/>
        </w:rPr>
        <w:t>une voix.</w:t>
      </w:r>
    </w:p>
    <w:p w:rsidRPr="00640F03" w:rsidR="00F6518C" w:rsidP="00640F03" w:rsidRDefault="00922786" w14:paraId="0E17E394" w14:textId="6940C6B4">
      <w:pPr>
        <w:pStyle w:val="JuQuot"/>
        <w:rPr>
          <w:lang w:val="fr-FR"/>
        </w:rPr>
      </w:pPr>
      <w:r w:rsidRPr="00640F03">
        <w:rPr>
          <w:lang w:val="fr-FR"/>
        </w:rPr>
        <w:t>(</w:t>
      </w:r>
      <w:r w:rsidRPr="00640F03" w:rsidR="006E0F85">
        <w:rPr>
          <w:lang w:val="fr-FR"/>
        </w:rPr>
        <w:t>...</w:t>
      </w:r>
      <w:r w:rsidRPr="00640F03">
        <w:rPr>
          <w:lang w:val="fr-FR"/>
        </w:rPr>
        <w:t>) »</w:t>
      </w:r>
    </w:p>
    <w:p w:rsidRPr="00640F03" w:rsidR="00F6518C" w:rsidP="00640F03" w:rsidRDefault="00922786" w14:paraId="45825120" w14:textId="360DF1FD">
      <w:pPr>
        <w:pStyle w:val="JuPara"/>
        <w:rPr>
          <w:lang w:val="fr-FR"/>
        </w:rPr>
      </w:pPr>
      <w:r w:rsidRPr="00640F03">
        <w:rPr>
          <w:lang w:val="fr-FR"/>
        </w:rPr>
        <w:t>À la suite de la réorganisation des instances intergouvernementales au Conseil de l</w:t>
      </w:r>
      <w:r w:rsidRPr="00640F03" w:rsidR="00640F03">
        <w:rPr>
          <w:lang w:val="fr-FR"/>
        </w:rPr>
        <w:t>’</w:t>
      </w:r>
      <w:r w:rsidRPr="00640F03">
        <w:rPr>
          <w:lang w:val="fr-FR"/>
        </w:rPr>
        <w:t>Europe, le Comité directeur pour la bioéthique susmentionné a été remplacé, le 1</w:t>
      </w:r>
      <w:r w:rsidRPr="00640F03">
        <w:rPr>
          <w:vertAlign w:val="superscript"/>
          <w:lang w:val="fr-FR"/>
        </w:rPr>
        <w:t>er</w:t>
      </w:r>
      <w:r w:rsidRPr="00640F03" w:rsidR="00D92A54">
        <w:rPr>
          <w:lang w:val="fr-FR"/>
        </w:rPr>
        <w:t> </w:t>
      </w:r>
      <w:r w:rsidRPr="00640F03">
        <w:rPr>
          <w:lang w:val="fr-FR"/>
        </w:rPr>
        <w:t>janvier 2012, par le DH-BIO qui, depuis cette date, est le comité désigné au sens de l</w:t>
      </w:r>
      <w:r w:rsidRPr="00640F03" w:rsidR="00640F03">
        <w:rPr>
          <w:lang w:val="fr-FR"/>
        </w:rPr>
        <w:t>’</w:t>
      </w:r>
      <w:r w:rsidRPr="00640F03">
        <w:rPr>
          <w:lang w:val="fr-FR"/>
        </w:rPr>
        <w:t>article</w:t>
      </w:r>
      <w:r w:rsidRPr="00640F03" w:rsidR="00A35581">
        <w:rPr>
          <w:lang w:val="fr-FR"/>
        </w:rPr>
        <w:t> </w:t>
      </w:r>
      <w:r w:rsidRPr="00640F03">
        <w:rPr>
          <w:lang w:val="fr-FR"/>
        </w:rPr>
        <w:t>32 §</w:t>
      </w:r>
      <w:r w:rsidRPr="00640F03" w:rsidR="00A35581">
        <w:rPr>
          <w:lang w:val="fr-FR"/>
        </w:rPr>
        <w:t> </w:t>
      </w:r>
      <w:r w:rsidRPr="00640F03">
        <w:rPr>
          <w:lang w:val="fr-FR"/>
        </w:rPr>
        <w:t>1 de la Convention d</w:t>
      </w:r>
      <w:r w:rsidRPr="00640F03" w:rsidR="00640F03">
        <w:rPr>
          <w:lang w:val="fr-FR"/>
        </w:rPr>
        <w:t>’</w:t>
      </w:r>
      <w:r w:rsidRPr="00640F03">
        <w:rPr>
          <w:lang w:val="fr-FR"/>
        </w:rPr>
        <w:t>Oviedo.</w:t>
      </w:r>
    </w:p>
    <w:p w:rsidRPr="00640F03" w:rsidR="00F6518C" w:rsidP="00640F03" w:rsidRDefault="00F6518C" w14:paraId="336F007B" w14:textId="1B536E0D">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12</w:t>
      </w:r>
      <w:r w:rsidRPr="00640F03">
        <w:rPr>
          <w:lang w:val="fr-FR"/>
        </w:rPr>
        <w:fldChar w:fldCharType="end"/>
      </w:r>
      <w:r w:rsidRPr="00640F03">
        <w:rPr>
          <w:lang w:val="fr-FR"/>
        </w:rPr>
        <w:t>.  </w:t>
      </w:r>
      <w:r w:rsidRPr="00640F03" w:rsidR="00002C2E">
        <w:rPr>
          <w:lang w:val="fr-FR"/>
        </w:rPr>
        <w:t>S</w:t>
      </w:r>
      <w:r w:rsidRPr="00640F03" w:rsidR="00640F03">
        <w:rPr>
          <w:lang w:val="fr-FR"/>
        </w:rPr>
        <w:t>’</w:t>
      </w:r>
      <w:r w:rsidRPr="00640F03" w:rsidR="00002C2E">
        <w:rPr>
          <w:lang w:val="fr-FR"/>
        </w:rPr>
        <w:t>agissant de la première fois qu</w:t>
      </w:r>
      <w:r w:rsidRPr="00640F03" w:rsidR="00640F03">
        <w:rPr>
          <w:lang w:val="fr-FR"/>
        </w:rPr>
        <w:t>’</w:t>
      </w:r>
      <w:r w:rsidRPr="00640F03" w:rsidR="00002C2E">
        <w:rPr>
          <w:lang w:val="fr-FR"/>
        </w:rPr>
        <w:t>une demande d</w:t>
      </w:r>
      <w:r w:rsidRPr="00640F03" w:rsidR="00640F03">
        <w:rPr>
          <w:lang w:val="fr-FR"/>
        </w:rPr>
        <w:t>’</w:t>
      </w:r>
      <w:r w:rsidRPr="00640F03" w:rsidR="00002C2E">
        <w:rPr>
          <w:lang w:val="fr-FR"/>
        </w:rPr>
        <w:t>avis consultatif est soumise à la Cour au titre de l</w:t>
      </w:r>
      <w:r w:rsidRPr="00640F03" w:rsidR="00640F03">
        <w:rPr>
          <w:lang w:val="fr-FR"/>
        </w:rPr>
        <w:t>’</w:t>
      </w:r>
      <w:r w:rsidRPr="00640F03" w:rsidR="00002C2E">
        <w:rPr>
          <w:lang w:val="fr-FR"/>
        </w:rPr>
        <w:t>article</w:t>
      </w:r>
      <w:r w:rsidRPr="00640F03" w:rsidR="00D92A54">
        <w:rPr>
          <w:lang w:val="fr-FR"/>
        </w:rPr>
        <w:t> </w:t>
      </w:r>
      <w:r w:rsidRPr="00640F03" w:rsidR="00002C2E">
        <w:rPr>
          <w:lang w:val="fr-FR"/>
        </w:rPr>
        <w:t>29, celle-ci juge utile d</w:t>
      </w:r>
      <w:r w:rsidRPr="00640F03" w:rsidR="00640F03">
        <w:rPr>
          <w:lang w:val="fr-FR"/>
        </w:rPr>
        <w:t>’</w:t>
      </w:r>
      <w:r w:rsidRPr="00640F03" w:rsidR="00002C2E">
        <w:rPr>
          <w:lang w:val="fr-FR"/>
        </w:rPr>
        <w:t>évoquer la genèse de cette disposition.</w:t>
      </w:r>
    </w:p>
    <w:bookmarkStart w:name="P13" w:id="8"/>
    <w:p w:rsidRPr="00640F03" w:rsidR="00F6518C" w:rsidP="00640F03" w:rsidRDefault="00F6518C" w14:paraId="44724FF1" w14:textId="3E801501">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13</w:t>
      </w:r>
      <w:r w:rsidRPr="00640F03">
        <w:rPr>
          <w:lang w:val="fr-FR"/>
        </w:rPr>
        <w:fldChar w:fldCharType="end"/>
      </w:r>
      <w:bookmarkEnd w:id="8"/>
      <w:r w:rsidRPr="00640F03">
        <w:rPr>
          <w:lang w:val="fr-FR"/>
        </w:rPr>
        <w:t>.  </w:t>
      </w:r>
      <w:r w:rsidRPr="00640F03" w:rsidR="00002C2E">
        <w:rPr>
          <w:lang w:val="fr-FR"/>
        </w:rPr>
        <w:t xml:space="preserve">Les </w:t>
      </w:r>
      <w:r w:rsidRPr="00640F03" w:rsidR="00002C2E">
        <w:rPr>
          <w:iCs/>
          <w:lang w:val="fr-FR"/>
        </w:rPr>
        <w:t>travaux préparatoires</w:t>
      </w:r>
      <w:r w:rsidRPr="00640F03" w:rsidR="00002C2E">
        <w:rPr>
          <w:lang w:val="fr-FR"/>
        </w:rPr>
        <w:t xml:space="preserve"> (publiés par le Conseil de l</w:t>
      </w:r>
      <w:r w:rsidRPr="00640F03" w:rsidR="00640F03">
        <w:rPr>
          <w:lang w:val="fr-FR"/>
        </w:rPr>
        <w:t>’</w:t>
      </w:r>
      <w:r w:rsidRPr="00640F03" w:rsidR="00002C2E">
        <w:rPr>
          <w:lang w:val="fr-FR"/>
        </w:rPr>
        <w:t>Europe sous la référence CDBI/INF (2000) 1) indiquent que l</w:t>
      </w:r>
      <w:r w:rsidRPr="00640F03" w:rsidR="00640F03">
        <w:rPr>
          <w:lang w:val="fr-FR"/>
        </w:rPr>
        <w:t>’</w:t>
      </w:r>
      <w:r w:rsidRPr="00640F03" w:rsidR="00002C2E">
        <w:rPr>
          <w:lang w:val="fr-FR"/>
        </w:rPr>
        <w:t>idée de conférer à la Cour un rôle à l</w:t>
      </w:r>
      <w:r w:rsidRPr="00640F03" w:rsidR="00640F03">
        <w:rPr>
          <w:lang w:val="fr-FR"/>
        </w:rPr>
        <w:t>’</w:t>
      </w:r>
      <w:r w:rsidRPr="00640F03" w:rsidR="00002C2E">
        <w:rPr>
          <w:lang w:val="fr-FR"/>
        </w:rPr>
        <w:t>égard de ce qui devait devenir la Convention d</w:t>
      </w:r>
      <w:r w:rsidRPr="00640F03" w:rsidR="00640F03">
        <w:rPr>
          <w:lang w:val="fr-FR"/>
        </w:rPr>
        <w:t>’</w:t>
      </w:r>
      <w:r w:rsidRPr="00640F03" w:rsidR="00002C2E">
        <w:rPr>
          <w:lang w:val="fr-FR"/>
        </w:rPr>
        <w:t xml:space="preserve">Oviedo a été initialement discutée </w:t>
      </w:r>
      <w:r w:rsidRPr="00640F03" w:rsidR="008733A9">
        <w:rPr>
          <w:lang w:val="fr-FR"/>
        </w:rPr>
        <w:t xml:space="preserve">mi-1994 </w:t>
      </w:r>
      <w:r w:rsidRPr="00640F03" w:rsidR="00002C2E">
        <w:rPr>
          <w:lang w:val="fr-FR"/>
        </w:rPr>
        <w:t>avec les représentants de la Cour, notamment. Lors de cette discussion initiale, ceux-ci accueillirent favorablement un possible rôle interprétatif de la Cour (</w:t>
      </w:r>
      <w:r w:rsidRPr="00640F03" w:rsidR="00002C2E">
        <w:rPr>
          <w:i/>
          <w:iCs/>
          <w:lang w:val="fr-FR"/>
        </w:rPr>
        <w:t>op. cit.</w:t>
      </w:r>
      <w:r w:rsidRPr="00640F03" w:rsidR="00002C2E">
        <w:rPr>
          <w:lang w:val="fr-FR"/>
        </w:rPr>
        <w:t>, p. 11</w:t>
      </w:r>
      <w:r w:rsidRPr="00640F03" w:rsidR="005315F4">
        <w:rPr>
          <w:lang w:val="fr-FR"/>
        </w:rPr>
        <w:t>9</w:t>
      </w:r>
      <w:r w:rsidRPr="00640F03" w:rsidR="00002C2E">
        <w:rPr>
          <w:lang w:val="fr-FR"/>
        </w:rPr>
        <w:t>). En 1995, l</w:t>
      </w:r>
      <w:r w:rsidRPr="00640F03" w:rsidR="00640F03">
        <w:rPr>
          <w:lang w:val="fr-FR"/>
        </w:rPr>
        <w:t>’</w:t>
      </w:r>
      <w:r w:rsidRPr="00640F03" w:rsidR="00002C2E">
        <w:rPr>
          <w:lang w:val="fr-FR"/>
        </w:rPr>
        <w:t>Assemblée parlementaire du Conseil de l</w:t>
      </w:r>
      <w:r w:rsidRPr="00640F03" w:rsidR="00640F03">
        <w:rPr>
          <w:lang w:val="fr-FR"/>
        </w:rPr>
        <w:t>’</w:t>
      </w:r>
      <w:r w:rsidRPr="00640F03" w:rsidR="00002C2E">
        <w:rPr>
          <w:lang w:val="fr-FR"/>
        </w:rPr>
        <w:t>Europe adopta l</w:t>
      </w:r>
      <w:r w:rsidRPr="00640F03" w:rsidR="00640F03">
        <w:rPr>
          <w:lang w:val="fr-FR"/>
        </w:rPr>
        <w:t>’</w:t>
      </w:r>
      <w:r w:rsidRPr="00640F03" w:rsidR="00002C2E">
        <w:rPr>
          <w:lang w:val="fr-FR"/>
        </w:rPr>
        <w:t>avis 184 sur le projet de Convention de bioéthique, dans lequel était proposée l</w:t>
      </w:r>
      <w:r w:rsidRPr="00640F03" w:rsidR="00640F03">
        <w:rPr>
          <w:lang w:val="fr-FR"/>
        </w:rPr>
        <w:t>’</w:t>
      </w:r>
      <w:r w:rsidRPr="00640F03" w:rsidR="00002C2E">
        <w:rPr>
          <w:lang w:val="fr-FR"/>
        </w:rPr>
        <w:t>institution d</w:t>
      </w:r>
      <w:r w:rsidRPr="00640F03" w:rsidR="00640F03">
        <w:rPr>
          <w:lang w:val="fr-FR"/>
        </w:rPr>
        <w:t>’</w:t>
      </w:r>
      <w:r w:rsidRPr="00640F03" w:rsidR="00002C2E">
        <w:rPr>
          <w:lang w:val="fr-FR"/>
        </w:rPr>
        <w:t>« un organe de contrôle en liaison avec la Cour européenne des droits de l</w:t>
      </w:r>
      <w:r w:rsidRPr="00640F03" w:rsidR="00640F03">
        <w:rPr>
          <w:lang w:val="fr-FR"/>
        </w:rPr>
        <w:t>’</w:t>
      </w:r>
      <w:r w:rsidRPr="00640F03" w:rsidR="00002C2E">
        <w:rPr>
          <w:lang w:val="fr-FR"/>
        </w:rPr>
        <w:t>homme », chargé de surveiller l</w:t>
      </w:r>
      <w:r w:rsidRPr="00640F03" w:rsidR="00640F03">
        <w:rPr>
          <w:lang w:val="fr-FR"/>
        </w:rPr>
        <w:t>’</w:t>
      </w:r>
      <w:r w:rsidRPr="00640F03" w:rsidR="00002C2E">
        <w:rPr>
          <w:lang w:val="fr-FR"/>
        </w:rPr>
        <w:t>application de la nouvelle convention et d</w:t>
      </w:r>
      <w:r w:rsidRPr="00640F03" w:rsidR="00640F03">
        <w:rPr>
          <w:lang w:val="fr-FR"/>
        </w:rPr>
        <w:t>’</w:t>
      </w:r>
      <w:r w:rsidRPr="00640F03" w:rsidR="00002C2E">
        <w:rPr>
          <w:lang w:val="fr-FR"/>
        </w:rPr>
        <w:t xml:space="preserve">en interpréter le texte. Les rédacteurs de la convention </w:t>
      </w:r>
      <w:r w:rsidRPr="00640F03" w:rsidR="00C94409">
        <w:rPr>
          <w:lang w:val="fr-FR"/>
        </w:rPr>
        <w:t xml:space="preserve">établirent </w:t>
      </w:r>
      <w:r w:rsidRPr="00640F03" w:rsidR="00002C2E">
        <w:rPr>
          <w:lang w:val="fr-FR"/>
        </w:rPr>
        <w:t>le projet de disposition qui suit (qui devint l</w:t>
      </w:r>
      <w:r w:rsidRPr="00640F03" w:rsidR="00640F03">
        <w:rPr>
          <w:lang w:val="fr-FR"/>
        </w:rPr>
        <w:t>’</w:t>
      </w:r>
      <w:r w:rsidRPr="00640F03" w:rsidR="00002C2E">
        <w:rPr>
          <w:lang w:val="fr-FR"/>
        </w:rPr>
        <w:t>article</w:t>
      </w:r>
      <w:r w:rsidRPr="00640F03" w:rsidR="00D92A54">
        <w:rPr>
          <w:lang w:val="fr-FR"/>
        </w:rPr>
        <w:t> </w:t>
      </w:r>
      <w:r w:rsidRPr="00640F03" w:rsidR="00002C2E">
        <w:rPr>
          <w:lang w:val="fr-FR"/>
        </w:rPr>
        <w:t>28 du projet de convention) :</w:t>
      </w:r>
    </w:p>
    <w:p w:rsidRPr="00640F03" w:rsidR="00002C2E" w:rsidP="00640F03" w:rsidRDefault="00002C2E" w14:paraId="59DBFBFD" w14:textId="0B50C349">
      <w:pPr>
        <w:pStyle w:val="JuQuot"/>
        <w:rPr>
          <w:lang w:val="fr-FR"/>
        </w:rPr>
      </w:pPr>
      <w:r w:rsidRPr="00640F03">
        <w:rPr>
          <w:lang w:val="fr-FR"/>
        </w:rPr>
        <w:t>« Les Parties à la présente Convention membres du Conseil de l</w:t>
      </w:r>
      <w:r w:rsidRPr="00640F03" w:rsidR="00640F03">
        <w:rPr>
          <w:lang w:val="fr-FR"/>
        </w:rPr>
        <w:t>’</w:t>
      </w:r>
      <w:r w:rsidRPr="00640F03">
        <w:rPr>
          <w:lang w:val="fr-FR"/>
        </w:rPr>
        <w:t>Europe [et la Communauté européenne] peuvent déclarer à tout moment qu</w:t>
      </w:r>
      <w:r w:rsidRPr="00640F03" w:rsidR="00640F03">
        <w:rPr>
          <w:lang w:val="fr-FR"/>
        </w:rPr>
        <w:t>’</w:t>
      </w:r>
      <w:r w:rsidRPr="00640F03">
        <w:rPr>
          <w:lang w:val="fr-FR"/>
        </w:rPr>
        <w:t>elles acceptent la compétence de la Cour européenne des droits de l</w:t>
      </w:r>
      <w:r w:rsidRPr="00640F03" w:rsidR="00640F03">
        <w:rPr>
          <w:lang w:val="fr-FR"/>
        </w:rPr>
        <w:t>’</w:t>
      </w:r>
      <w:r w:rsidRPr="00640F03">
        <w:rPr>
          <w:lang w:val="fr-FR"/>
        </w:rPr>
        <w:t>homme pour statuer sur l</w:t>
      </w:r>
      <w:r w:rsidRPr="00640F03" w:rsidR="00640F03">
        <w:rPr>
          <w:lang w:val="fr-FR"/>
        </w:rPr>
        <w:t>’</w:t>
      </w:r>
      <w:r w:rsidRPr="00640F03">
        <w:rPr>
          <w:lang w:val="fr-FR"/>
        </w:rPr>
        <w:t>interprétation de [certaines dispositions de] la présente Convention à la demande :</w:t>
      </w:r>
    </w:p>
    <w:p w:rsidRPr="00640F03" w:rsidR="00002C2E" w:rsidP="00640F03" w:rsidRDefault="00002C2E" w14:paraId="675EF093" w14:textId="73AEE211">
      <w:pPr>
        <w:pStyle w:val="JuQuot"/>
        <w:rPr>
          <w:lang w:val="fr-FR"/>
        </w:rPr>
      </w:pPr>
      <w:r w:rsidRPr="00640F03">
        <w:rPr>
          <w:lang w:val="fr-FR"/>
        </w:rPr>
        <w:t>– du Gouvernement d</w:t>
      </w:r>
      <w:r w:rsidRPr="00640F03" w:rsidR="00640F03">
        <w:rPr>
          <w:lang w:val="fr-FR"/>
        </w:rPr>
        <w:t>’</w:t>
      </w:r>
      <w:r w:rsidRPr="00640F03">
        <w:rPr>
          <w:lang w:val="fr-FR"/>
        </w:rPr>
        <w:t>une Partie [ou de la Commission européenne si la Communauté est Partie],</w:t>
      </w:r>
    </w:p>
    <w:p w:rsidRPr="00640F03" w:rsidR="00002C2E" w:rsidP="00640F03" w:rsidRDefault="00002C2E" w14:paraId="4040252C" w14:textId="03A1D296">
      <w:pPr>
        <w:pStyle w:val="JuQuot"/>
        <w:rPr>
          <w:lang w:val="fr-FR"/>
        </w:rPr>
      </w:pPr>
      <w:r w:rsidRPr="00640F03">
        <w:rPr>
          <w:lang w:val="fr-FR"/>
        </w:rPr>
        <w:t>– à titre préjudiciel, d</w:t>
      </w:r>
      <w:r w:rsidRPr="00640F03" w:rsidR="00640F03">
        <w:rPr>
          <w:lang w:val="fr-FR"/>
        </w:rPr>
        <w:t>’</w:t>
      </w:r>
      <w:r w:rsidRPr="00640F03">
        <w:rPr>
          <w:lang w:val="fr-FR"/>
        </w:rPr>
        <w:t>une juridiction d</w:t>
      </w:r>
      <w:r w:rsidRPr="00640F03" w:rsidR="00640F03">
        <w:rPr>
          <w:lang w:val="fr-FR"/>
        </w:rPr>
        <w:t>’</w:t>
      </w:r>
      <w:r w:rsidRPr="00640F03">
        <w:rPr>
          <w:lang w:val="fr-FR"/>
        </w:rPr>
        <w:t>une Partie,</w:t>
      </w:r>
    </w:p>
    <w:p w:rsidRPr="00640F03" w:rsidR="00F6518C" w:rsidP="00640F03" w:rsidRDefault="00002C2E" w14:paraId="70C2B7A0" w14:textId="3146252E">
      <w:pPr>
        <w:pStyle w:val="JuQuot"/>
        <w:rPr>
          <w:lang w:val="fr-FR"/>
        </w:rPr>
      </w:pPr>
      <w:r w:rsidRPr="00640F03">
        <w:rPr>
          <w:lang w:val="fr-FR"/>
        </w:rPr>
        <w:t>– du Comité des Ministres du Conseil de l</w:t>
      </w:r>
      <w:r w:rsidRPr="00640F03" w:rsidR="00640F03">
        <w:rPr>
          <w:lang w:val="fr-FR"/>
        </w:rPr>
        <w:t>’</w:t>
      </w:r>
      <w:r w:rsidRPr="00640F03">
        <w:rPr>
          <w:lang w:val="fr-FR"/>
        </w:rPr>
        <w:t>Europe. »</w:t>
      </w:r>
    </w:p>
    <w:bookmarkStart w:name="P14" w:id="9"/>
    <w:p w:rsidRPr="00640F03" w:rsidR="006E0F85" w:rsidP="00640F03" w:rsidRDefault="00F6518C" w14:paraId="798AD800" w14:textId="759F1118">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14</w:t>
      </w:r>
      <w:r w:rsidRPr="00640F03">
        <w:rPr>
          <w:rFonts w:ascii="Times New Roman" w:hAnsi="Times New Roman" w:cs="Times New Roman"/>
          <w:lang w:val="fr-FR"/>
        </w:rPr>
        <w:fldChar w:fldCharType="end"/>
      </w:r>
      <w:bookmarkEnd w:id="9"/>
      <w:r w:rsidRPr="00640F03">
        <w:rPr>
          <w:rFonts w:ascii="Times New Roman" w:hAnsi="Times New Roman" w:cs="Times New Roman"/>
          <w:lang w:val="fr-FR"/>
        </w:rPr>
        <w:t>.  </w:t>
      </w:r>
      <w:r w:rsidRPr="00640F03" w:rsidR="00002C2E">
        <w:rPr>
          <w:rFonts w:ascii="Times New Roman" w:hAnsi="Times New Roman" w:cs="Times New Roman"/>
          <w:lang w:val="fr-FR"/>
        </w:rPr>
        <w:t>La Cour répondit à cette proposition par un avis rendu le 6</w:t>
      </w:r>
      <w:r w:rsidRPr="00640F03" w:rsidR="00D92A54">
        <w:rPr>
          <w:rFonts w:ascii="Times New Roman" w:hAnsi="Times New Roman" w:cs="Times New Roman"/>
          <w:lang w:val="fr-FR"/>
        </w:rPr>
        <w:t> </w:t>
      </w:r>
      <w:r w:rsidRPr="00640F03" w:rsidR="00002C2E">
        <w:rPr>
          <w:rFonts w:ascii="Times New Roman" w:hAnsi="Times New Roman" w:cs="Times New Roman"/>
          <w:lang w:val="fr-FR"/>
        </w:rPr>
        <w:t>novembre 1995 (Cour (95) 413). Dans cet avis, elle se félicitait de manière générale du projet et observait que « [v]u son objet et sa finalité, cette convention s</w:t>
      </w:r>
      <w:r w:rsidRPr="00640F03" w:rsidR="00640F03">
        <w:rPr>
          <w:rFonts w:ascii="Times New Roman" w:hAnsi="Times New Roman" w:cs="Times New Roman"/>
          <w:lang w:val="fr-FR"/>
        </w:rPr>
        <w:t>’</w:t>
      </w:r>
      <w:r w:rsidRPr="00640F03" w:rsidR="00002C2E">
        <w:rPr>
          <w:rFonts w:ascii="Times New Roman" w:hAnsi="Times New Roman" w:cs="Times New Roman"/>
          <w:lang w:val="fr-FR"/>
        </w:rPr>
        <w:t>inscrit dans le droit fil de la Convention européenne des droits de l</w:t>
      </w:r>
      <w:r w:rsidRPr="00640F03" w:rsidR="00640F03">
        <w:rPr>
          <w:rFonts w:ascii="Times New Roman" w:hAnsi="Times New Roman" w:cs="Times New Roman"/>
          <w:lang w:val="fr-FR"/>
        </w:rPr>
        <w:t>’</w:t>
      </w:r>
      <w:r w:rsidRPr="00640F03" w:rsidR="00002C2E">
        <w:rPr>
          <w:rFonts w:ascii="Times New Roman" w:hAnsi="Times New Roman" w:cs="Times New Roman"/>
          <w:lang w:val="fr-FR"/>
        </w:rPr>
        <w:t>homme, dont elle partage non seulement la philosophie mais aussi certaines notions juridiques ».</w:t>
      </w:r>
    </w:p>
    <w:p w:rsidRPr="00640F03" w:rsidR="00002C2E" w:rsidP="00640F03" w:rsidRDefault="00002C2E" w14:paraId="4A277E8B" w14:textId="7E3605D6">
      <w:pPr>
        <w:pStyle w:val="JuPara"/>
        <w:rPr>
          <w:rFonts w:ascii="Times New Roman" w:hAnsi="Times New Roman" w:cs="Times New Roman"/>
          <w:lang w:val="fr-FR"/>
        </w:rPr>
      </w:pPr>
      <w:r w:rsidRPr="00640F03">
        <w:rPr>
          <w:rFonts w:ascii="Times New Roman" w:hAnsi="Times New Roman" w:cs="Times New Roman"/>
          <w:lang w:val="fr-FR"/>
        </w:rPr>
        <w:t>Elle poursuivait ainsi :</w:t>
      </w:r>
    </w:p>
    <w:p w:rsidRPr="00640F03" w:rsidR="00002C2E" w:rsidP="00640F03" w:rsidRDefault="00002C2E" w14:paraId="682E65F2" w14:textId="277EE9B4">
      <w:pPr>
        <w:pStyle w:val="JuQuot"/>
        <w:rPr>
          <w:lang w:val="fr-BE"/>
        </w:rPr>
      </w:pPr>
      <w:r w:rsidRPr="00640F03">
        <w:rPr>
          <w:lang w:val="fr-BE"/>
        </w:rPr>
        <w:t>« Plusieurs de[s] dispositions [du projet de convention] et notamment les quelques notions juridiques qu</w:t>
      </w:r>
      <w:r w:rsidRPr="00640F03" w:rsidR="00640F03">
        <w:rPr>
          <w:lang w:val="fr-BE"/>
        </w:rPr>
        <w:t>’</w:t>
      </w:r>
      <w:r w:rsidRPr="00640F03">
        <w:rPr>
          <w:lang w:val="fr-BE"/>
        </w:rPr>
        <w:t>[il] a en commun avec la Convention des droits de l</w:t>
      </w:r>
      <w:r w:rsidRPr="00640F03" w:rsidR="00640F03">
        <w:rPr>
          <w:lang w:val="fr-BE"/>
        </w:rPr>
        <w:t>’</w:t>
      </w:r>
      <w:r w:rsidRPr="00640F03">
        <w:rPr>
          <w:lang w:val="fr-BE"/>
        </w:rPr>
        <w:t>homme se prêtent facilement à des interprétations divergentes. On comprend dès lors le souci de ses auteurs d</w:t>
      </w:r>
      <w:r w:rsidRPr="00640F03" w:rsidR="00640F03">
        <w:rPr>
          <w:lang w:val="fr-BE"/>
        </w:rPr>
        <w:t>’</w:t>
      </w:r>
      <w:r w:rsidRPr="00640F03">
        <w:rPr>
          <w:lang w:val="fr-BE"/>
        </w:rPr>
        <w:t>instituer un système qui permettrait d</w:t>
      </w:r>
      <w:r w:rsidRPr="00640F03" w:rsidR="00640F03">
        <w:rPr>
          <w:lang w:val="fr-BE"/>
        </w:rPr>
        <w:t>’</w:t>
      </w:r>
      <w:r w:rsidRPr="00640F03">
        <w:rPr>
          <w:lang w:val="fr-BE"/>
        </w:rPr>
        <w:t>obtenir, au sujet desdites dispositions, une interprétation uniforme faisant autorité pour tous les États contractants. L</w:t>
      </w:r>
      <w:r w:rsidRPr="00640F03" w:rsidR="00640F03">
        <w:rPr>
          <w:lang w:val="fr-BE"/>
        </w:rPr>
        <w:t>’</w:t>
      </w:r>
      <w:r w:rsidRPr="00640F03">
        <w:rPr>
          <w:lang w:val="fr-BE"/>
        </w:rPr>
        <w:t>exercice de cette fonction par la Cour européenne des droits de l</w:t>
      </w:r>
      <w:r w:rsidRPr="00640F03" w:rsidR="00640F03">
        <w:rPr>
          <w:lang w:val="fr-BE"/>
        </w:rPr>
        <w:t>’</w:t>
      </w:r>
      <w:r w:rsidRPr="00640F03">
        <w:rPr>
          <w:lang w:val="fr-BE"/>
        </w:rPr>
        <w:t>homme devrait permettre d</w:t>
      </w:r>
      <w:r w:rsidRPr="00640F03" w:rsidR="00640F03">
        <w:rPr>
          <w:lang w:val="fr-BE"/>
        </w:rPr>
        <w:t>’</w:t>
      </w:r>
      <w:r w:rsidRPr="00640F03">
        <w:rPr>
          <w:lang w:val="fr-BE"/>
        </w:rPr>
        <w:t>atteindre ce but et éviter en même temps les divergences de compréhension et d</w:t>
      </w:r>
      <w:r w:rsidRPr="00640F03" w:rsidR="00640F03">
        <w:rPr>
          <w:lang w:val="fr-BE"/>
        </w:rPr>
        <w:t>’</w:t>
      </w:r>
      <w:r w:rsidRPr="00640F03">
        <w:rPr>
          <w:lang w:val="fr-BE"/>
        </w:rPr>
        <w:t>interprétation de quelques termes et concepts communs à la Convention bioéthique et à la Convention des droits de l</w:t>
      </w:r>
      <w:r w:rsidRPr="00640F03" w:rsidR="00640F03">
        <w:rPr>
          <w:lang w:val="fr-BE"/>
        </w:rPr>
        <w:t>’</w:t>
      </w:r>
      <w:r w:rsidRPr="00640F03">
        <w:rPr>
          <w:lang w:val="fr-BE"/>
        </w:rPr>
        <w:t>homme. »</w:t>
      </w:r>
    </w:p>
    <w:p w:rsidRPr="00640F03" w:rsidR="00F6518C" w:rsidP="00640F03" w:rsidRDefault="00002C2E" w14:paraId="31E79872" w14:textId="6709F896">
      <w:pPr>
        <w:pStyle w:val="JuPara"/>
        <w:rPr>
          <w:lang w:val="fr-FR"/>
        </w:rPr>
      </w:pPr>
      <w:r w:rsidRPr="00640F03">
        <w:rPr>
          <w:lang w:val="fr-FR"/>
        </w:rPr>
        <w:t>La Cour se déclarait favorable au principe d</w:t>
      </w:r>
      <w:r w:rsidRPr="00640F03" w:rsidR="00640F03">
        <w:rPr>
          <w:lang w:val="fr-FR"/>
        </w:rPr>
        <w:t>’</w:t>
      </w:r>
      <w:r w:rsidRPr="00640F03">
        <w:rPr>
          <w:lang w:val="fr-FR"/>
        </w:rPr>
        <w:t>assumer une compétence interprétative dans ce domaine mais n</w:t>
      </w:r>
      <w:r w:rsidRPr="00640F03" w:rsidR="00640F03">
        <w:rPr>
          <w:lang w:val="fr-FR"/>
        </w:rPr>
        <w:t>’</w:t>
      </w:r>
      <w:r w:rsidRPr="00640F03">
        <w:rPr>
          <w:lang w:val="fr-FR"/>
        </w:rPr>
        <w:t>estimait pas opportun de statuer à titre préjudiciel. Elle précisait qu</w:t>
      </w:r>
      <w:r w:rsidRPr="00640F03" w:rsidR="00640F03">
        <w:rPr>
          <w:lang w:val="fr-FR"/>
        </w:rPr>
        <w:t>’</w:t>
      </w:r>
      <w:r w:rsidRPr="00640F03">
        <w:rPr>
          <w:lang w:val="fr-FR"/>
        </w:rPr>
        <w:t>elle devrait être saisie en dehors de tout litige concret se déroulant devant une juridiction interne, ce qui « réduirait sensiblement le risque d</w:t>
      </w:r>
      <w:r w:rsidRPr="00640F03" w:rsidR="00640F03">
        <w:rPr>
          <w:lang w:val="fr-FR"/>
        </w:rPr>
        <w:t>’</w:t>
      </w:r>
      <w:r w:rsidRPr="00640F03">
        <w:rPr>
          <w:lang w:val="fr-FR"/>
        </w:rPr>
        <w:t>une interprétation de nature à gêner la Cour ultérieurement si elle était saisie des faits de la cause ayant provoqué la demande préjudicielle dans le cadre de la Convention des droits de l</w:t>
      </w:r>
      <w:r w:rsidRPr="00640F03" w:rsidR="00640F03">
        <w:rPr>
          <w:lang w:val="fr-FR"/>
        </w:rPr>
        <w:t>’</w:t>
      </w:r>
      <w:r w:rsidRPr="00640F03">
        <w:rPr>
          <w:lang w:val="fr-FR"/>
        </w:rPr>
        <w:t>homme ».</w:t>
      </w:r>
    </w:p>
    <w:bookmarkStart w:name="P15" w:id="10"/>
    <w:p w:rsidRPr="00640F03" w:rsidR="00EE08C4" w:rsidP="00640F03" w:rsidRDefault="00F6518C" w14:paraId="4CBE4F1D" w14:textId="24B5C857">
      <w:pPr>
        <w:pStyle w:val="JuPara"/>
        <w:rPr>
          <w:iCs/>
          <w:lang w:val="fr-FR"/>
        </w:rPr>
      </w:pPr>
      <w:r w:rsidRPr="00640F03">
        <w:rPr>
          <w:iCs/>
          <w:lang w:val="fr-FR"/>
        </w:rPr>
        <w:fldChar w:fldCharType="begin"/>
      </w:r>
      <w:r w:rsidRPr="00640F03">
        <w:rPr>
          <w:iCs/>
          <w:lang w:val="fr-FR"/>
        </w:rPr>
        <w:instrText xml:space="preserve"> SEQ level0 \*arabic </w:instrText>
      </w:r>
      <w:r w:rsidRPr="00640F03">
        <w:rPr>
          <w:iCs/>
          <w:lang w:val="fr-FR"/>
        </w:rPr>
        <w:fldChar w:fldCharType="separate"/>
      </w:r>
      <w:r w:rsidRPr="00640F03" w:rsidR="00640F03">
        <w:rPr>
          <w:iCs/>
          <w:noProof/>
          <w:lang w:val="fr-FR"/>
        </w:rPr>
        <w:t>15</w:t>
      </w:r>
      <w:r w:rsidRPr="00640F03">
        <w:rPr>
          <w:iCs/>
          <w:lang w:val="fr-FR"/>
        </w:rPr>
        <w:fldChar w:fldCharType="end"/>
      </w:r>
      <w:bookmarkEnd w:id="10"/>
      <w:r w:rsidRPr="00640F03">
        <w:rPr>
          <w:iCs/>
          <w:lang w:val="fr-FR"/>
        </w:rPr>
        <w:t>.  </w:t>
      </w:r>
      <w:r w:rsidRPr="00640F03" w:rsidR="00002C2E">
        <w:rPr>
          <w:iCs/>
          <w:lang w:val="fr-FR"/>
        </w:rPr>
        <w:t>Au lieu du libellé proposé (« pour statuer sur l</w:t>
      </w:r>
      <w:r w:rsidRPr="00640F03" w:rsidR="00640F03">
        <w:rPr>
          <w:iCs/>
          <w:lang w:val="fr-FR"/>
        </w:rPr>
        <w:t>’</w:t>
      </w:r>
      <w:r w:rsidRPr="00640F03" w:rsidR="00002C2E">
        <w:rPr>
          <w:iCs/>
          <w:lang w:val="fr-FR"/>
        </w:rPr>
        <w:t>interprétation de [certaines dispositions de] la présente Convention »), la Cour suggérait une formule analogue à celle figurant à l</w:t>
      </w:r>
      <w:r w:rsidRPr="00640F03" w:rsidR="00640F03">
        <w:rPr>
          <w:iCs/>
          <w:lang w:val="fr-FR"/>
        </w:rPr>
        <w:t>’</w:t>
      </w:r>
      <w:r w:rsidRPr="00640F03" w:rsidR="00002C2E">
        <w:rPr>
          <w:iCs/>
          <w:lang w:val="fr-FR"/>
        </w:rPr>
        <w:t>article</w:t>
      </w:r>
      <w:r w:rsidRPr="00640F03" w:rsidR="00D92A54">
        <w:rPr>
          <w:iCs/>
          <w:lang w:val="fr-FR"/>
        </w:rPr>
        <w:t> </w:t>
      </w:r>
      <w:r w:rsidRPr="00640F03" w:rsidR="00002C2E">
        <w:rPr>
          <w:iCs/>
          <w:lang w:val="fr-FR"/>
        </w:rPr>
        <w:t>1 du Protocole n</w:t>
      </w:r>
      <w:r w:rsidRPr="00640F03" w:rsidR="00002C2E">
        <w:rPr>
          <w:iCs/>
          <w:vertAlign w:val="superscript"/>
          <w:lang w:val="fr-FR"/>
        </w:rPr>
        <w:t>o</w:t>
      </w:r>
      <w:r w:rsidRPr="00640F03" w:rsidR="00A35581">
        <w:rPr>
          <w:iCs/>
          <w:lang w:val="fr-FR"/>
        </w:rPr>
        <w:t> </w:t>
      </w:r>
      <w:r w:rsidRPr="00640F03" w:rsidR="00002C2E">
        <w:rPr>
          <w:iCs/>
          <w:lang w:val="fr-FR"/>
        </w:rPr>
        <w:t>2 à la Convention des droits de l</w:t>
      </w:r>
      <w:r w:rsidRPr="00640F03" w:rsidR="00640F03">
        <w:rPr>
          <w:iCs/>
          <w:lang w:val="fr-FR"/>
        </w:rPr>
        <w:t>’</w:t>
      </w:r>
      <w:r w:rsidRPr="00640F03" w:rsidR="00002C2E">
        <w:rPr>
          <w:iCs/>
          <w:lang w:val="fr-FR"/>
        </w:rPr>
        <w:t>homme (désormais l</w:t>
      </w:r>
      <w:r w:rsidRPr="00640F03" w:rsidR="00640F03">
        <w:rPr>
          <w:iCs/>
          <w:lang w:val="fr-FR"/>
        </w:rPr>
        <w:t>’</w:t>
      </w:r>
      <w:r w:rsidRPr="00640F03" w:rsidR="00002C2E">
        <w:rPr>
          <w:iCs/>
          <w:lang w:val="fr-FR"/>
        </w:rPr>
        <w:t>article</w:t>
      </w:r>
      <w:r w:rsidRPr="00640F03" w:rsidR="00A35581">
        <w:rPr>
          <w:iCs/>
          <w:lang w:val="fr-FR"/>
        </w:rPr>
        <w:t> </w:t>
      </w:r>
      <w:r w:rsidRPr="00640F03" w:rsidR="00002C2E">
        <w:rPr>
          <w:iCs/>
          <w:lang w:val="fr-FR"/>
        </w:rPr>
        <w:t>47 de la Convention) : « pour donner, en dehors de tout litige concret se déroulant devant une juridiction interne (</w:t>
      </w:r>
      <w:r w:rsidRPr="00640F03" w:rsidR="006E0F85">
        <w:rPr>
          <w:iCs/>
          <w:lang w:val="fr-FR"/>
        </w:rPr>
        <w:t>...</w:t>
      </w:r>
      <w:r w:rsidRPr="00640F03" w:rsidR="00002C2E">
        <w:rPr>
          <w:iCs/>
          <w:lang w:val="fr-FR"/>
        </w:rPr>
        <w:t>), des avis consultatifs sur des questions juridiques concernant l</w:t>
      </w:r>
      <w:r w:rsidRPr="00640F03" w:rsidR="00640F03">
        <w:rPr>
          <w:iCs/>
          <w:lang w:val="fr-FR"/>
        </w:rPr>
        <w:t>’</w:t>
      </w:r>
      <w:r w:rsidRPr="00640F03" w:rsidR="00002C2E">
        <w:rPr>
          <w:iCs/>
          <w:lang w:val="fr-FR"/>
        </w:rPr>
        <w:t>interprétation de [certaines dispositions de] la présente Convention (</w:t>
      </w:r>
      <w:r w:rsidRPr="00640F03" w:rsidR="006E0F85">
        <w:rPr>
          <w:iCs/>
          <w:lang w:val="fr-FR"/>
        </w:rPr>
        <w:t>...</w:t>
      </w:r>
      <w:r w:rsidRPr="00640F03" w:rsidR="00002C2E">
        <w:rPr>
          <w:iCs/>
          <w:lang w:val="fr-FR"/>
        </w:rPr>
        <w:t>) ». Cette formulation fut acceptée par les rédacteurs mais les mots placés entre crochets furent supprimés afin que, étant entendu que la procédure se limiterait à des questions juridiques, la consultation puisse s</w:t>
      </w:r>
      <w:r w:rsidRPr="00640F03" w:rsidR="00640F03">
        <w:rPr>
          <w:iCs/>
          <w:lang w:val="fr-FR"/>
        </w:rPr>
        <w:t>’</w:t>
      </w:r>
      <w:r w:rsidRPr="00640F03" w:rsidR="00002C2E">
        <w:rPr>
          <w:iCs/>
          <w:lang w:val="fr-FR"/>
        </w:rPr>
        <w:t>effectuer sur toute question juridique concernant la Convention d</w:t>
      </w:r>
      <w:r w:rsidRPr="00640F03" w:rsidR="00640F03">
        <w:rPr>
          <w:iCs/>
          <w:lang w:val="fr-FR"/>
        </w:rPr>
        <w:t>’</w:t>
      </w:r>
      <w:r w:rsidRPr="00640F03" w:rsidR="00002C2E">
        <w:rPr>
          <w:iCs/>
          <w:lang w:val="fr-FR"/>
        </w:rPr>
        <w:t>Oviedo. Certaines autres modifications furent apportées au texte sur lequel la Cour avait été consultée (CDBI/INF (2000) 1, pp.</w:t>
      </w:r>
      <w:r w:rsidRPr="00640F03" w:rsidR="008E7034">
        <w:rPr>
          <w:iCs/>
          <w:lang w:val="fr-FR"/>
        </w:rPr>
        <w:t> </w:t>
      </w:r>
      <w:r w:rsidRPr="00640F03" w:rsidR="00002C2E">
        <w:rPr>
          <w:iCs/>
          <w:lang w:val="fr-FR"/>
        </w:rPr>
        <w:t>1</w:t>
      </w:r>
      <w:r w:rsidRPr="00640F03" w:rsidR="005315F4">
        <w:rPr>
          <w:iCs/>
          <w:lang w:val="fr-FR"/>
        </w:rPr>
        <w:t>20</w:t>
      </w:r>
      <w:r w:rsidRPr="00640F03" w:rsidR="00002C2E">
        <w:rPr>
          <w:iCs/>
          <w:lang w:val="fr-FR"/>
        </w:rPr>
        <w:t>-12</w:t>
      </w:r>
      <w:r w:rsidRPr="00640F03" w:rsidR="005315F4">
        <w:rPr>
          <w:iCs/>
          <w:lang w:val="fr-FR"/>
        </w:rPr>
        <w:t>1</w:t>
      </w:r>
      <w:r w:rsidRPr="00640F03" w:rsidR="00002C2E">
        <w:rPr>
          <w:iCs/>
          <w:lang w:val="fr-FR"/>
        </w:rPr>
        <w:t>), mais elles ne sont pas importantes aux fins de l</w:t>
      </w:r>
      <w:r w:rsidRPr="00640F03" w:rsidR="00640F03">
        <w:rPr>
          <w:iCs/>
          <w:lang w:val="fr-FR"/>
        </w:rPr>
        <w:t>’</w:t>
      </w:r>
      <w:r w:rsidRPr="00640F03" w:rsidR="00002C2E">
        <w:rPr>
          <w:iCs/>
          <w:lang w:val="fr-FR"/>
        </w:rPr>
        <w:t>examen de la présente demande. Le libellé définitif du texte fut adopté par une large majorité de délégations (25</w:t>
      </w:r>
      <w:r w:rsidRPr="00640F03" w:rsidR="008E7034">
        <w:rPr>
          <w:iCs/>
          <w:lang w:val="fr-FR"/>
        </w:rPr>
        <w:t> </w:t>
      </w:r>
      <w:r w:rsidRPr="00640F03" w:rsidR="00002C2E">
        <w:rPr>
          <w:iCs/>
          <w:lang w:val="fr-FR"/>
        </w:rPr>
        <w:t>voix pour, 1 contre et 8 abstentions). Les travaux préparatoires ne précisent pas les raisons ayant justifié la voix contre et les abstentions.</w:t>
      </w:r>
    </w:p>
    <w:p w:rsidRPr="00640F03" w:rsidR="00F6518C" w:rsidP="00640F03" w:rsidRDefault="00F6518C" w14:paraId="76B2CEF9" w14:textId="0CC395E1">
      <w:pPr>
        <w:pStyle w:val="JuPara"/>
        <w:rPr>
          <w:iCs/>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16</w:t>
      </w:r>
      <w:r w:rsidRPr="00640F03">
        <w:rPr>
          <w:lang w:val="fr-FR"/>
        </w:rPr>
        <w:fldChar w:fldCharType="end"/>
      </w:r>
      <w:r w:rsidRPr="00640F03">
        <w:rPr>
          <w:lang w:val="fr-FR"/>
        </w:rPr>
        <w:t>.  </w:t>
      </w:r>
      <w:r w:rsidRPr="00640F03" w:rsidR="00002C2E">
        <w:rPr>
          <w:lang w:val="fr-FR"/>
        </w:rPr>
        <w:t>L</w:t>
      </w:r>
      <w:r w:rsidRPr="00640F03" w:rsidR="00640F03">
        <w:rPr>
          <w:lang w:val="fr-FR"/>
        </w:rPr>
        <w:t>’</w:t>
      </w:r>
      <w:r w:rsidRPr="00640F03" w:rsidR="00002C2E">
        <w:rPr>
          <w:lang w:val="fr-FR"/>
        </w:rPr>
        <w:t>article</w:t>
      </w:r>
      <w:r w:rsidRPr="00640F03" w:rsidR="00D92A54">
        <w:rPr>
          <w:lang w:val="fr-FR"/>
        </w:rPr>
        <w:t> </w:t>
      </w:r>
      <w:r w:rsidRPr="00640F03" w:rsidR="00002C2E">
        <w:rPr>
          <w:lang w:val="fr-FR"/>
        </w:rPr>
        <w:t>7 de la Convention d</w:t>
      </w:r>
      <w:r w:rsidRPr="00640F03" w:rsidR="00640F03">
        <w:rPr>
          <w:lang w:val="fr-FR"/>
        </w:rPr>
        <w:t>’</w:t>
      </w:r>
      <w:r w:rsidRPr="00640F03" w:rsidR="00002C2E">
        <w:rPr>
          <w:lang w:val="fr-FR"/>
        </w:rPr>
        <w:t>Oviedo, qui fait l</w:t>
      </w:r>
      <w:r w:rsidRPr="00640F03" w:rsidR="00640F03">
        <w:rPr>
          <w:lang w:val="fr-FR"/>
        </w:rPr>
        <w:t>’</w:t>
      </w:r>
      <w:r w:rsidRPr="00640F03" w:rsidR="00002C2E">
        <w:rPr>
          <w:lang w:val="fr-FR"/>
        </w:rPr>
        <w:t>objet de la première question posée par le DH-BIO, figure au chapitre II de ce traité. Portant sur le consentement, ce chapitre énonce tout d</w:t>
      </w:r>
      <w:r w:rsidRPr="00640F03" w:rsidR="00640F03">
        <w:rPr>
          <w:lang w:val="fr-FR"/>
        </w:rPr>
        <w:t>’</w:t>
      </w:r>
      <w:r w:rsidRPr="00640F03" w:rsidR="00002C2E">
        <w:rPr>
          <w:lang w:val="fr-FR"/>
        </w:rPr>
        <w:t>abord une règle générale en la matière :</w:t>
      </w:r>
    </w:p>
    <w:p w:rsidRPr="00640F03" w:rsidR="00002C2E" w:rsidP="00640F03" w:rsidRDefault="00002C2E" w14:paraId="3D651FA8" w14:textId="50C09F6C">
      <w:pPr>
        <w:pStyle w:val="JuHArticle"/>
        <w:rPr>
          <w:lang w:val="fr-FR"/>
        </w:rPr>
      </w:pPr>
      <w:r w:rsidRPr="00640F03">
        <w:rPr>
          <w:lang w:val="fr-FR"/>
        </w:rPr>
        <w:t>Article</w:t>
      </w:r>
      <w:r w:rsidRPr="00640F03" w:rsidR="00A35581">
        <w:rPr>
          <w:lang w:val="fr-FR"/>
        </w:rPr>
        <w:t> </w:t>
      </w:r>
      <w:r w:rsidRPr="00640F03">
        <w:rPr>
          <w:lang w:val="fr-FR"/>
        </w:rPr>
        <w:t>5 – Règle générale</w:t>
      </w:r>
    </w:p>
    <w:p w:rsidRPr="00640F03" w:rsidR="00002C2E" w:rsidP="00640F03" w:rsidRDefault="00EE08C4" w14:paraId="6B7C53E9" w14:textId="76E5EECF">
      <w:pPr>
        <w:pStyle w:val="JuQuot"/>
        <w:rPr>
          <w:lang w:val="fr-FR"/>
        </w:rPr>
      </w:pPr>
      <w:r w:rsidRPr="00640F03">
        <w:rPr>
          <w:lang w:val="fr-FR"/>
        </w:rPr>
        <w:t>« </w:t>
      </w:r>
      <w:r w:rsidRPr="00640F03" w:rsidR="00002C2E">
        <w:rPr>
          <w:lang w:val="fr-FR"/>
        </w:rPr>
        <w:t>Une intervention dans le domaine de la santé ne peut être effectuée qu</w:t>
      </w:r>
      <w:r w:rsidRPr="00640F03" w:rsidR="00640F03">
        <w:rPr>
          <w:lang w:val="fr-FR"/>
        </w:rPr>
        <w:t>’</w:t>
      </w:r>
      <w:r w:rsidRPr="00640F03" w:rsidR="00002C2E">
        <w:rPr>
          <w:lang w:val="fr-FR"/>
        </w:rPr>
        <w:t>après que la personne concernée y a donné son consentement libre et éclairé.</w:t>
      </w:r>
    </w:p>
    <w:p w:rsidRPr="00640F03" w:rsidR="00002C2E" w:rsidP="00640F03" w:rsidRDefault="00002C2E" w14:paraId="1BABF05B" w14:textId="3046CDE4">
      <w:pPr>
        <w:pStyle w:val="JuQuot"/>
        <w:rPr>
          <w:lang w:val="fr-FR"/>
        </w:rPr>
      </w:pPr>
      <w:r w:rsidRPr="00640F03">
        <w:rPr>
          <w:lang w:val="fr-FR"/>
        </w:rPr>
        <w:t>Cette personne reçoit préalablement une information adéquate quant au but et à la nature de l</w:t>
      </w:r>
      <w:r w:rsidRPr="00640F03" w:rsidR="00640F03">
        <w:rPr>
          <w:lang w:val="fr-FR"/>
        </w:rPr>
        <w:t>’</w:t>
      </w:r>
      <w:r w:rsidRPr="00640F03">
        <w:rPr>
          <w:lang w:val="fr-FR"/>
        </w:rPr>
        <w:t>intervention ainsi que quant à ses conséquences et ses risques.</w:t>
      </w:r>
    </w:p>
    <w:p w:rsidRPr="00640F03" w:rsidR="00F6518C" w:rsidP="00640F03" w:rsidRDefault="00002C2E" w14:paraId="446EA10A" w14:textId="2E309D50">
      <w:pPr>
        <w:pStyle w:val="JuQuot"/>
        <w:rPr>
          <w:lang w:val="fr-FR"/>
        </w:rPr>
      </w:pPr>
      <w:r w:rsidRPr="00640F03">
        <w:rPr>
          <w:lang w:val="fr-FR"/>
        </w:rPr>
        <w:t>La personne concernée peut, à tout moment, librement retirer son consentement. »</w:t>
      </w:r>
    </w:p>
    <w:p w:rsidRPr="00640F03" w:rsidR="00F6518C" w:rsidP="00640F03" w:rsidRDefault="00002C2E" w14:paraId="6324E515" w14:textId="16B44FEF">
      <w:pPr>
        <w:pStyle w:val="JuPara"/>
        <w:rPr>
          <w:lang w:val="fr-FR"/>
        </w:rPr>
      </w:pPr>
      <w:r w:rsidRPr="00640F03">
        <w:rPr>
          <w:lang w:val="fr-FR"/>
        </w:rPr>
        <w:t>L</w:t>
      </w:r>
      <w:r w:rsidRPr="00640F03" w:rsidR="00640F03">
        <w:rPr>
          <w:lang w:val="fr-FR"/>
        </w:rPr>
        <w:t>’</w:t>
      </w:r>
      <w:r w:rsidRPr="00640F03">
        <w:rPr>
          <w:lang w:val="fr-FR"/>
        </w:rPr>
        <w:t>article</w:t>
      </w:r>
      <w:r w:rsidRPr="00640F03" w:rsidR="00D92A54">
        <w:rPr>
          <w:lang w:val="fr-FR"/>
        </w:rPr>
        <w:t> </w:t>
      </w:r>
      <w:r w:rsidRPr="00640F03">
        <w:rPr>
          <w:lang w:val="fr-FR"/>
        </w:rPr>
        <w:t>7 établit une exception à la règle générale ci-dessus. Il dispose ce qui suit :</w:t>
      </w:r>
    </w:p>
    <w:p w:rsidRPr="00640F03" w:rsidR="00002C2E" w:rsidP="00640F03" w:rsidRDefault="00002C2E" w14:paraId="3A3E6F17" w14:textId="120198FA">
      <w:pPr>
        <w:pStyle w:val="JuHArticle"/>
        <w:rPr>
          <w:lang w:val="fr-FR"/>
        </w:rPr>
      </w:pPr>
      <w:r w:rsidRPr="00640F03">
        <w:rPr>
          <w:lang w:val="fr-FR"/>
        </w:rPr>
        <w:t>Article</w:t>
      </w:r>
      <w:r w:rsidRPr="00640F03" w:rsidR="00A35581">
        <w:rPr>
          <w:lang w:val="fr-FR"/>
        </w:rPr>
        <w:t> </w:t>
      </w:r>
      <w:r w:rsidRPr="00640F03">
        <w:rPr>
          <w:lang w:val="fr-FR"/>
        </w:rPr>
        <w:t>7 – Protection des personnes souffrant d</w:t>
      </w:r>
      <w:r w:rsidRPr="00640F03" w:rsidR="00640F03">
        <w:rPr>
          <w:lang w:val="fr-FR"/>
        </w:rPr>
        <w:t>’</w:t>
      </w:r>
      <w:r w:rsidRPr="00640F03">
        <w:rPr>
          <w:lang w:val="fr-FR"/>
        </w:rPr>
        <w:t>un trouble mental</w:t>
      </w:r>
    </w:p>
    <w:p w:rsidRPr="00640F03" w:rsidR="00F6518C" w:rsidP="00640F03" w:rsidRDefault="00EE08C4" w14:paraId="4101EF8F" w14:textId="2AE8ACB8">
      <w:pPr>
        <w:pStyle w:val="JuQuot"/>
        <w:rPr>
          <w:lang w:val="fr-FR"/>
        </w:rPr>
      </w:pPr>
      <w:r w:rsidRPr="00640F03">
        <w:rPr>
          <w:lang w:val="fr-FR"/>
        </w:rPr>
        <w:t>« </w:t>
      </w:r>
      <w:r w:rsidRPr="00640F03" w:rsidR="00002C2E">
        <w:rPr>
          <w:lang w:val="fr-FR"/>
        </w:rPr>
        <w:t>La personne qui souffre d</w:t>
      </w:r>
      <w:r w:rsidRPr="00640F03" w:rsidR="00640F03">
        <w:rPr>
          <w:lang w:val="fr-FR"/>
        </w:rPr>
        <w:t>’</w:t>
      </w:r>
      <w:r w:rsidRPr="00640F03" w:rsidR="00002C2E">
        <w:rPr>
          <w:lang w:val="fr-FR"/>
        </w:rPr>
        <w:t>un trouble mental grave ne peut être soumise, sans son consentement, à une intervention ayant pour objet de traiter ce trouble que lorsque l</w:t>
      </w:r>
      <w:r w:rsidRPr="00640F03" w:rsidR="00640F03">
        <w:rPr>
          <w:lang w:val="fr-FR"/>
        </w:rPr>
        <w:t>’</w:t>
      </w:r>
      <w:r w:rsidRPr="00640F03" w:rsidR="00002C2E">
        <w:rPr>
          <w:lang w:val="fr-FR"/>
        </w:rPr>
        <w:t>absence d</w:t>
      </w:r>
      <w:r w:rsidRPr="00640F03" w:rsidR="00640F03">
        <w:rPr>
          <w:lang w:val="fr-FR"/>
        </w:rPr>
        <w:t>’</w:t>
      </w:r>
      <w:r w:rsidRPr="00640F03" w:rsidR="00002C2E">
        <w:rPr>
          <w:lang w:val="fr-FR"/>
        </w:rPr>
        <w:t>un tel traitement risque d</w:t>
      </w:r>
      <w:r w:rsidRPr="00640F03" w:rsidR="00640F03">
        <w:rPr>
          <w:lang w:val="fr-FR"/>
        </w:rPr>
        <w:t>’</w:t>
      </w:r>
      <w:r w:rsidRPr="00640F03" w:rsidR="00002C2E">
        <w:rPr>
          <w:lang w:val="fr-FR"/>
        </w:rPr>
        <w:t>être gravement préjudiciable à sa santé et sous réserve des conditions de protection prévues par la loi comprenant des procédures de surveillance et de contrôle ainsi que des voies de recours. »</w:t>
      </w:r>
    </w:p>
    <w:bookmarkStart w:name="P17" w:id="11"/>
    <w:p w:rsidRPr="00640F03" w:rsidR="00F6518C" w:rsidP="00640F03" w:rsidRDefault="00F6518C" w14:paraId="02500B82" w14:textId="39AAEDC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17</w:t>
      </w:r>
      <w:r w:rsidRPr="00640F03">
        <w:rPr>
          <w:lang w:val="fr-FR"/>
        </w:rPr>
        <w:fldChar w:fldCharType="end"/>
      </w:r>
      <w:bookmarkEnd w:id="11"/>
      <w:r w:rsidRPr="00640F03">
        <w:rPr>
          <w:lang w:val="fr-FR"/>
        </w:rPr>
        <w:t>.  </w:t>
      </w:r>
      <w:r w:rsidRPr="00640F03" w:rsidR="00002C2E">
        <w:rPr>
          <w:lang w:val="fr-FR"/>
        </w:rPr>
        <w:t>La genèse de cette disposition, pour autant qu</w:t>
      </w:r>
      <w:r w:rsidRPr="00640F03" w:rsidR="00640F03">
        <w:rPr>
          <w:lang w:val="fr-FR"/>
        </w:rPr>
        <w:t>’</w:t>
      </w:r>
      <w:r w:rsidRPr="00640F03" w:rsidR="00002C2E">
        <w:rPr>
          <w:lang w:val="fr-FR"/>
        </w:rPr>
        <w:t xml:space="preserve">elle est pertinente aux fins de la question ici examinée, peut être résumée comme suit. Les </w:t>
      </w:r>
      <w:r w:rsidRPr="00640F03" w:rsidR="00002C2E">
        <w:rPr>
          <w:iCs/>
          <w:lang w:val="fr-FR"/>
        </w:rPr>
        <w:t>travaux préparatoires</w:t>
      </w:r>
      <w:r w:rsidRPr="00640F03" w:rsidR="00002C2E">
        <w:rPr>
          <w:lang w:val="fr-FR"/>
        </w:rPr>
        <w:t xml:space="preserve"> (CDBI/INF (2000) 1, pp.</w:t>
      </w:r>
      <w:r w:rsidRPr="00640F03" w:rsidR="00A35581">
        <w:rPr>
          <w:lang w:val="fr-FR"/>
        </w:rPr>
        <w:t> </w:t>
      </w:r>
      <w:r w:rsidRPr="00640F03" w:rsidR="00002C2E">
        <w:rPr>
          <w:lang w:val="fr-FR"/>
        </w:rPr>
        <w:t>38-41) indiquent que l</w:t>
      </w:r>
      <w:r w:rsidRPr="00640F03" w:rsidR="00640F03">
        <w:rPr>
          <w:lang w:val="fr-FR"/>
        </w:rPr>
        <w:t>’</w:t>
      </w:r>
      <w:r w:rsidRPr="00640F03" w:rsidR="00002C2E">
        <w:rPr>
          <w:lang w:val="fr-FR"/>
        </w:rPr>
        <w:t>intention des rédacteurs était d</w:t>
      </w:r>
      <w:r w:rsidRPr="00640F03" w:rsidR="00640F03">
        <w:rPr>
          <w:lang w:val="fr-FR"/>
        </w:rPr>
        <w:t>’</w:t>
      </w:r>
      <w:r w:rsidRPr="00640F03" w:rsidR="00002C2E">
        <w:rPr>
          <w:lang w:val="fr-FR"/>
        </w:rPr>
        <w:t>inclure un article afin de traiter du problème des patients souffrant d</w:t>
      </w:r>
      <w:r w:rsidRPr="00640F03" w:rsidR="00640F03">
        <w:rPr>
          <w:lang w:val="fr-FR"/>
        </w:rPr>
        <w:t>’</w:t>
      </w:r>
      <w:r w:rsidRPr="00640F03" w:rsidR="00002C2E">
        <w:rPr>
          <w:lang w:val="fr-FR"/>
        </w:rPr>
        <w:t>une maladie mentale qui doivent subir un traitement obligatoire pour cette maladie. Cet article devait permettre aux médecins de passer outre le refus de ce patient de subir cette intervention mais seulement pour le traitement de la maladie mentale lorsqu</w:t>
      </w:r>
      <w:r w:rsidRPr="00640F03" w:rsidR="00640F03">
        <w:rPr>
          <w:lang w:val="fr-FR"/>
        </w:rPr>
        <w:t>’</w:t>
      </w:r>
      <w:r w:rsidRPr="00640F03" w:rsidR="00002C2E">
        <w:rPr>
          <w:lang w:val="fr-FR"/>
        </w:rPr>
        <w:t>il existait un risque grave pour la santé de l</w:t>
      </w:r>
      <w:r w:rsidRPr="00640F03" w:rsidR="00640F03">
        <w:rPr>
          <w:lang w:val="fr-FR"/>
        </w:rPr>
        <w:t>’</w:t>
      </w:r>
      <w:r w:rsidRPr="00640F03" w:rsidR="00002C2E">
        <w:rPr>
          <w:lang w:val="fr-FR"/>
        </w:rPr>
        <w:t>intéressé et en respectant les conditions de protection prévues par le droit national. Il fut proposé au cours des discussions que le texte prévoie l</w:t>
      </w:r>
      <w:r w:rsidRPr="00640F03" w:rsidR="00640F03">
        <w:rPr>
          <w:lang w:val="fr-FR"/>
        </w:rPr>
        <w:t>’</w:t>
      </w:r>
      <w:r w:rsidRPr="00640F03" w:rsidR="00002C2E">
        <w:rPr>
          <w:lang w:val="fr-FR"/>
        </w:rPr>
        <w:t>intervention d</w:t>
      </w:r>
      <w:r w:rsidRPr="00640F03" w:rsidR="00640F03">
        <w:rPr>
          <w:lang w:val="fr-FR"/>
        </w:rPr>
        <w:t>’</w:t>
      </w:r>
      <w:r w:rsidRPr="00640F03" w:rsidR="00002C2E">
        <w:rPr>
          <w:lang w:val="fr-FR"/>
        </w:rPr>
        <w:t>un tribunal pour ordonner le diagnostic ou le traitement et que les conditions de protection incluent des procédures de contrôle et d</w:t>
      </w:r>
      <w:r w:rsidRPr="00640F03" w:rsidR="00640F03">
        <w:rPr>
          <w:lang w:val="fr-FR"/>
        </w:rPr>
        <w:t>’</w:t>
      </w:r>
      <w:r w:rsidRPr="00640F03" w:rsidR="00002C2E">
        <w:rPr>
          <w:lang w:val="fr-FR"/>
        </w:rPr>
        <w:t>appel. L</w:t>
      </w:r>
      <w:r w:rsidRPr="00640F03" w:rsidR="00640F03">
        <w:rPr>
          <w:lang w:val="fr-FR"/>
        </w:rPr>
        <w:t>’</w:t>
      </w:r>
      <w:r w:rsidRPr="00640F03" w:rsidR="00002C2E">
        <w:rPr>
          <w:lang w:val="fr-FR"/>
        </w:rPr>
        <w:t>idée de mentionner l</w:t>
      </w:r>
      <w:r w:rsidRPr="00640F03" w:rsidR="00640F03">
        <w:rPr>
          <w:lang w:val="fr-FR"/>
        </w:rPr>
        <w:t>’</w:t>
      </w:r>
      <w:r w:rsidRPr="00640F03" w:rsidR="00002C2E">
        <w:rPr>
          <w:lang w:val="fr-FR"/>
        </w:rPr>
        <w:t>intervention d</w:t>
      </w:r>
      <w:r w:rsidRPr="00640F03" w:rsidR="00640F03">
        <w:rPr>
          <w:lang w:val="fr-FR"/>
        </w:rPr>
        <w:t>’</w:t>
      </w:r>
      <w:r w:rsidRPr="00640F03" w:rsidR="00002C2E">
        <w:rPr>
          <w:lang w:val="fr-FR"/>
        </w:rPr>
        <w:t>un tribunal ne fut pas acceptée. Il fut également suggéré de prendre en compte la Recommandation (83) 2 du Comité des Ministres sur la protection juridique des personnes atteintes de troubles mentaux et placées comme patients involontaires. Ce texte</w:t>
      </w:r>
      <w:r w:rsidRPr="00640F03" w:rsidR="00EE08C4">
        <w:rPr>
          <w:lang w:val="fr-FR"/>
        </w:rPr>
        <w:t>,</w:t>
      </w:r>
      <w:r w:rsidRPr="00640F03" w:rsidR="00002C2E">
        <w:rPr>
          <w:lang w:val="fr-FR"/>
        </w:rPr>
        <w:t xml:space="preserve"> qui au moment de la rédaction de la Convention d</w:t>
      </w:r>
      <w:r w:rsidRPr="00640F03" w:rsidR="00640F03">
        <w:rPr>
          <w:lang w:val="fr-FR"/>
        </w:rPr>
        <w:t>’</w:t>
      </w:r>
      <w:r w:rsidRPr="00640F03" w:rsidR="00002C2E">
        <w:rPr>
          <w:lang w:val="fr-FR"/>
        </w:rPr>
        <w:t>Oviedo établissait les normes du Conseil de l</w:t>
      </w:r>
      <w:r w:rsidRPr="00640F03" w:rsidR="00640F03">
        <w:rPr>
          <w:lang w:val="fr-FR"/>
        </w:rPr>
        <w:t>’</w:t>
      </w:r>
      <w:r w:rsidRPr="00640F03" w:rsidR="00002C2E">
        <w:rPr>
          <w:lang w:val="fr-FR"/>
        </w:rPr>
        <w:t>Europe applicables en la matière, contient un ensemble de règles instaurant des garanties dont le respect est recommandé aux États. Il est cité, ainsi que des textes provenant d</w:t>
      </w:r>
      <w:r w:rsidRPr="00640F03" w:rsidR="00640F03">
        <w:rPr>
          <w:lang w:val="fr-FR"/>
        </w:rPr>
        <w:t>’</w:t>
      </w:r>
      <w:r w:rsidRPr="00640F03" w:rsidR="00002C2E">
        <w:rPr>
          <w:lang w:val="fr-FR"/>
        </w:rPr>
        <w:t>autres sources, au paragraphe</w:t>
      </w:r>
      <w:r w:rsidRPr="00640F03" w:rsidR="00D92A54">
        <w:rPr>
          <w:lang w:val="fr-FR"/>
        </w:rPr>
        <w:t> </w:t>
      </w:r>
      <w:r w:rsidRPr="00640F03" w:rsidR="00002C2E">
        <w:rPr>
          <w:lang w:val="fr-FR"/>
        </w:rPr>
        <w:t>55 du rapport explicatif de la Convention d</w:t>
      </w:r>
      <w:r w:rsidRPr="00640F03" w:rsidR="00640F03">
        <w:rPr>
          <w:lang w:val="fr-FR"/>
        </w:rPr>
        <w:t>’</w:t>
      </w:r>
      <w:r w:rsidRPr="00640F03" w:rsidR="00002C2E">
        <w:rPr>
          <w:lang w:val="fr-FR"/>
        </w:rPr>
        <w:t>Oviedo. Au cours de la discussion, des doutes furent émis quant à la valeur ajoutée de l</w:t>
      </w:r>
      <w:r w:rsidRPr="00640F03" w:rsidR="00640F03">
        <w:rPr>
          <w:lang w:val="fr-FR"/>
        </w:rPr>
        <w:t>’</w:t>
      </w:r>
      <w:r w:rsidRPr="00640F03" w:rsidR="00002C2E">
        <w:rPr>
          <w:lang w:val="fr-FR"/>
        </w:rPr>
        <w:t>article</w:t>
      </w:r>
      <w:r w:rsidRPr="00640F03" w:rsidR="00D92A54">
        <w:rPr>
          <w:lang w:val="fr-FR"/>
        </w:rPr>
        <w:t> </w:t>
      </w:r>
      <w:r w:rsidRPr="00640F03" w:rsidR="00002C2E">
        <w:rPr>
          <w:lang w:val="fr-FR"/>
        </w:rPr>
        <w:t>7 de cette convention. Cet avis ne fut pas partagé par la majorité des délégations pour qui la disposition en question était nécessaire en ce qu</w:t>
      </w:r>
      <w:r w:rsidRPr="00640F03" w:rsidR="00640F03">
        <w:rPr>
          <w:lang w:val="fr-FR"/>
        </w:rPr>
        <w:t>’</w:t>
      </w:r>
      <w:r w:rsidRPr="00640F03" w:rsidR="00002C2E">
        <w:rPr>
          <w:lang w:val="fr-FR"/>
        </w:rPr>
        <w:t>elle limitait le nombre d</w:t>
      </w:r>
      <w:r w:rsidRPr="00640F03" w:rsidR="00640F03">
        <w:rPr>
          <w:lang w:val="fr-FR"/>
        </w:rPr>
        <w:t>’</w:t>
      </w:r>
      <w:r w:rsidRPr="00640F03" w:rsidR="00002C2E">
        <w:rPr>
          <w:lang w:val="fr-FR"/>
        </w:rPr>
        <w:t>hypothèses dans lesquelles on pouvait procéder sans le consentement de la personne souffrant d</w:t>
      </w:r>
      <w:r w:rsidRPr="00640F03" w:rsidR="00640F03">
        <w:rPr>
          <w:lang w:val="fr-FR"/>
        </w:rPr>
        <w:t>’</w:t>
      </w:r>
      <w:r w:rsidRPr="00640F03" w:rsidR="00002C2E">
        <w:rPr>
          <w:lang w:val="fr-FR"/>
        </w:rPr>
        <w:t>un trouble mental au traitement de ce trouble en le soumettant à des conditions précises. Il fut argué que cette disposition permettrait de protéger tant la santé de la personne que son autonomie. Le libellé finalement retenu (« sous réserve des conditions de protection prévues par la loi comprenant des procédures de surveillance et de contrôle ainsi que des voies de recours ») se dégagea au cours d</w:t>
      </w:r>
      <w:r w:rsidRPr="00640F03" w:rsidR="00640F03">
        <w:rPr>
          <w:lang w:val="fr-FR"/>
        </w:rPr>
        <w:t>’</w:t>
      </w:r>
      <w:r w:rsidRPr="00640F03" w:rsidR="00002C2E">
        <w:rPr>
          <w:lang w:val="fr-FR"/>
        </w:rPr>
        <w:t>une réunion de septembre 1995. Certaines délégations suggérèrent ensuite de supprimer cette disposition dans l</w:t>
      </w:r>
      <w:r w:rsidRPr="00640F03" w:rsidR="00640F03">
        <w:rPr>
          <w:lang w:val="fr-FR"/>
        </w:rPr>
        <w:t>’</w:t>
      </w:r>
      <w:r w:rsidRPr="00640F03" w:rsidR="00002C2E">
        <w:rPr>
          <w:lang w:val="fr-FR"/>
        </w:rPr>
        <w:t>attente des travaux d</w:t>
      </w:r>
      <w:r w:rsidRPr="00640F03" w:rsidR="00640F03">
        <w:rPr>
          <w:lang w:val="fr-FR"/>
        </w:rPr>
        <w:t>’</w:t>
      </w:r>
      <w:r w:rsidRPr="00640F03" w:rsidR="00002C2E">
        <w:rPr>
          <w:lang w:val="fr-FR"/>
        </w:rPr>
        <w:t>un autre comité du Conseil de l</w:t>
      </w:r>
      <w:r w:rsidRPr="00640F03" w:rsidR="00640F03">
        <w:rPr>
          <w:lang w:val="fr-FR"/>
        </w:rPr>
        <w:t>’</w:t>
      </w:r>
      <w:r w:rsidRPr="00640F03" w:rsidR="00002C2E">
        <w:rPr>
          <w:lang w:val="fr-FR"/>
        </w:rPr>
        <w:t>Europe sur la psychiatrie et les droits de l</w:t>
      </w:r>
      <w:r w:rsidRPr="00640F03" w:rsidR="00640F03">
        <w:rPr>
          <w:lang w:val="fr-FR"/>
        </w:rPr>
        <w:t>’</w:t>
      </w:r>
      <w:r w:rsidRPr="00640F03" w:rsidR="00002C2E">
        <w:rPr>
          <w:lang w:val="fr-FR"/>
        </w:rPr>
        <w:t>homme, mais cette proposition ne fut pas acceptée, une large majorité étant d</w:t>
      </w:r>
      <w:r w:rsidRPr="00640F03" w:rsidR="00640F03">
        <w:rPr>
          <w:lang w:val="fr-FR"/>
        </w:rPr>
        <w:t>’</w:t>
      </w:r>
      <w:r w:rsidRPr="00640F03" w:rsidR="00002C2E">
        <w:rPr>
          <w:lang w:val="fr-FR"/>
        </w:rPr>
        <w:t>avis qu</w:t>
      </w:r>
      <w:r w:rsidRPr="00640F03" w:rsidR="00640F03">
        <w:rPr>
          <w:lang w:val="fr-FR"/>
        </w:rPr>
        <w:t>’</w:t>
      </w:r>
      <w:r w:rsidRPr="00640F03" w:rsidR="00002C2E">
        <w:rPr>
          <w:lang w:val="fr-FR"/>
        </w:rPr>
        <w:t>il était nécessaire que cet article fût inclus dans la convention. L</w:t>
      </w:r>
      <w:r w:rsidRPr="00640F03" w:rsidR="00640F03">
        <w:rPr>
          <w:lang w:val="fr-FR"/>
        </w:rPr>
        <w:t>’</w:t>
      </w:r>
      <w:r w:rsidRPr="00640F03" w:rsidR="00002C2E">
        <w:rPr>
          <w:lang w:val="fr-FR"/>
        </w:rPr>
        <w:t>article</w:t>
      </w:r>
      <w:r w:rsidRPr="00640F03" w:rsidR="00D92A54">
        <w:rPr>
          <w:lang w:val="fr-FR"/>
        </w:rPr>
        <w:t> </w:t>
      </w:r>
      <w:r w:rsidRPr="00640F03" w:rsidR="00002C2E">
        <w:rPr>
          <w:lang w:val="fr-FR"/>
        </w:rPr>
        <w:t>7 fut adopté par le Comité des Ministres le 19 novembre 1996 dans le texte définitif de la Convention d</w:t>
      </w:r>
      <w:r w:rsidRPr="00640F03" w:rsidR="00640F03">
        <w:rPr>
          <w:lang w:val="fr-FR"/>
        </w:rPr>
        <w:t>’</w:t>
      </w:r>
      <w:r w:rsidRPr="00640F03" w:rsidR="00002C2E">
        <w:rPr>
          <w:lang w:val="fr-FR"/>
        </w:rPr>
        <w:t>Oviedo.</w:t>
      </w:r>
    </w:p>
    <w:bookmarkStart w:name="P18" w:id="12"/>
    <w:p w:rsidRPr="00640F03" w:rsidR="00765C0D" w:rsidP="00640F03" w:rsidRDefault="00F6518C" w14:paraId="130709DF" w14:textId="255215A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18</w:t>
      </w:r>
      <w:r w:rsidRPr="00640F03">
        <w:rPr>
          <w:lang w:val="fr-FR"/>
        </w:rPr>
        <w:fldChar w:fldCharType="end"/>
      </w:r>
      <w:bookmarkEnd w:id="12"/>
      <w:r w:rsidRPr="00640F03">
        <w:rPr>
          <w:lang w:val="fr-FR"/>
        </w:rPr>
        <w:t>.  </w:t>
      </w:r>
      <w:r w:rsidRPr="00640F03" w:rsidR="00002C2E">
        <w:rPr>
          <w:lang w:val="fr-FR"/>
        </w:rPr>
        <w:t>Le rapport explicatif de la Convention d</w:t>
      </w:r>
      <w:r w:rsidRPr="00640F03" w:rsidR="00640F03">
        <w:rPr>
          <w:lang w:val="fr-FR"/>
        </w:rPr>
        <w:t>’</w:t>
      </w:r>
      <w:r w:rsidRPr="00640F03" w:rsidR="00002C2E">
        <w:rPr>
          <w:lang w:val="fr-FR"/>
        </w:rPr>
        <w:t>Oviedo expose ce qui suit, en sa partie pertinente aux fins de l</w:t>
      </w:r>
      <w:r w:rsidRPr="00640F03" w:rsidR="00640F03">
        <w:rPr>
          <w:lang w:val="fr-FR"/>
        </w:rPr>
        <w:t>’</w:t>
      </w:r>
      <w:r w:rsidRPr="00640F03" w:rsidR="00002C2E">
        <w:rPr>
          <w:lang w:val="fr-FR"/>
        </w:rPr>
        <w:t>examen de la présente demande </w:t>
      </w:r>
      <w:r w:rsidRPr="00640F03">
        <w:rPr>
          <w:lang w:val="fr-FR"/>
        </w:rPr>
        <w:t>:</w:t>
      </w:r>
    </w:p>
    <w:p w:rsidRPr="00640F03" w:rsidR="00002C2E" w:rsidP="00640F03" w:rsidRDefault="00002C2E" w14:paraId="504941F9" w14:textId="1D16E848">
      <w:pPr>
        <w:pStyle w:val="JuQuot"/>
        <w:rPr>
          <w:lang w:val="fr-BE"/>
        </w:rPr>
      </w:pPr>
      <w:r w:rsidRPr="00640F03">
        <w:rPr>
          <w:lang w:val="fr-BE"/>
        </w:rPr>
        <w:t>« 54.  (</w:t>
      </w:r>
      <w:r w:rsidRPr="00640F03" w:rsidR="006E0F85">
        <w:rPr>
          <w:lang w:val="fr-BE"/>
        </w:rPr>
        <w:t>...</w:t>
      </w:r>
      <w:r w:rsidRPr="00640F03">
        <w:rPr>
          <w:lang w:val="fr-BE"/>
        </w:rPr>
        <w:t>) L</w:t>
      </w:r>
      <w:r w:rsidRPr="00640F03" w:rsidR="00640F03">
        <w:rPr>
          <w:lang w:val="fr-BE"/>
        </w:rPr>
        <w:t>’</w:t>
      </w:r>
      <w:r w:rsidRPr="00640F03">
        <w:rPr>
          <w:lang w:val="fr-BE"/>
        </w:rPr>
        <w:t>article ne traite ici que le risque pour la santé du patient lui-même, l</w:t>
      </w:r>
      <w:r w:rsidRPr="00640F03" w:rsidR="00640F03">
        <w:rPr>
          <w:lang w:val="fr-BE"/>
        </w:rPr>
        <w:t>’</w:t>
      </w:r>
      <w:r w:rsidRPr="00640F03">
        <w:rPr>
          <w:lang w:val="fr-BE"/>
        </w:rPr>
        <w:t>article 26 de la Convention permettant par ailleurs de le traiter contre son gré pour protéger les droits et libertés d</w:t>
      </w:r>
      <w:r w:rsidRPr="00640F03" w:rsidR="00640F03">
        <w:rPr>
          <w:lang w:val="fr-BE"/>
        </w:rPr>
        <w:t>’</w:t>
      </w:r>
      <w:r w:rsidRPr="00640F03">
        <w:rPr>
          <w:lang w:val="fr-BE"/>
        </w:rPr>
        <w:t>autrui (par exemple en cas de comportement violent). L</w:t>
      </w:r>
      <w:r w:rsidRPr="00640F03" w:rsidR="00640F03">
        <w:rPr>
          <w:lang w:val="fr-BE"/>
        </w:rPr>
        <w:t>’</w:t>
      </w:r>
      <w:r w:rsidRPr="00640F03">
        <w:rPr>
          <w:lang w:val="fr-BE"/>
        </w:rPr>
        <w:t>article protège donc d</w:t>
      </w:r>
      <w:r w:rsidRPr="00640F03" w:rsidR="00640F03">
        <w:rPr>
          <w:lang w:val="fr-BE"/>
        </w:rPr>
        <w:t>’</w:t>
      </w:r>
      <w:r w:rsidRPr="00640F03">
        <w:rPr>
          <w:lang w:val="fr-BE"/>
        </w:rPr>
        <w:t>un côté la santé de la personne (dans la mesure où le traitement sans consentement du trouble mental est admis lorsque l</w:t>
      </w:r>
      <w:r w:rsidRPr="00640F03" w:rsidR="00640F03">
        <w:rPr>
          <w:lang w:val="fr-BE"/>
        </w:rPr>
        <w:t>’</w:t>
      </w:r>
      <w:r w:rsidRPr="00640F03">
        <w:rPr>
          <w:lang w:val="fr-BE"/>
        </w:rPr>
        <w:t>absence d</w:t>
      </w:r>
      <w:r w:rsidRPr="00640F03" w:rsidR="00640F03">
        <w:rPr>
          <w:lang w:val="fr-BE"/>
        </w:rPr>
        <w:t>’</w:t>
      </w:r>
      <w:r w:rsidRPr="00640F03">
        <w:rPr>
          <w:lang w:val="fr-BE"/>
        </w:rPr>
        <w:t>un tel traitement serait gravement préjudiciable à sa santé) et d</w:t>
      </w:r>
      <w:r w:rsidRPr="00640F03" w:rsidR="00640F03">
        <w:rPr>
          <w:lang w:val="fr-BE"/>
        </w:rPr>
        <w:t>’</w:t>
      </w:r>
      <w:r w:rsidRPr="00640F03">
        <w:rPr>
          <w:lang w:val="fr-BE"/>
        </w:rPr>
        <w:t>un autre côté son autonomie (dans la mesure où le traitement sans consentement est exclu dès lors que l</w:t>
      </w:r>
      <w:r w:rsidRPr="00640F03" w:rsidR="00640F03">
        <w:rPr>
          <w:lang w:val="fr-BE"/>
        </w:rPr>
        <w:t>’</w:t>
      </w:r>
      <w:r w:rsidRPr="00640F03">
        <w:rPr>
          <w:lang w:val="fr-BE"/>
        </w:rPr>
        <w:t>absence de traitement ne constitue pas un risque grave pour sa santé).</w:t>
      </w:r>
    </w:p>
    <w:p w:rsidRPr="00640F03" w:rsidR="00A35581" w:rsidP="00640F03" w:rsidRDefault="00002C2E" w14:paraId="2ACA00D2" w14:textId="71DA8574">
      <w:pPr>
        <w:pStyle w:val="JuQuot"/>
        <w:rPr>
          <w:lang w:val="fr-FR"/>
        </w:rPr>
      </w:pPr>
      <w:r w:rsidRPr="00640F03">
        <w:rPr>
          <w:lang w:val="fr-FR"/>
        </w:rPr>
        <w:t>55.  La dernière [condition] est le respect des conditions de protection prévues par la loi nationale. L</w:t>
      </w:r>
      <w:r w:rsidRPr="00640F03" w:rsidR="00640F03">
        <w:rPr>
          <w:lang w:val="fr-FR"/>
        </w:rPr>
        <w:t>’</w:t>
      </w:r>
      <w:r w:rsidRPr="00640F03">
        <w:rPr>
          <w:lang w:val="fr-FR"/>
        </w:rPr>
        <w:t>article prévoit que ces conditions doivent comprendre, entre autres, des procédures de surveillance, de contrôle et des voies de recours, comme par exemple l</w:t>
      </w:r>
      <w:r w:rsidRPr="00640F03" w:rsidR="00640F03">
        <w:rPr>
          <w:lang w:val="fr-FR"/>
        </w:rPr>
        <w:t>’</w:t>
      </w:r>
      <w:r w:rsidRPr="00640F03">
        <w:rPr>
          <w:lang w:val="fr-FR"/>
        </w:rPr>
        <w:t>intervention d</w:t>
      </w:r>
      <w:r w:rsidRPr="00640F03" w:rsidR="00640F03">
        <w:rPr>
          <w:lang w:val="fr-FR"/>
        </w:rPr>
        <w:t>’</w:t>
      </w:r>
      <w:r w:rsidRPr="00640F03">
        <w:rPr>
          <w:lang w:val="fr-FR"/>
        </w:rPr>
        <w:t>une autorité judiciaire. Cette exigence se comprend si l</w:t>
      </w:r>
      <w:r w:rsidRPr="00640F03" w:rsidR="00640F03">
        <w:rPr>
          <w:lang w:val="fr-FR"/>
        </w:rPr>
        <w:t>’</w:t>
      </w:r>
      <w:r w:rsidRPr="00640F03">
        <w:rPr>
          <w:lang w:val="fr-FR"/>
        </w:rPr>
        <w:t>on considère que l</w:t>
      </w:r>
      <w:r w:rsidRPr="00640F03" w:rsidR="00640F03">
        <w:rPr>
          <w:lang w:val="fr-FR"/>
        </w:rPr>
        <w:t>’</w:t>
      </w:r>
      <w:r w:rsidRPr="00640F03">
        <w:rPr>
          <w:lang w:val="fr-FR"/>
        </w:rPr>
        <w:t>on va pouvoir effectuer une intervention sur une personne qui n</w:t>
      </w:r>
      <w:r w:rsidRPr="00640F03" w:rsidR="00640F03">
        <w:rPr>
          <w:lang w:val="fr-FR"/>
        </w:rPr>
        <w:t>’</w:t>
      </w:r>
      <w:r w:rsidRPr="00640F03">
        <w:rPr>
          <w:lang w:val="fr-FR"/>
        </w:rPr>
        <w:t>y a pas consenti ; il est donc nécessaire de prévoir un mécanisme qui protège de manière adéquate les droits de cette personne. À cet égard, la Recommandation n</w:t>
      </w:r>
      <w:r w:rsidRPr="00640F03">
        <w:rPr>
          <w:vertAlign w:val="superscript"/>
          <w:lang w:val="fr-FR"/>
        </w:rPr>
        <w:t>o</w:t>
      </w:r>
      <w:r w:rsidRPr="00640F03">
        <w:rPr>
          <w:lang w:val="fr-FR"/>
        </w:rPr>
        <w:t xml:space="preserve"> R (83) 2 du Comité des Ministres du Conseil de l</w:t>
      </w:r>
      <w:r w:rsidRPr="00640F03" w:rsidR="00640F03">
        <w:rPr>
          <w:lang w:val="fr-FR"/>
        </w:rPr>
        <w:t>’</w:t>
      </w:r>
      <w:r w:rsidRPr="00640F03">
        <w:rPr>
          <w:lang w:val="fr-FR"/>
        </w:rPr>
        <w:t>Europe sur la protection juridique des personnes atteintes de troubles mentaux et placées comme patients involontaires prévoit un certain nombre de principes qui devraient être observés lors d</w:t>
      </w:r>
      <w:r w:rsidRPr="00640F03" w:rsidR="00640F03">
        <w:rPr>
          <w:lang w:val="fr-FR"/>
        </w:rPr>
        <w:t>’</w:t>
      </w:r>
      <w:r w:rsidRPr="00640F03">
        <w:rPr>
          <w:lang w:val="fr-FR"/>
        </w:rPr>
        <w:t>un traitement et d</w:t>
      </w:r>
      <w:r w:rsidRPr="00640F03" w:rsidR="00640F03">
        <w:rPr>
          <w:lang w:val="fr-FR"/>
        </w:rPr>
        <w:t>’</w:t>
      </w:r>
      <w:r w:rsidRPr="00640F03">
        <w:rPr>
          <w:lang w:val="fr-FR"/>
        </w:rPr>
        <w:t>un placement psychiatriques. Il convient également de mentionner la Déclaration de Hawaï de l</w:t>
      </w:r>
      <w:r w:rsidRPr="00640F03" w:rsidR="00640F03">
        <w:rPr>
          <w:lang w:val="fr-FR"/>
        </w:rPr>
        <w:t>’</w:t>
      </w:r>
      <w:r w:rsidRPr="00640F03">
        <w:rPr>
          <w:lang w:val="fr-FR"/>
        </w:rPr>
        <w:t>Association mondiale des Psychiatres du 10 juillet 1983 et ses révisions, la Déclaration de Madrid du 25</w:t>
      </w:r>
      <w:r w:rsidRPr="00640F03" w:rsidR="00A35581">
        <w:rPr>
          <w:lang w:val="fr-FR"/>
        </w:rPr>
        <w:t> </w:t>
      </w:r>
      <w:r w:rsidRPr="00640F03">
        <w:rPr>
          <w:lang w:val="fr-FR"/>
        </w:rPr>
        <w:t>août 1996 ainsi que la Recommandation 1235 (1994) de l</w:t>
      </w:r>
      <w:r w:rsidRPr="00640F03" w:rsidR="00640F03">
        <w:rPr>
          <w:lang w:val="fr-FR"/>
        </w:rPr>
        <w:t>’</w:t>
      </w:r>
      <w:r w:rsidRPr="00640F03">
        <w:rPr>
          <w:lang w:val="fr-FR"/>
        </w:rPr>
        <w:t>Assemblée parlementaire relative à la psychiatrie et les droits de l</w:t>
      </w:r>
      <w:r w:rsidRPr="00640F03" w:rsidR="00640F03">
        <w:rPr>
          <w:lang w:val="fr-FR"/>
        </w:rPr>
        <w:t>’</w:t>
      </w:r>
      <w:r w:rsidRPr="00640F03">
        <w:rPr>
          <w:lang w:val="fr-FR"/>
        </w:rPr>
        <w:t>homme. »</w:t>
      </w:r>
    </w:p>
    <w:p w:rsidRPr="00640F03" w:rsidR="00B6155C" w:rsidP="00640F03" w:rsidRDefault="00F6518C" w14:paraId="60227ED6" w14:textId="0C3D4426">
      <w:pPr>
        <w:pStyle w:val="JuParaLast"/>
        <w:rPr>
          <w:sz w:val="20"/>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19</w:t>
      </w:r>
      <w:r w:rsidRPr="00640F03">
        <w:rPr>
          <w:lang w:val="fr-FR"/>
        </w:rPr>
        <w:fldChar w:fldCharType="end"/>
      </w:r>
      <w:r w:rsidRPr="00640F03">
        <w:rPr>
          <w:lang w:val="fr-FR"/>
        </w:rPr>
        <w:t>.  </w:t>
      </w:r>
      <w:r w:rsidRPr="00640F03" w:rsidR="00002C2E">
        <w:rPr>
          <w:lang w:val="fr-FR"/>
        </w:rPr>
        <w:t>L</w:t>
      </w:r>
      <w:r w:rsidRPr="00640F03" w:rsidR="00640F03">
        <w:rPr>
          <w:lang w:val="fr-FR"/>
        </w:rPr>
        <w:t>’</w:t>
      </w:r>
      <w:r w:rsidRPr="00640F03" w:rsidR="00002C2E">
        <w:rPr>
          <w:lang w:val="fr-FR"/>
        </w:rPr>
        <w:t>article</w:t>
      </w:r>
      <w:r w:rsidRPr="00640F03" w:rsidR="00A35581">
        <w:rPr>
          <w:lang w:val="fr-FR"/>
        </w:rPr>
        <w:t> </w:t>
      </w:r>
      <w:r w:rsidRPr="00640F03" w:rsidR="00002C2E">
        <w:rPr>
          <w:lang w:val="fr-FR"/>
        </w:rPr>
        <w:t>26 de la Convention d</w:t>
      </w:r>
      <w:r w:rsidRPr="00640F03" w:rsidR="00640F03">
        <w:rPr>
          <w:lang w:val="fr-FR"/>
        </w:rPr>
        <w:t>’</w:t>
      </w:r>
      <w:r w:rsidRPr="00640F03" w:rsidR="00002C2E">
        <w:rPr>
          <w:lang w:val="fr-FR"/>
        </w:rPr>
        <w:t>Oviedo est ainsi libellé :</w:t>
      </w:r>
    </w:p>
    <w:p w:rsidRPr="00640F03" w:rsidR="00B6155C" w:rsidP="00640F03" w:rsidRDefault="00B6155C" w14:paraId="593C2932" w14:textId="3F718C90">
      <w:pPr>
        <w:pStyle w:val="JuHArticle"/>
        <w:rPr>
          <w:lang w:val="fr-FR"/>
        </w:rPr>
      </w:pPr>
      <w:r w:rsidRPr="00640F03">
        <w:rPr>
          <w:lang w:val="fr-FR"/>
        </w:rPr>
        <w:t>Article 26 – Restrictions à l</w:t>
      </w:r>
      <w:r w:rsidRPr="00640F03" w:rsidR="00640F03">
        <w:rPr>
          <w:lang w:val="fr-FR"/>
        </w:rPr>
        <w:t>’</w:t>
      </w:r>
      <w:r w:rsidRPr="00640F03">
        <w:rPr>
          <w:lang w:val="fr-FR"/>
        </w:rPr>
        <w:t>exercice des droits</w:t>
      </w:r>
    </w:p>
    <w:p w:rsidRPr="00640F03" w:rsidR="00B6155C" w:rsidP="00640F03" w:rsidRDefault="00EE08C4" w14:paraId="740558A6" w14:textId="49390ECD">
      <w:pPr>
        <w:pStyle w:val="JuQuot"/>
        <w:rPr>
          <w:lang w:val="fr-FR"/>
        </w:rPr>
      </w:pPr>
      <w:r w:rsidRPr="00640F03">
        <w:rPr>
          <w:lang w:val="fr-FR"/>
        </w:rPr>
        <w:t>« </w:t>
      </w:r>
      <w:r w:rsidRPr="00640F03" w:rsidR="00B6155C">
        <w:rPr>
          <w:lang w:val="fr-FR"/>
        </w:rPr>
        <w:t>1.  L</w:t>
      </w:r>
      <w:r w:rsidRPr="00640F03" w:rsidR="00640F03">
        <w:rPr>
          <w:lang w:val="fr-FR"/>
        </w:rPr>
        <w:t>’</w:t>
      </w:r>
      <w:r w:rsidRPr="00640F03" w:rsidR="00B6155C">
        <w:rPr>
          <w:lang w:val="fr-FR"/>
        </w:rPr>
        <w:t>exercice des droits et les dispositions de protection contenus dans la présente Convention ne peuvent faire l</w:t>
      </w:r>
      <w:r w:rsidRPr="00640F03" w:rsidR="00640F03">
        <w:rPr>
          <w:lang w:val="fr-FR"/>
        </w:rPr>
        <w:t>’</w:t>
      </w:r>
      <w:r w:rsidRPr="00640F03" w:rsidR="00B6155C">
        <w:rPr>
          <w:lang w:val="fr-FR"/>
        </w:rPr>
        <w:t>objet d</w:t>
      </w:r>
      <w:r w:rsidRPr="00640F03" w:rsidR="00640F03">
        <w:rPr>
          <w:lang w:val="fr-FR"/>
        </w:rPr>
        <w:t>’</w:t>
      </w:r>
      <w:r w:rsidRPr="00640F03" w:rsidR="00B6155C">
        <w:rPr>
          <w:lang w:val="fr-FR"/>
        </w:rPr>
        <w:t>autres restrictions que celles qui, prévues par la loi, constituent des mesures nécessaires, dans une société démocratique, à la sûreté publique, à la prévention des infractions pénales, à la protection de la santé publique ou à la protection des droits et libertés d</w:t>
      </w:r>
      <w:r w:rsidRPr="00640F03" w:rsidR="00640F03">
        <w:rPr>
          <w:lang w:val="fr-FR"/>
        </w:rPr>
        <w:t>’</w:t>
      </w:r>
      <w:r w:rsidRPr="00640F03" w:rsidR="00B6155C">
        <w:rPr>
          <w:lang w:val="fr-FR"/>
        </w:rPr>
        <w:t>autrui.</w:t>
      </w:r>
    </w:p>
    <w:p w:rsidRPr="00640F03" w:rsidR="00B6155C" w:rsidP="00640F03" w:rsidRDefault="00B6155C" w14:paraId="0C26D151" w14:textId="02E87DA6">
      <w:pPr>
        <w:pStyle w:val="JuQuot"/>
        <w:rPr>
          <w:lang w:val="fr-FR"/>
        </w:rPr>
      </w:pPr>
      <w:r w:rsidRPr="00640F03">
        <w:rPr>
          <w:lang w:val="fr-FR"/>
        </w:rPr>
        <w:t>2.  Les restrictions visées à l</w:t>
      </w:r>
      <w:r w:rsidRPr="00640F03" w:rsidR="00640F03">
        <w:rPr>
          <w:lang w:val="fr-FR"/>
        </w:rPr>
        <w:t>’</w:t>
      </w:r>
      <w:r w:rsidRPr="00640F03">
        <w:rPr>
          <w:lang w:val="fr-FR"/>
        </w:rPr>
        <w:t>alinéa précédent ne peuvent être appliquées aux articles 11, 13, 14, 16, 17, 19, 20 et 21. »</w:t>
      </w:r>
    </w:p>
    <w:p w:rsidRPr="00640F03" w:rsidR="00B6155C" w:rsidP="00640F03" w:rsidRDefault="00B6155C" w14:paraId="4838D163" w14:textId="219E4110">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20</w:t>
      </w:r>
      <w:r w:rsidRPr="00640F03">
        <w:rPr>
          <w:lang w:val="fr-FR"/>
        </w:rPr>
        <w:fldChar w:fldCharType="end"/>
      </w:r>
      <w:r w:rsidRPr="00640F03">
        <w:rPr>
          <w:lang w:val="fr-FR"/>
        </w:rPr>
        <w:t>.</w:t>
      </w:r>
      <w:r w:rsidRPr="00640F03">
        <w:rPr>
          <w:rFonts w:eastAsia="Times New Roman"/>
          <w:lang w:val="fr-FR"/>
        </w:rPr>
        <w:t>  La genèse de cette disposition, telle qu</w:t>
      </w:r>
      <w:r w:rsidRPr="00640F03" w:rsidR="00640F03">
        <w:rPr>
          <w:rFonts w:eastAsia="Times New Roman"/>
          <w:lang w:val="fr-FR"/>
        </w:rPr>
        <w:t>’</w:t>
      </w:r>
      <w:r w:rsidRPr="00640F03">
        <w:rPr>
          <w:rFonts w:eastAsia="Times New Roman"/>
          <w:lang w:val="fr-FR"/>
        </w:rPr>
        <w:t xml:space="preserve">elle est consignée dans les travaux préparatoires </w:t>
      </w:r>
      <w:r w:rsidRPr="00640F03">
        <w:rPr>
          <w:lang w:val="fr-FR"/>
        </w:rPr>
        <w:t>CDBI/INF (2000) 1, témoigne des débats qui ont eu lieu quant au choix des motifs permettant aux États d</w:t>
      </w:r>
      <w:r w:rsidRPr="00640F03" w:rsidR="00640F03">
        <w:rPr>
          <w:lang w:val="fr-FR"/>
        </w:rPr>
        <w:t>’</w:t>
      </w:r>
      <w:r w:rsidRPr="00640F03">
        <w:rPr>
          <w:lang w:val="fr-FR"/>
        </w:rPr>
        <w:t>apporter des restrictions. Les rédacteurs prirent comme point de départ la terminologie employée dans la Convention, en particulier dans son article 8, afin de montrer les liens entre les deux textes. Au cours du processus, les représentants des organes de la Convention donnèrent leur avis sur la pertinence et l</w:t>
      </w:r>
      <w:r w:rsidRPr="00640F03" w:rsidR="00640F03">
        <w:rPr>
          <w:lang w:val="fr-FR"/>
        </w:rPr>
        <w:t>’</w:t>
      </w:r>
      <w:r w:rsidRPr="00640F03">
        <w:rPr>
          <w:lang w:val="fr-FR"/>
        </w:rPr>
        <w:t>adéquation des différents motifs mentionnés dans l</w:t>
      </w:r>
      <w:r w:rsidRPr="00640F03" w:rsidR="00640F03">
        <w:rPr>
          <w:lang w:val="fr-FR"/>
        </w:rPr>
        <w:t>’</w:t>
      </w:r>
      <w:r w:rsidRPr="00640F03">
        <w:rPr>
          <w:lang w:val="fr-FR"/>
        </w:rPr>
        <w:t>article</w:t>
      </w:r>
      <w:r w:rsidRPr="00640F03" w:rsidR="005E47A4">
        <w:rPr>
          <w:lang w:val="fr-FR"/>
        </w:rPr>
        <w:t xml:space="preserve"> </w:t>
      </w:r>
      <w:r w:rsidRPr="00640F03">
        <w:rPr>
          <w:lang w:val="fr-FR"/>
        </w:rPr>
        <w:t>8, ce qui amena les rédacteurs à convenir de la liste plus restreinte qui figure maintenant à l</w:t>
      </w:r>
      <w:r w:rsidRPr="00640F03" w:rsidR="00640F03">
        <w:rPr>
          <w:lang w:val="fr-FR"/>
        </w:rPr>
        <w:t>’</w:t>
      </w:r>
      <w:r w:rsidRPr="00640F03">
        <w:rPr>
          <w:lang w:val="fr-FR"/>
        </w:rPr>
        <w:t>article 26. La genèse de cette dernière disposition explique également qu</w:t>
      </w:r>
      <w:r w:rsidRPr="00640F03" w:rsidR="00640F03">
        <w:rPr>
          <w:lang w:val="fr-FR"/>
        </w:rPr>
        <w:t>’</w:t>
      </w:r>
      <w:r w:rsidRPr="00640F03">
        <w:rPr>
          <w:lang w:val="fr-FR"/>
        </w:rPr>
        <w:t>il a été jugé préférable qu</w:t>
      </w:r>
      <w:r w:rsidRPr="00640F03" w:rsidR="00640F03">
        <w:rPr>
          <w:lang w:val="fr-FR"/>
        </w:rPr>
        <w:t>’</w:t>
      </w:r>
      <w:r w:rsidRPr="00640F03">
        <w:rPr>
          <w:lang w:val="fr-FR"/>
        </w:rPr>
        <w:t>une disposition générale, assortie de certaines exceptions, permette d</w:t>
      </w:r>
      <w:r w:rsidRPr="00640F03" w:rsidR="00640F03">
        <w:rPr>
          <w:lang w:val="fr-FR"/>
        </w:rPr>
        <w:t>’</w:t>
      </w:r>
      <w:r w:rsidRPr="00640F03">
        <w:rPr>
          <w:lang w:val="fr-FR"/>
        </w:rPr>
        <w:t>apporter des restrictions aux droits, plutôt que de prévoir cette possibilité article par article.</w:t>
      </w:r>
    </w:p>
    <w:p w:rsidRPr="00640F03" w:rsidR="006F1BFE" w:rsidP="00640F03" w:rsidRDefault="00B6155C" w14:paraId="11533262" w14:textId="5154E4C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21</w:t>
      </w:r>
      <w:r w:rsidRPr="00640F03">
        <w:rPr>
          <w:lang w:val="fr-FR"/>
        </w:rPr>
        <w:fldChar w:fldCharType="end"/>
      </w:r>
      <w:r w:rsidRPr="00640F03">
        <w:rPr>
          <w:lang w:val="fr-FR"/>
        </w:rPr>
        <w:t>.  Concernant l</w:t>
      </w:r>
      <w:r w:rsidRPr="00640F03" w:rsidR="00640F03">
        <w:rPr>
          <w:lang w:val="fr-FR"/>
        </w:rPr>
        <w:t>’</w:t>
      </w:r>
      <w:r w:rsidRPr="00640F03">
        <w:rPr>
          <w:lang w:val="fr-FR"/>
        </w:rPr>
        <w:t>article 26, le rapport explicatif de la Convention d</w:t>
      </w:r>
      <w:r w:rsidRPr="00640F03" w:rsidR="00640F03">
        <w:rPr>
          <w:lang w:val="fr-FR"/>
        </w:rPr>
        <w:t>’</w:t>
      </w:r>
      <w:r w:rsidRPr="00640F03">
        <w:rPr>
          <w:lang w:val="fr-FR"/>
        </w:rPr>
        <w:t>Oviedo énonce ce qui suit en ses parties pertinentes :</w:t>
      </w:r>
    </w:p>
    <w:p w:rsidRPr="00640F03" w:rsidR="00002C2E" w:rsidP="00640F03" w:rsidRDefault="00002C2E" w14:paraId="5923FBAC" w14:textId="1586B914">
      <w:pPr>
        <w:pStyle w:val="JuQuot"/>
        <w:rPr>
          <w:lang w:val="fr-FR"/>
        </w:rPr>
      </w:pPr>
      <w:r w:rsidRPr="00640F03">
        <w:rPr>
          <w:lang w:val="fr-FR"/>
        </w:rPr>
        <w:t>« 148.  Cet article énumère les seules exceptions possibles aux droits et dispositions de protection contenus dans chacune des dispositions de la Convention, sans préjudice des restrictions spécifiques que chaque article peut comporter.</w:t>
      </w:r>
    </w:p>
    <w:p w:rsidRPr="00640F03" w:rsidR="00002C2E" w:rsidP="00640F03" w:rsidRDefault="00002C2E" w14:paraId="547AE427" w14:textId="11EAFAAF">
      <w:pPr>
        <w:pStyle w:val="JuQuot"/>
        <w:rPr>
          <w:lang w:val="fr-FR"/>
        </w:rPr>
      </w:pPr>
      <w:r w:rsidRPr="00640F03">
        <w:rPr>
          <w:lang w:val="fr-FR"/>
        </w:rPr>
        <w:t>(</w:t>
      </w:r>
      <w:r w:rsidRPr="00640F03" w:rsidR="006E0F85">
        <w:rPr>
          <w:lang w:val="fr-FR"/>
        </w:rPr>
        <w:t>...</w:t>
      </w:r>
      <w:r w:rsidRPr="00640F03">
        <w:rPr>
          <w:lang w:val="fr-FR"/>
        </w:rPr>
        <w:t>)</w:t>
      </w:r>
    </w:p>
    <w:p w:rsidRPr="00640F03" w:rsidR="00002C2E" w:rsidP="00640F03" w:rsidRDefault="00002C2E" w14:paraId="098F90E0" w14:textId="64BA04B3">
      <w:pPr>
        <w:pStyle w:val="JuQuot"/>
        <w:rPr>
          <w:lang w:val="fr-FR"/>
        </w:rPr>
      </w:pPr>
      <w:r w:rsidRPr="00640F03">
        <w:rPr>
          <w:lang w:val="fr-FR"/>
        </w:rPr>
        <w:t>151.  La personne qui, en raison de ses troubles mentaux, représente une menace d</w:t>
      </w:r>
      <w:r w:rsidRPr="00640F03" w:rsidR="00640F03">
        <w:rPr>
          <w:lang w:val="fr-FR"/>
        </w:rPr>
        <w:t>’</w:t>
      </w:r>
      <w:r w:rsidRPr="00640F03">
        <w:rPr>
          <w:lang w:val="fr-FR"/>
        </w:rPr>
        <w:t>atteinte grave à la sécurité des autres peut, conformément à la loi, être l</w:t>
      </w:r>
      <w:r w:rsidRPr="00640F03" w:rsidR="00640F03">
        <w:rPr>
          <w:lang w:val="fr-FR"/>
        </w:rPr>
        <w:t>’</w:t>
      </w:r>
      <w:r w:rsidRPr="00640F03">
        <w:rPr>
          <w:lang w:val="fr-FR"/>
        </w:rPr>
        <w:t>objet sans son accord d</w:t>
      </w:r>
      <w:r w:rsidRPr="00640F03" w:rsidR="00640F03">
        <w:rPr>
          <w:lang w:val="fr-FR"/>
        </w:rPr>
        <w:t>’</w:t>
      </w:r>
      <w:r w:rsidRPr="00640F03">
        <w:rPr>
          <w:lang w:val="fr-FR"/>
        </w:rPr>
        <w:t>une mesure de placement ou de traitement. Dans ce cas, en plus des cas visés à l</w:t>
      </w:r>
      <w:r w:rsidRPr="00640F03" w:rsidR="00640F03">
        <w:rPr>
          <w:lang w:val="fr-FR"/>
        </w:rPr>
        <w:t>’</w:t>
      </w:r>
      <w:r w:rsidRPr="00640F03">
        <w:rPr>
          <w:lang w:val="fr-FR"/>
        </w:rPr>
        <w:t>article 7, la restriction fondée sur des motifs de protection des droits et libertés d</w:t>
      </w:r>
      <w:r w:rsidRPr="00640F03" w:rsidR="00640F03">
        <w:rPr>
          <w:lang w:val="fr-FR"/>
        </w:rPr>
        <w:t>’</w:t>
      </w:r>
      <w:r w:rsidRPr="00640F03">
        <w:rPr>
          <w:lang w:val="fr-FR"/>
        </w:rPr>
        <w:t>autrui peut être applicable.</w:t>
      </w:r>
    </w:p>
    <w:p w:rsidRPr="00640F03" w:rsidR="00002C2E" w:rsidP="00640F03" w:rsidRDefault="00002C2E" w14:paraId="63B599A5" w14:textId="52C45822">
      <w:pPr>
        <w:pStyle w:val="JuQuot"/>
        <w:rPr>
          <w:lang w:val="fr-FR"/>
        </w:rPr>
      </w:pPr>
      <w:r w:rsidRPr="00640F03">
        <w:rPr>
          <w:lang w:val="fr-FR"/>
        </w:rPr>
        <w:t>(</w:t>
      </w:r>
      <w:r w:rsidRPr="00640F03" w:rsidR="006E0F85">
        <w:rPr>
          <w:lang w:val="fr-FR"/>
        </w:rPr>
        <w:t>...</w:t>
      </w:r>
      <w:r w:rsidRPr="00640F03">
        <w:rPr>
          <w:lang w:val="fr-FR"/>
        </w:rPr>
        <w:t>)</w:t>
      </w:r>
    </w:p>
    <w:p w:rsidRPr="00640F03" w:rsidR="00002C2E" w:rsidP="00640F03" w:rsidRDefault="00002C2E" w14:paraId="48D43897" w14:textId="691A1B27">
      <w:pPr>
        <w:pStyle w:val="JuQuot"/>
        <w:keepNext/>
        <w:rPr>
          <w:lang w:val="fr-FR"/>
        </w:rPr>
      </w:pPr>
      <w:r w:rsidRPr="00640F03">
        <w:rPr>
          <w:lang w:val="fr-FR"/>
        </w:rPr>
        <w:t>155.  En revanche, la protection de la santé du patient lui-même ne figure pas sous cet article comme étant l</w:t>
      </w:r>
      <w:r w:rsidRPr="00640F03" w:rsidR="00640F03">
        <w:rPr>
          <w:lang w:val="fr-FR"/>
        </w:rPr>
        <w:t>’</w:t>
      </w:r>
      <w:r w:rsidRPr="00640F03">
        <w:rPr>
          <w:lang w:val="fr-FR"/>
        </w:rPr>
        <w:t>une des raisons pouvant fonder une exception à l</w:t>
      </w:r>
      <w:r w:rsidRPr="00640F03" w:rsidR="00640F03">
        <w:rPr>
          <w:lang w:val="fr-FR"/>
        </w:rPr>
        <w:t>’</w:t>
      </w:r>
      <w:r w:rsidRPr="00640F03">
        <w:rPr>
          <w:lang w:val="fr-FR"/>
        </w:rPr>
        <w:t>ensemble des dispositions de la Convention. En effet, afin de mieux en préciser la portée, il a semblé préférable de définir une telle exception dans chacune des dispositions où elle est expressément envisagée. Il en est ainsi notamment à l</w:t>
      </w:r>
      <w:r w:rsidRPr="00640F03" w:rsidR="00640F03">
        <w:rPr>
          <w:lang w:val="fr-FR"/>
        </w:rPr>
        <w:t>’</w:t>
      </w:r>
      <w:r w:rsidRPr="00640F03">
        <w:rPr>
          <w:lang w:val="fr-FR"/>
        </w:rPr>
        <w:t>article 7, qui précise dans quelles conditions une personne atteinte de troubles mentaux peut être soumise sans son consentement à un traitement dont l</w:t>
      </w:r>
      <w:r w:rsidRPr="00640F03" w:rsidR="00640F03">
        <w:rPr>
          <w:lang w:val="fr-FR"/>
        </w:rPr>
        <w:t>’</w:t>
      </w:r>
      <w:r w:rsidRPr="00640F03">
        <w:rPr>
          <w:lang w:val="fr-FR"/>
        </w:rPr>
        <w:t>absence risquerait d</w:t>
      </w:r>
      <w:r w:rsidRPr="00640F03" w:rsidR="00640F03">
        <w:rPr>
          <w:lang w:val="fr-FR"/>
        </w:rPr>
        <w:t>’</w:t>
      </w:r>
      <w:r w:rsidRPr="00640F03">
        <w:rPr>
          <w:lang w:val="fr-FR"/>
        </w:rPr>
        <w:t>être gravement préjudiciable à sa santé.</w:t>
      </w:r>
    </w:p>
    <w:p w:rsidRPr="00640F03" w:rsidR="00926D91" w:rsidP="00640F03" w:rsidRDefault="00002C2E" w14:paraId="029FA5C6" w14:textId="357216C8">
      <w:pPr>
        <w:pStyle w:val="JuQuot"/>
        <w:keepNext/>
        <w:rPr>
          <w:lang w:val="fr-FR"/>
        </w:rPr>
      </w:pPr>
      <w:r w:rsidRPr="00640F03">
        <w:rPr>
          <w:lang w:val="fr-FR"/>
        </w:rPr>
        <w:t>(</w:t>
      </w:r>
      <w:r w:rsidRPr="00640F03" w:rsidR="006E0F85">
        <w:rPr>
          <w:lang w:val="fr-FR"/>
        </w:rPr>
        <w:t>...</w:t>
      </w:r>
      <w:r w:rsidRPr="00640F03">
        <w:rPr>
          <w:lang w:val="fr-FR"/>
        </w:rPr>
        <w:t>) »</w:t>
      </w:r>
    </w:p>
    <w:p w:rsidRPr="00640F03" w:rsidR="00BF011B" w:rsidP="00640F03" w:rsidRDefault="00E07223" w14:paraId="7C17EA7C" w14:textId="62838D86">
      <w:pPr>
        <w:pStyle w:val="JuPara"/>
        <w:rPr>
          <w:lang w:val="fr-FR"/>
        </w:rPr>
      </w:pPr>
      <w:r w:rsidRPr="00640F03">
        <w:rPr>
          <w:lang w:val="fr-FR"/>
        </w:rPr>
        <w:fldChar w:fldCharType="begin"/>
      </w:r>
      <w:r w:rsidRPr="00640F03">
        <w:rPr>
          <w:lang w:val="fr-FR"/>
        </w:rPr>
        <w:instrText xml:space="preserve"> SEQ level0 \*arabic \* MERGEFORMAT </w:instrText>
      </w:r>
      <w:r w:rsidRPr="00640F03">
        <w:rPr>
          <w:lang w:val="fr-FR"/>
        </w:rPr>
        <w:fldChar w:fldCharType="separate"/>
      </w:r>
      <w:r w:rsidRPr="00640F03" w:rsidR="00640F03">
        <w:rPr>
          <w:noProof/>
          <w:lang w:val="fr-FR"/>
        </w:rPr>
        <w:t>22</w:t>
      </w:r>
      <w:r w:rsidRPr="00640F03">
        <w:rPr>
          <w:lang w:val="fr-FR"/>
        </w:rPr>
        <w:fldChar w:fldCharType="end"/>
      </w:r>
      <w:r w:rsidRPr="00640F03">
        <w:rPr>
          <w:lang w:val="fr-FR"/>
        </w:rPr>
        <w:t>.  </w:t>
      </w:r>
      <w:r w:rsidRPr="00640F03" w:rsidR="00002C2E">
        <w:rPr>
          <w:lang w:val="fr-FR"/>
        </w:rPr>
        <w:t>L</w:t>
      </w:r>
      <w:r w:rsidRPr="00640F03" w:rsidR="00640F03">
        <w:rPr>
          <w:lang w:val="fr-FR"/>
        </w:rPr>
        <w:t>’</w:t>
      </w:r>
      <w:r w:rsidRPr="00640F03" w:rsidR="00002C2E">
        <w:rPr>
          <w:lang w:val="fr-FR"/>
        </w:rPr>
        <w:t>a</w:t>
      </w:r>
      <w:r w:rsidRPr="00640F03" w:rsidR="00BF011B">
        <w:rPr>
          <w:lang w:val="fr-FR"/>
        </w:rPr>
        <w:t>rticle</w:t>
      </w:r>
      <w:r w:rsidRPr="00640F03" w:rsidR="006F1BFE">
        <w:rPr>
          <w:lang w:val="fr-FR"/>
        </w:rPr>
        <w:t> </w:t>
      </w:r>
      <w:r w:rsidRPr="00640F03" w:rsidR="00BF011B">
        <w:rPr>
          <w:lang w:val="fr-FR"/>
        </w:rPr>
        <w:t xml:space="preserve">27 </w:t>
      </w:r>
      <w:r w:rsidRPr="00640F03" w:rsidR="00002C2E">
        <w:rPr>
          <w:lang w:val="fr-FR"/>
        </w:rPr>
        <w:t>de la</w:t>
      </w:r>
      <w:r w:rsidRPr="00640F03" w:rsidR="00BF011B">
        <w:rPr>
          <w:lang w:val="fr-FR"/>
        </w:rPr>
        <w:t xml:space="preserve"> Convention </w:t>
      </w:r>
      <w:r w:rsidRPr="00640F03" w:rsidR="00002C2E">
        <w:rPr>
          <w:lang w:val="fr-FR"/>
        </w:rPr>
        <w:t>d</w:t>
      </w:r>
      <w:r w:rsidRPr="00640F03" w:rsidR="00640F03">
        <w:rPr>
          <w:lang w:val="fr-FR"/>
        </w:rPr>
        <w:t>’</w:t>
      </w:r>
      <w:r w:rsidRPr="00640F03" w:rsidR="00002C2E">
        <w:rPr>
          <w:lang w:val="fr-FR"/>
        </w:rPr>
        <w:t xml:space="preserve">Oviedo </w:t>
      </w:r>
      <w:r w:rsidRPr="00640F03" w:rsidR="002D008B">
        <w:rPr>
          <w:lang w:val="fr-FR"/>
        </w:rPr>
        <w:t>est ainsi libellé</w:t>
      </w:r>
      <w:r w:rsidRPr="00640F03" w:rsidR="00002C2E">
        <w:rPr>
          <w:lang w:val="fr-FR"/>
        </w:rPr>
        <w:t> </w:t>
      </w:r>
      <w:r w:rsidRPr="00640F03" w:rsidR="00BF011B">
        <w:rPr>
          <w:lang w:val="fr-FR"/>
        </w:rPr>
        <w:t>:</w:t>
      </w:r>
    </w:p>
    <w:p w:rsidRPr="00640F03" w:rsidR="00BF011B" w:rsidP="00640F03" w:rsidRDefault="007B36F1" w14:paraId="6C8DF81F" w14:textId="57052F03">
      <w:pPr>
        <w:pStyle w:val="JuHArticle"/>
        <w:rPr>
          <w:lang w:val="fr-FR"/>
        </w:rPr>
      </w:pPr>
      <w:r w:rsidRPr="00640F03">
        <w:rPr>
          <w:lang w:val="fr-FR"/>
        </w:rPr>
        <w:t>Article</w:t>
      </w:r>
      <w:r w:rsidRPr="00640F03" w:rsidR="006F1BFE">
        <w:rPr>
          <w:lang w:val="fr-FR"/>
        </w:rPr>
        <w:t> </w:t>
      </w:r>
      <w:r w:rsidRPr="00640F03">
        <w:rPr>
          <w:lang w:val="fr-FR"/>
        </w:rPr>
        <w:t>27 – Protection plus étendue</w:t>
      </w:r>
    </w:p>
    <w:p w:rsidRPr="00640F03" w:rsidR="00BF011B" w:rsidP="00640F03" w:rsidRDefault="00EE08C4" w14:paraId="6360B698" w14:textId="217EFC26">
      <w:pPr>
        <w:pStyle w:val="JuQuot"/>
        <w:rPr>
          <w:lang w:val="fr-FR"/>
        </w:rPr>
      </w:pPr>
      <w:r w:rsidRPr="00640F03">
        <w:rPr>
          <w:lang w:val="fr-FR"/>
        </w:rPr>
        <w:t>« </w:t>
      </w:r>
      <w:r w:rsidRPr="00640F03" w:rsidR="007B36F1">
        <w:rPr>
          <w:lang w:val="fr-FR"/>
        </w:rPr>
        <w:t>Aucune des dispositions de la présente Convention ne sera interprétée comme limitant ou portant atteinte à la faculté pour chaque Partie d</w:t>
      </w:r>
      <w:r w:rsidRPr="00640F03" w:rsidR="00640F03">
        <w:rPr>
          <w:lang w:val="fr-FR"/>
        </w:rPr>
        <w:t>’</w:t>
      </w:r>
      <w:r w:rsidRPr="00640F03" w:rsidR="007B36F1">
        <w:rPr>
          <w:lang w:val="fr-FR"/>
        </w:rPr>
        <w:t>accorder une protection plus étendue à l</w:t>
      </w:r>
      <w:r w:rsidRPr="00640F03" w:rsidR="00640F03">
        <w:rPr>
          <w:lang w:val="fr-FR"/>
        </w:rPr>
        <w:t>’</w:t>
      </w:r>
      <w:r w:rsidRPr="00640F03" w:rsidR="007B36F1">
        <w:rPr>
          <w:lang w:val="fr-FR"/>
        </w:rPr>
        <w:t>égard des applications de la biologie et de la médecine que celle prévue par la présente Convention. »</w:t>
      </w:r>
    </w:p>
    <w:p w:rsidRPr="00640F03" w:rsidR="00F6518C" w:rsidP="00640F03" w:rsidRDefault="007B36F1" w14:paraId="242B2FF2" w14:textId="403E7DE4">
      <w:pPr>
        <w:pStyle w:val="JuHA"/>
        <w:rPr>
          <w:rFonts w:eastAsia="MingLiU"/>
          <w:lang w:val="fr-FR"/>
        </w:rPr>
      </w:pPr>
      <w:r w:rsidRPr="00640F03">
        <w:rPr>
          <w:rFonts w:eastAsia="MingLiU"/>
          <w:lang w:val="fr-FR"/>
        </w:rPr>
        <w:t>Autres textes pertinents du Conseil de l</w:t>
      </w:r>
      <w:r w:rsidRPr="00640F03" w:rsidR="00640F03">
        <w:rPr>
          <w:rFonts w:eastAsia="MingLiU"/>
          <w:lang w:val="fr-FR"/>
        </w:rPr>
        <w:t>’</w:t>
      </w:r>
      <w:r w:rsidRPr="00640F03">
        <w:rPr>
          <w:rFonts w:eastAsia="MingLiU"/>
          <w:lang w:val="fr-FR"/>
        </w:rPr>
        <w:t>Europe</w:t>
      </w:r>
    </w:p>
    <w:bookmarkStart w:name="P22" w:id="13"/>
    <w:bookmarkStart w:name="P23" w:id="14"/>
    <w:p w:rsidRPr="00640F03" w:rsidR="000932CC" w:rsidP="00640F03" w:rsidRDefault="00CE670B" w14:paraId="1F9C85F7" w14:textId="158472C9">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23</w:t>
      </w:r>
      <w:r w:rsidRPr="00640F03">
        <w:rPr>
          <w:rFonts w:ascii="Times New Roman" w:hAnsi="Times New Roman" w:cs="Times New Roman"/>
          <w:lang w:val="fr-FR"/>
        </w:rPr>
        <w:fldChar w:fldCharType="end"/>
      </w:r>
      <w:bookmarkEnd w:id="13"/>
      <w:bookmarkEnd w:id="14"/>
      <w:r w:rsidRPr="00640F03">
        <w:rPr>
          <w:rFonts w:ascii="Times New Roman" w:hAnsi="Times New Roman" w:cs="Times New Roman"/>
          <w:lang w:val="fr-FR"/>
        </w:rPr>
        <w:t>.  </w:t>
      </w:r>
      <w:r w:rsidRPr="00640F03" w:rsidR="007B36F1">
        <w:rPr>
          <w:rFonts w:ascii="Times New Roman" w:hAnsi="Times New Roman" w:cs="Times New Roman"/>
          <w:lang w:val="fr-FR"/>
        </w:rPr>
        <w:t>En 2004, le Comité des Ministres a adopté la Recommandation REC(2004)10 relative à la protection des droits de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homme et de la dignité des personnes atteintes de troubles mentaux. Son chapitre III concerne le placement involontaire dans des établissements psychiatriques et le traitement involontaire pour trouble mental. Il énonce une série de critères, de normes et de droits que les États devraient respecter en pareilles situations. Aux fins de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examen de la présente demande, le deuxième critère, qui figure à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article</w:t>
      </w:r>
      <w:r w:rsidRPr="00640F03" w:rsidR="00D92A54">
        <w:rPr>
          <w:rFonts w:ascii="Times New Roman" w:hAnsi="Times New Roman" w:cs="Times New Roman"/>
          <w:lang w:val="fr-FR"/>
        </w:rPr>
        <w:t> </w:t>
      </w:r>
      <w:r w:rsidRPr="00640F03" w:rsidR="007B36F1">
        <w:rPr>
          <w:rFonts w:ascii="Times New Roman" w:hAnsi="Times New Roman" w:cs="Times New Roman"/>
          <w:lang w:val="fr-FR"/>
        </w:rPr>
        <w:t>17.1, revêt une certaine importance :</w:t>
      </w:r>
    </w:p>
    <w:p w:rsidRPr="00640F03" w:rsidR="007B36F1" w:rsidP="00640F03" w:rsidRDefault="007B36F1" w14:paraId="1D298B08" w14:textId="48410017">
      <w:pPr>
        <w:pStyle w:val="JuQuot"/>
        <w:rPr>
          <w:lang w:val="fr-FR"/>
        </w:rPr>
      </w:pPr>
      <w:r w:rsidRPr="00640F03">
        <w:rPr>
          <w:lang w:val="fr-FR"/>
        </w:rPr>
        <w:t>« Sous réserve que les conditions suivantes sont réunies, une personne peut faire l</w:t>
      </w:r>
      <w:r w:rsidRPr="00640F03" w:rsidR="00640F03">
        <w:rPr>
          <w:lang w:val="fr-FR"/>
        </w:rPr>
        <w:t>’</w:t>
      </w:r>
      <w:r w:rsidRPr="00640F03">
        <w:rPr>
          <w:lang w:val="fr-FR"/>
        </w:rPr>
        <w:t>objet d</w:t>
      </w:r>
      <w:r w:rsidRPr="00640F03" w:rsidR="00640F03">
        <w:rPr>
          <w:lang w:val="fr-FR"/>
        </w:rPr>
        <w:t>’</w:t>
      </w:r>
      <w:r w:rsidRPr="00640F03">
        <w:rPr>
          <w:lang w:val="fr-FR"/>
        </w:rPr>
        <w:t>un placement involontaire :</w:t>
      </w:r>
    </w:p>
    <w:p w:rsidRPr="00640F03" w:rsidR="007B36F1" w:rsidP="00640F03" w:rsidRDefault="007B36F1" w14:paraId="5DC76216" w14:textId="6E8636FF">
      <w:pPr>
        <w:pStyle w:val="JuQuot"/>
        <w:rPr>
          <w:lang w:val="fr-FR"/>
        </w:rPr>
      </w:pPr>
      <w:r w:rsidRPr="00640F03">
        <w:rPr>
          <w:lang w:val="fr-FR"/>
        </w:rPr>
        <w:t>(</w:t>
      </w:r>
      <w:r w:rsidRPr="00640F03" w:rsidR="006E0F85">
        <w:rPr>
          <w:lang w:val="fr-FR"/>
        </w:rPr>
        <w:t>...</w:t>
      </w:r>
      <w:r w:rsidRPr="00640F03">
        <w:rPr>
          <w:lang w:val="fr-FR"/>
        </w:rPr>
        <w:t>)</w:t>
      </w:r>
    </w:p>
    <w:p w:rsidRPr="00640F03" w:rsidR="007B36F1" w:rsidP="00640F03" w:rsidRDefault="007B36F1" w14:paraId="450ACEF7" w14:textId="1395E8BC">
      <w:pPr>
        <w:pStyle w:val="JuQuot"/>
        <w:rPr>
          <w:lang w:val="fr-FR"/>
        </w:rPr>
      </w:pPr>
      <w:r w:rsidRPr="00640F03">
        <w:rPr>
          <w:lang w:val="fr-FR"/>
        </w:rPr>
        <w:t>ii.  l</w:t>
      </w:r>
      <w:r w:rsidRPr="00640F03" w:rsidR="00640F03">
        <w:rPr>
          <w:lang w:val="fr-FR"/>
        </w:rPr>
        <w:t>’</w:t>
      </w:r>
      <w:r w:rsidRPr="00640F03">
        <w:rPr>
          <w:lang w:val="fr-FR"/>
        </w:rPr>
        <w:t>état de la personne présente un risque réel de dommage grave pour sa santé ou pour autrui ;</w:t>
      </w:r>
    </w:p>
    <w:p w:rsidRPr="00640F03" w:rsidR="000932CC" w:rsidP="00640F03" w:rsidRDefault="007B36F1" w14:paraId="3110C6E3" w14:textId="3DB99179">
      <w:pPr>
        <w:pStyle w:val="JuQuot"/>
        <w:rPr>
          <w:lang w:val="fr-FR"/>
        </w:rPr>
      </w:pPr>
      <w:r w:rsidRPr="00640F03">
        <w:rPr>
          <w:lang w:val="fr-FR"/>
        </w:rPr>
        <w:t>(</w:t>
      </w:r>
      <w:r w:rsidRPr="00640F03" w:rsidR="006E0F85">
        <w:rPr>
          <w:lang w:val="fr-FR"/>
        </w:rPr>
        <w:t>...</w:t>
      </w:r>
      <w:r w:rsidRPr="00640F03">
        <w:rPr>
          <w:lang w:val="fr-FR"/>
        </w:rPr>
        <w:t>) »</w:t>
      </w:r>
    </w:p>
    <w:p w:rsidRPr="00640F03" w:rsidR="000932CC" w:rsidP="00640F03" w:rsidRDefault="007B36F1" w14:paraId="3EF63EB6" w14:textId="317458F2">
      <w:pPr>
        <w:pStyle w:val="JuPara"/>
        <w:rPr>
          <w:rFonts w:ascii="Times New Roman" w:hAnsi="Times New Roman" w:cs="Times New Roman"/>
          <w:lang w:val="fr-FR"/>
        </w:rPr>
      </w:pPr>
      <w:r w:rsidRPr="00640F03">
        <w:rPr>
          <w:rFonts w:ascii="Times New Roman" w:hAnsi="Times New Roman" w:cs="Times New Roman"/>
          <w:lang w:val="fr-FR"/>
        </w:rPr>
        <w:t>Le même critère figure également à l</w:t>
      </w:r>
      <w:r w:rsidRPr="00640F03" w:rsidR="00640F03">
        <w:rPr>
          <w:rFonts w:ascii="Times New Roman" w:hAnsi="Times New Roman" w:cs="Times New Roman"/>
          <w:lang w:val="fr-FR"/>
        </w:rPr>
        <w:t>’</w:t>
      </w:r>
      <w:r w:rsidRPr="00640F03">
        <w:rPr>
          <w:rFonts w:ascii="Times New Roman" w:hAnsi="Times New Roman" w:cs="Times New Roman"/>
          <w:lang w:val="fr-FR"/>
        </w:rPr>
        <w:t>article 18 relativement au traitement involontaire.</w:t>
      </w:r>
    </w:p>
    <w:p w:rsidRPr="00640F03" w:rsidR="0032351C" w:rsidP="00640F03" w:rsidRDefault="007B36F1" w14:paraId="2005299B" w14:textId="423A5CE7">
      <w:pPr>
        <w:pStyle w:val="JuHA"/>
        <w:rPr>
          <w:rFonts w:eastAsia="MingLiU"/>
          <w:lang w:val="fr-FR"/>
        </w:rPr>
      </w:pPr>
      <w:r w:rsidRPr="00640F03">
        <w:rPr>
          <w:rFonts w:eastAsia="MingLiU"/>
          <w:lang w:val="fr-FR"/>
        </w:rPr>
        <w:t>Le projet de Protocole additionnel relatif à la protection des droits de l</w:t>
      </w:r>
      <w:r w:rsidRPr="00640F03" w:rsidR="00640F03">
        <w:rPr>
          <w:rFonts w:eastAsia="MingLiU"/>
          <w:lang w:val="fr-FR"/>
        </w:rPr>
        <w:t>’</w:t>
      </w:r>
      <w:r w:rsidRPr="00640F03">
        <w:rPr>
          <w:rFonts w:eastAsia="MingLiU"/>
          <w:lang w:val="fr-FR"/>
        </w:rPr>
        <w:t>homme et de la dignité des personnes atteintes de troubles mentaux à l</w:t>
      </w:r>
      <w:r w:rsidRPr="00640F03" w:rsidR="00640F03">
        <w:rPr>
          <w:rFonts w:eastAsia="MingLiU"/>
          <w:lang w:val="fr-FR"/>
        </w:rPr>
        <w:t>’</w:t>
      </w:r>
      <w:r w:rsidRPr="00640F03">
        <w:rPr>
          <w:rFonts w:eastAsia="MingLiU"/>
          <w:lang w:val="fr-FR"/>
        </w:rPr>
        <w:t>égard du placement et du traitement involontaires</w:t>
      </w:r>
    </w:p>
    <w:p w:rsidRPr="00640F03" w:rsidR="007B36F1" w:rsidP="00640F03" w:rsidRDefault="00CC676E" w14:paraId="3ABD29C5" w14:textId="789783F4">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24</w:t>
      </w:r>
      <w:r w:rsidRPr="00640F03">
        <w:rPr>
          <w:rFonts w:ascii="Times New Roman" w:hAnsi="Times New Roman" w:cs="Times New Roman"/>
          <w:lang w:val="fr-FR"/>
        </w:rPr>
        <w:fldChar w:fldCharType="end"/>
      </w:r>
      <w:r w:rsidRPr="00640F03">
        <w:rPr>
          <w:rFonts w:ascii="Times New Roman" w:hAnsi="Times New Roman" w:cs="Times New Roman"/>
          <w:lang w:val="fr-FR"/>
        </w:rPr>
        <w:t>.  </w:t>
      </w:r>
      <w:r w:rsidRPr="00640F03" w:rsidR="007B36F1">
        <w:rPr>
          <w:rFonts w:ascii="Times New Roman" w:hAnsi="Times New Roman" w:cs="Times New Roman"/>
          <w:lang w:val="fr-FR"/>
        </w:rPr>
        <w:t>L</w:t>
      </w:r>
      <w:r w:rsidRPr="00640F03" w:rsidR="00640F03">
        <w:rPr>
          <w:rFonts w:ascii="Times New Roman" w:hAnsi="Times New Roman" w:cs="Times New Roman"/>
          <w:lang w:val="fr-FR"/>
        </w:rPr>
        <w:t>’</w:t>
      </w:r>
      <w:r w:rsidRPr="00640F03" w:rsidR="007B36F1">
        <w:rPr>
          <w:rFonts w:ascii="Times New Roman" w:hAnsi="Times New Roman" w:cs="Times New Roman"/>
          <w:lang w:val="fr-FR"/>
        </w:rPr>
        <w:t>article</w:t>
      </w:r>
      <w:r w:rsidRPr="00640F03" w:rsidR="00D92A54">
        <w:rPr>
          <w:rFonts w:ascii="Times New Roman" w:hAnsi="Times New Roman" w:cs="Times New Roman"/>
          <w:lang w:val="fr-FR"/>
        </w:rPr>
        <w:t> </w:t>
      </w:r>
      <w:r w:rsidRPr="00640F03" w:rsidR="007B36F1">
        <w:rPr>
          <w:rFonts w:ascii="Times New Roman" w:hAnsi="Times New Roman" w:cs="Times New Roman"/>
          <w:lang w:val="fr-FR"/>
        </w:rPr>
        <w:t>31 de la Convention d</w:t>
      </w:r>
      <w:r w:rsidRPr="00640F03" w:rsidR="00640F03">
        <w:rPr>
          <w:rFonts w:ascii="Times New Roman" w:hAnsi="Times New Roman" w:cs="Times New Roman"/>
          <w:lang w:val="fr-FR"/>
        </w:rPr>
        <w:t>’</w:t>
      </w:r>
      <w:r w:rsidRPr="00640F03" w:rsidR="007B36F1">
        <w:rPr>
          <w:rFonts w:ascii="Times New Roman" w:hAnsi="Times New Roman" w:cs="Times New Roman"/>
          <w:lang w:val="fr-FR"/>
        </w:rPr>
        <w:t>Oviedo prévoit que des protocoles peuvent être élaborés « en vue de développer, dans des domaines spécifiques, les principes contenus dans la présente Convention » (paragraphe</w:t>
      </w:r>
      <w:r w:rsidRPr="00640F03" w:rsidR="006F1BFE">
        <w:rPr>
          <w:rFonts w:ascii="Times New Roman" w:hAnsi="Times New Roman" w:cs="Times New Roman"/>
          <w:lang w:val="fr-FR"/>
        </w:rPr>
        <w:t> </w:t>
      </w:r>
      <w:r w:rsidRPr="00640F03" w:rsidR="00FF6694">
        <w:rPr>
          <w:rFonts w:ascii="Times New Roman" w:hAnsi="Times New Roman" w:cs="Times New Roman"/>
          <w:lang w:val="fr-FR"/>
        </w:rPr>
        <w:fldChar w:fldCharType="begin"/>
      </w:r>
      <w:r w:rsidRPr="00640F03" w:rsidR="00FF6694">
        <w:rPr>
          <w:rFonts w:ascii="Times New Roman" w:hAnsi="Times New Roman" w:cs="Times New Roman"/>
          <w:lang w:val="fr-FR"/>
        </w:rPr>
        <w:instrText xml:space="preserve"> REF P10 \h </w:instrText>
      </w:r>
      <w:r w:rsidRPr="00640F03" w:rsidR="00FF6694">
        <w:rPr>
          <w:rFonts w:ascii="Times New Roman" w:hAnsi="Times New Roman" w:cs="Times New Roman"/>
          <w:lang w:val="fr-FR"/>
        </w:rPr>
      </w:r>
      <w:r w:rsidRPr="00640F03" w:rsidR="00FF6694">
        <w:rPr>
          <w:rFonts w:ascii="Times New Roman" w:hAnsi="Times New Roman" w:cs="Times New Roman"/>
          <w:lang w:val="fr-FR"/>
        </w:rPr>
        <w:fldChar w:fldCharType="separate"/>
      </w:r>
      <w:r w:rsidRPr="00640F03" w:rsidR="00640F03">
        <w:rPr>
          <w:noProof/>
          <w:lang w:val="fr-FR"/>
        </w:rPr>
        <w:t>10</w:t>
      </w:r>
      <w:r w:rsidRPr="00640F03" w:rsidR="00FF6694">
        <w:rPr>
          <w:rFonts w:ascii="Times New Roman" w:hAnsi="Times New Roman" w:cs="Times New Roman"/>
          <w:lang w:val="fr-FR"/>
        </w:rPr>
        <w:fldChar w:fldCharType="end"/>
      </w:r>
      <w:r w:rsidRPr="00640F03" w:rsidR="007B36F1">
        <w:rPr>
          <w:rFonts w:ascii="Times New Roman" w:hAnsi="Times New Roman" w:cs="Times New Roman"/>
          <w:lang w:val="fr-FR"/>
        </w:rPr>
        <w:t xml:space="preserve"> ci</w:t>
      </w:r>
      <w:r w:rsidRPr="00640F03" w:rsidR="007B36F1">
        <w:rPr>
          <w:rFonts w:ascii="Times New Roman" w:hAnsi="Times New Roman" w:cs="Times New Roman"/>
          <w:lang w:val="fr-FR"/>
        </w:rPr>
        <w:noBreakHyphen/>
        <w:t>dessus). Comme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expose le rapport explicatif, la Convention d</w:t>
      </w:r>
      <w:r w:rsidRPr="00640F03" w:rsidR="00640F03">
        <w:rPr>
          <w:rFonts w:ascii="Times New Roman" w:hAnsi="Times New Roman" w:cs="Times New Roman"/>
          <w:lang w:val="fr-FR"/>
        </w:rPr>
        <w:t>’</w:t>
      </w:r>
      <w:r w:rsidRPr="00640F03" w:rsidR="007B36F1">
        <w:rPr>
          <w:rFonts w:ascii="Times New Roman" w:hAnsi="Times New Roman" w:cs="Times New Roman"/>
          <w:lang w:val="fr-FR"/>
        </w:rPr>
        <w:t>Oviedo se limite à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énoncé des principes les plus importants. Les normes complémentaires et des règles plus détaillées doivent faire l</w:t>
      </w:r>
      <w:r w:rsidRPr="00640F03" w:rsidR="00640F03">
        <w:rPr>
          <w:rFonts w:ascii="Times New Roman" w:hAnsi="Times New Roman" w:cs="Times New Roman"/>
          <w:lang w:val="fr-FR"/>
        </w:rPr>
        <w:t>’</w:t>
      </w:r>
      <w:r w:rsidRPr="00640F03" w:rsidR="007B36F1">
        <w:rPr>
          <w:rFonts w:ascii="Times New Roman" w:hAnsi="Times New Roman" w:cs="Times New Roman"/>
          <w:lang w:val="fr-FR"/>
        </w:rPr>
        <w:t>objet de protocoles additionnels (paragraphe</w:t>
      </w:r>
      <w:r w:rsidRPr="00640F03" w:rsidR="006F1BFE">
        <w:rPr>
          <w:rFonts w:ascii="Times New Roman" w:hAnsi="Times New Roman" w:cs="Times New Roman"/>
          <w:lang w:val="fr-FR"/>
        </w:rPr>
        <w:t> </w:t>
      </w:r>
      <w:r w:rsidRPr="00640F03" w:rsidR="007B36F1">
        <w:rPr>
          <w:rFonts w:ascii="Times New Roman" w:hAnsi="Times New Roman" w:cs="Times New Roman"/>
          <w:lang w:val="fr-FR"/>
        </w:rPr>
        <w:t>7 du rapport explicatif). À ce jour, trois protocoles additionnels ont été conclus, concernant</w:t>
      </w:r>
      <w:r w:rsidRPr="00640F03" w:rsidR="00BD0EFA">
        <w:rPr>
          <w:rFonts w:ascii="Times New Roman" w:hAnsi="Times New Roman" w:cs="Times New Roman"/>
          <w:lang w:val="fr-FR"/>
        </w:rPr>
        <w:t xml:space="preserve"> la transplantation d</w:t>
      </w:r>
      <w:r w:rsidRPr="00640F03" w:rsidR="00640F03">
        <w:rPr>
          <w:rFonts w:ascii="Times New Roman" w:hAnsi="Times New Roman" w:cs="Times New Roman"/>
          <w:lang w:val="fr-FR"/>
        </w:rPr>
        <w:t>’</w:t>
      </w:r>
      <w:r w:rsidRPr="00640F03" w:rsidR="00BD0EFA">
        <w:rPr>
          <w:rFonts w:ascii="Times New Roman" w:hAnsi="Times New Roman" w:cs="Times New Roman"/>
          <w:lang w:val="fr-FR"/>
        </w:rPr>
        <w:t>organes et de tissus d</w:t>
      </w:r>
      <w:r w:rsidRPr="00640F03" w:rsidR="00640F03">
        <w:rPr>
          <w:rFonts w:ascii="Times New Roman" w:hAnsi="Times New Roman" w:cs="Times New Roman"/>
          <w:lang w:val="fr-FR"/>
        </w:rPr>
        <w:t>’</w:t>
      </w:r>
      <w:r w:rsidRPr="00640F03" w:rsidR="00BD0EFA">
        <w:rPr>
          <w:rFonts w:ascii="Times New Roman" w:hAnsi="Times New Roman" w:cs="Times New Roman"/>
          <w:lang w:val="fr-FR"/>
        </w:rPr>
        <w:t>origine humaine</w:t>
      </w:r>
      <w:r w:rsidRPr="00640F03" w:rsidR="007B36F1">
        <w:rPr>
          <w:rStyle w:val="FootnoteReference"/>
          <w:rFonts w:ascii="Times New Roman" w:hAnsi="Times New Roman" w:cs="Times New Roman"/>
          <w:iCs/>
          <w:lang w:val="fr-FR"/>
        </w:rPr>
        <w:footnoteReference w:id="1"/>
      </w:r>
      <w:r w:rsidRPr="00640F03" w:rsidR="007B36F1">
        <w:rPr>
          <w:rFonts w:ascii="Times New Roman" w:hAnsi="Times New Roman" w:cs="Times New Roman"/>
          <w:lang w:val="fr-FR"/>
        </w:rPr>
        <w:t>, la recherche biomédicale</w:t>
      </w:r>
      <w:r w:rsidRPr="00640F03" w:rsidR="007B36F1">
        <w:rPr>
          <w:rStyle w:val="FootnoteReference"/>
          <w:rFonts w:ascii="Times New Roman" w:hAnsi="Times New Roman" w:cs="Times New Roman"/>
          <w:iCs/>
          <w:lang w:val="fr-FR"/>
        </w:rPr>
        <w:footnoteReference w:id="2"/>
      </w:r>
      <w:r w:rsidRPr="00640F03" w:rsidR="007B36F1">
        <w:rPr>
          <w:rFonts w:ascii="Times New Roman" w:hAnsi="Times New Roman" w:cs="Times New Roman"/>
          <w:lang w:val="fr-FR"/>
        </w:rPr>
        <w:t xml:space="preserve"> et les tests génétiques à des fins médicales</w:t>
      </w:r>
      <w:r w:rsidRPr="00640F03" w:rsidR="007B36F1">
        <w:rPr>
          <w:rStyle w:val="FootnoteReference"/>
          <w:rFonts w:ascii="Times New Roman" w:hAnsi="Times New Roman" w:cs="Times New Roman"/>
          <w:iCs/>
          <w:lang w:val="fr-FR"/>
        </w:rPr>
        <w:footnoteReference w:id="3"/>
      </w:r>
      <w:r w:rsidRPr="00640F03" w:rsidR="007B36F1">
        <w:rPr>
          <w:rFonts w:ascii="Times New Roman" w:hAnsi="Times New Roman" w:cs="Times New Roman"/>
          <w:lang w:val="fr-FR"/>
        </w:rPr>
        <w:t>.</w:t>
      </w:r>
    </w:p>
    <w:p w:rsidRPr="00640F03" w:rsidR="007B36F1" w:rsidP="00640F03" w:rsidRDefault="007B36F1" w14:paraId="05F84861" w14:textId="51484839">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25</w:t>
      </w:r>
      <w:r w:rsidRPr="00640F03">
        <w:rPr>
          <w:rFonts w:ascii="Times New Roman" w:hAnsi="Times New Roman" w:cs="Times New Roman"/>
          <w:lang w:val="fr-FR"/>
        </w:rPr>
        <w:fldChar w:fldCharType="end"/>
      </w:r>
      <w:r w:rsidRPr="00640F03">
        <w:rPr>
          <w:rFonts w:ascii="Times New Roman" w:hAnsi="Times New Roman" w:cs="Times New Roman"/>
          <w:lang w:val="fr-FR"/>
        </w:rPr>
        <w:t>.  En 2018, un projet de Protocole additionnel relatif à la protection des droits de l</w:t>
      </w:r>
      <w:r w:rsidRPr="00640F03" w:rsidR="00640F03">
        <w:rPr>
          <w:rFonts w:ascii="Times New Roman" w:hAnsi="Times New Roman" w:cs="Times New Roman"/>
          <w:lang w:val="fr-FR"/>
        </w:rPr>
        <w:t>’</w:t>
      </w:r>
      <w:r w:rsidRPr="00640F03">
        <w:rPr>
          <w:rFonts w:ascii="Times New Roman" w:hAnsi="Times New Roman" w:cs="Times New Roman"/>
          <w:lang w:val="fr-FR"/>
        </w:rPr>
        <w:t>homme et de la dignité des personnes atteintes de troubles mentaux à l</w:t>
      </w:r>
      <w:r w:rsidRPr="00640F03" w:rsidR="00640F03">
        <w:rPr>
          <w:rFonts w:ascii="Times New Roman" w:hAnsi="Times New Roman" w:cs="Times New Roman"/>
          <w:lang w:val="fr-FR"/>
        </w:rPr>
        <w:t>’</w:t>
      </w:r>
      <w:r w:rsidRPr="00640F03">
        <w:rPr>
          <w:rFonts w:ascii="Times New Roman" w:hAnsi="Times New Roman" w:cs="Times New Roman"/>
          <w:lang w:val="fr-FR"/>
        </w:rPr>
        <w:t>égard du placement et du traitement involontaires (« le projet de Protocole additionnel ») a été publié (DH-BIO/INF (2018) 7, 4</w:t>
      </w:r>
      <w:r w:rsidRPr="00640F03" w:rsidR="00D92A54">
        <w:rPr>
          <w:rFonts w:ascii="Times New Roman" w:hAnsi="Times New Roman" w:cs="Times New Roman"/>
          <w:lang w:val="fr-FR"/>
        </w:rPr>
        <w:t> </w:t>
      </w:r>
      <w:r w:rsidRPr="00640F03">
        <w:rPr>
          <w:rFonts w:ascii="Times New Roman" w:hAnsi="Times New Roman" w:cs="Times New Roman"/>
          <w:lang w:val="fr-FR"/>
        </w:rPr>
        <w:t>juin 2018), suivi d</w:t>
      </w:r>
      <w:r w:rsidRPr="00640F03" w:rsidR="00640F03">
        <w:rPr>
          <w:rFonts w:ascii="Times New Roman" w:hAnsi="Times New Roman" w:cs="Times New Roman"/>
          <w:lang w:val="fr-FR"/>
        </w:rPr>
        <w:t>’</w:t>
      </w:r>
      <w:r w:rsidRPr="00640F03">
        <w:rPr>
          <w:rFonts w:ascii="Times New Roman" w:hAnsi="Times New Roman" w:cs="Times New Roman"/>
          <w:lang w:val="fr-FR"/>
        </w:rPr>
        <w:t>un projet de rapport explicatif (DH</w:t>
      </w:r>
      <w:r w:rsidRPr="00640F03">
        <w:rPr>
          <w:rFonts w:ascii="Times New Roman" w:hAnsi="Times New Roman" w:cs="Times New Roman"/>
          <w:lang w:val="fr-FR"/>
        </w:rPr>
        <w:noBreakHyphen/>
        <w:t>BIO/INF (2018)</w:t>
      </w:r>
      <w:r w:rsidRPr="00640F03" w:rsidR="006F1BFE">
        <w:rPr>
          <w:rFonts w:ascii="Times New Roman" w:hAnsi="Times New Roman" w:cs="Times New Roman"/>
          <w:lang w:val="fr-FR"/>
        </w:rPr>
        <w:t> </w:t>
      </w:r>
      <w:r w:rsidRPr="00640F03">
        <w:rPr>
          <w:rFonts w:ascii="Times New Roman" w:hAnsi="Times New Roman" w:cs="Times New Roman"/>
          <w:lang w:val="fr-FR"/>
        </w:rPr>
        <w:t>8, 15</w:t>
      </w:r>
      <w:r w:rsidRPr="00640F03" w:rsidR="00D92A54">
        <w:rPr>
          <w:rFonts w:ascii="Times New Roman" w:hAnsi="Times New Roman" w:cs="Times New Roman"/>
          <w:lang w:val="fr-FR"/>
        </w:rPr>
        <w:t> </w:t>
      </w:r>
      <w:r w:rsidRPr="00640F03">
        <w:rPr>
          <w:rFonts w:ascii="Times New Roman" w:hAnsi="Times New Roman" w:cs="Times New Roman"/>
          <w:lang w:val="fr-FR"/>
        </w:rPr>
        <w:t>juin 2018). Son but, tel qu</w:t>
      </w:r>
      <w:r w:rsidRPr="00640F03" w:rsidR="00640F03">
        <w:rPr>
          <w:rFonts w:ascii="Times New Roman" w:hAnsi="Times New Roman" w:cs="Times New Roman"/>
          <w:lang w:val="fr-FR"/>
        </w:rPr>
        <w:t>’</w:t>
      </w:r>
      <w:r w:rsidRPr="00640F03">
        <w:rPr>
          <w:rFonts w:ascii="Times New Roman" w:hAnsi="Times New Roman" w:cs="Times New Roman"/>
          <w:lang w:val="fr-FR"/>
        </w:rPr>
        <w:t>exposé dans l</w:t>
      </w:r>
      <w:r w:rsidRPr="00640F03" w:rsidR="00640F03">
        <w:rPr>
          <w:rFonts w:ascii="Times New Roman" w:hAnsi="Times New Roman" w:cs="Times New Roman"/>
          <w:lang w:val="fr-FR"/>
        </w:rPr>
        <w:t>’</w:t>
      </w:r>
      <w:r w:rsidRPr="00640F03">
        <w:rPr>
          <w:rFonts w:ascii="Times New Roman" w:hAnsi="Times New Roman" w:cs="Times New Roman"/>
          <w:lang w:val="fr-FR"/>
        </w:rPr>
        <w:t>avant-dernier paragraphe de son préambule, est de préciser les normes de protection applicables au placement et au traitement involontaires. L</w:t>
      </w:r>
      <w:r w:rsidRPr="00640F03" w:rsidR="00640F03">
        <w:rPr>
          <w:rFonts w:ascii="Times New Roman" w:hAnsi="Times New Roman" w:cs="Times New Roman"/>
          <w:lang w:val="fr-FR"/>
        </w:rPr>
        <w:t>’</w:t>
      </w:r>
      <w:r w:rsidRPr="00640F03">
        <w:rPr>
          <w:rFonts w:ascii="Times New Roman" w:hAnsi="Times New Roman" w:cs="Times New Roman"/>
          <w:lang w:val="fr-FR"/>
        </w:rPr>
        <w:t>objet de ce projet, tel qu</w:t>
      </w:r>
      <w:r w:rsidRPr="00640F03" w:rsidR="00640F03">
        <w:rPr>
          <w:rFonts w:ascii="Times New Roman" w:hAnsi="Times New Roman" w:cs="Times New Roman"/>
          <w:lang w:val="fr-FR"/>
        </w:rPr>
        <w:t>’</w:t>
      </w:r>
      <w:r w:rsidRPr="00640F03">
        <w:rPr>
          <w:rFonts w:ascii="Times New Roman" w:hAnsi="Times New Roman" w:cs="Times New Roman"/>
          <w:lang w:val="fr-FR"/>
        </w:rPr>
        <w:t>énoncé dans son article</w:t>
      </w:r>
      <w:r w:rsidRPr="00640F03" w:rsidR="006F1BFE">
        <w:rPr>
          <w:rFonts w:ascii="Times New Roman" w:hAnsi="Times New Roman" w:cs="Times New Roman"/>
          <w:lang w:val="fr-FR"/>
        </w:rPr>
        <w:t> </w:t>
      </w:r>
      <w:r w:rsidRPr="00640F03">
        <w:rPr>
          <w:rFonts w:ascii="Times New Roman" w:hAnsi="Times New Roman" w:cs="Times New Roman"/>
          <w:lang w:val="fr-FR"/>
        </w:rPr>
        <w:t>1, est que les Parties « protègent la dignité et l</w:t>
      </w:r>
      <w:r w:rsidRPr="00640F03" w:rsidR="00640F03">
        <w:rPr>
          <w:rFonts w:ascii="Times New Roman" w:hAnsi="Times New Roman" w:cs="Times New Roman"/>
          <w:lang w:val="fr-FR"/>
        </w:rPr>
        <w:t>’</w:t>
      </w:r>
      <w:r w:rsidRPr="00640F03">
        <w:rPr>
          <w:rFonts w:ascii="Times New Roman" w:hAnsi="Times New Roman" w:cs="Times New Roman"/>
          <w:lang w:val="fr-FR"/>
        </w:rPr>
        <w:t>identité des personnes atteintes de troubles mentaux et garantissent, sans discrimination, le respect de leur intégrité et de leurs autres droits et libertés fondamentales, à l</w:t>
      </w:r>
      <w:r w:rsidRPr="00640F03" w:rsidR="00640F03">
        <w:rPr>
          <w:rFonts w:ascii="Times New Roman" w:hAnsi="Times New Roman" w:cs="Times New Roman"/>
          <w:lang w:val="fr-FR"/>
        </w:rPr>
        <w:t>’</w:t>
      </w:r>
      <w:r w:rsidRPr="00640F03">
        <w:rPr>
          <w:rFonts w:ascii="Times New Roman" w:hAnsi="Times New Roman" w:cs="Times New Roman"/>
          <w:lang w:val="fr-FR"/>
        </w:rPr>
        <w:t>égard du placement et du traitement involontaires ».</w:t>
      </w:r>
    </w:p>
    <w:p w:rsidRPr="00640F03" w:rsidR="006E0F85" w:rsidP="00640F03" w:rsidRDefault="007B36F1" w14:paraId="75D5E2CA" w14:textId="6A6ED2D2">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26</w:t>
      </w:r>
      <w:r w:rsidRPr="00640F03">
        <w:rPr>
          <w:rFonts w:ascii="Times New Roman" w:hAnsi="Times New Roman" w:cs="Times New Roman"/>
          <w:lang w:val="fr-FR"/>
        </w:rPr>
        <w:fldChar w:fldCharType="end"/>
      </w:r>
      <w:r w:rsidRPr="00640F03">
        <w:rPr>
          <w:rFonts w:ascii="Times New Roman" w:hAnsi="Times New Roman" w:cs="Times New Roman"/>
          <w:lang w:val="fr-FR"/>
        </w:rPr>
        <w:t>.  Comme cela est précisé dans le projet de rapport explicatif, l</w:t>
      </w:r>
      <w:r w:rsidRPr="00640F03" w:rsidR="00640F03">
        <w:rPr>
          <w:rFonts w:ascii="Times New Roman" w:hAnsi="Times New Roman" w:cs="Times New Roman"/>
          <w:lang w:val="fr-FR"/>
        </w:rPr>
        <w:t>’</w:t>
      </w:r>
      <w:r w:rsidRPr="00640F03">
        <w:rPr>
          <w:rFonts w:ascii="Times New Roman" w:hAnsi="Times New Roman" w:cs="Times New Roman"/>
          <w:lang w:val="fr-FR"/>
        </w:rPr>
        <w:t>objectif est « de préciser et d</w:t>
      </w:r>
      <w:r w:rsidRPr="00640F03" w:rsidR="00640F03">
        <w:rPr>
          <w:rFonts w:ascii="Times New Roman" w:hAnsi="Times New Roman" w:cs="Times New Roman"/>
          <w:lang w:val="fr-FR"/>
        </w:rPr>
        <w:t>’</w:t>
      </w:r>
      <w:r w:rsidRPr="00640F03">
        <w:rPr>
          <w:rFonts w:ascii="Times New Roman" w:hAnsi="Times New Roman" w:cs="Times New Roman"/>
          <w:lang w:val="fr-FR"/>
        </w:rPr>
        <w:t>élaborer les normes relatives à la protection des droits de l</w:t>
      </w:r>
      <w:r w:rsidRPr="00640F03" w:rsidR="00640F03">
        <w:rPr>
          <w:rFonts w:ascii="Times New Roman" w:hAnsi="Times New Roman" w:cs="Times New Roman"/>
          <w:lang w:val="fr-FR"/>
        </w:rPr>
        <w:t>’</w:t>
      </w:r>
      <w:r w:rsidRPr="00640F03">
        <w:rPr>
          <w:rFonts w:ascii="Times New Roman" w:hAnsi="Times New Roman" w:cs="Times New Roman"/>
          <w:lang w:val="fr-FR"/>
        </w:rPr>
        <w:t>homme applicables au recours aux mesures involontaires, sur la base, notamment, de la jurisprudence de la Cour européenne des droits de l</w:t>
      </w:r>
      <w:r w:rsidRPr="00640F03" w:rsidR="00640F03">
        <w:rPr>
          <w:rFonts w:ascii="Times New Roman" w:hAnsi="Times New Roman" w:cs="Times New Roman"/>
          <w:lang w:val="fr-FR"/>
        </w:rPr>
        <w:t>’</w:t>
      </w:r>
      <w:r w:rsidRPr="00640F03">
        <w:rPr>
          <w:rFonts w:ascii="Times New Roman" w:hAnsi="Times New Roman" w:cs="Times New Roman"/>
          <w:lang w:val="fr-FR"/>
        </w:rPr>
        <w:t>homme, dans un instrument juridiquement contraignant » (paragraphe</w:t>
      </w:r>
      <w:r w:rsidRPr="00640F03" w:rsidR="006F1BFE">
        <w:rPr>
          <w:rFonts w:ascii="Times New Roman" w:hAnsi="Times New Roman" w:cs="Times New Roman"/>
          <w:lang w:val="fr-FR"/>
        </w:rPr>
        <w:t> </w:t>
      </w:r>
      <w:r w:rsidRPr="00640F03">
        <w:rPr>
          <w:rFonts w:ascii="Times New Roman" w:hAnsi="Times New Roman" w:cs="Times New Roman"/>
          <w:lang w:val="fr-FR"/>
        </w:rPr>
        <w:t>1). Le projet de Protocole additionnel « complète et élargit » les dispositions de la Convention d</w:t>
      </w:r>
      <w:r w:rsidRPr="00640F03" w:rsidR="00640F03">
        <w:rPr>
          <w:rFonts w:ascii="Times New Roman" w:hAnsi="Times New Roman" w:cs="Times New Roman"/>
          <w:lang w:val="fr-FR"/>
        </w:rPr>
        <w:t>’</w:t>
      </w:r>
      <w:r w:rsidRPr="00640F03">
        <w:rPr>
          <w:rFonts w:ascii="Times New Roman" w:hAnsi="Times New Roman" w:cs="Times New Roman"/>
          <w:lang w:val="fr-FR"/>
        </w:rPr>
        <w:t>Oviedo (paragraphe</w:t>
      </w:r>
      <w:r w:rsidRPr="00640F03" w:rsidR="006F1BFE">
        <w:rPr>
          <w:rFonts w:ascii="Times New Roman" w:hAnsi="Times New Roman" w:cs="Times New Roman"/>
          <w:lang w:val="fr-FR"/>
        </w:rPr>
        <w:t> </w:t>
      </w:r>
      <w:r w:rsidRPr="00640F03">
        <w:rPr>
          <w:rFonts w:ascii="Times New Roman" w:hAnsi="Times New Roman" w:cs="Times New Roman"/>
          <w:lang w:val="fr-FR"/>
        </w:rPr>
        <w:t>4).</w:t>
      </w:r>
    </w:p>
    <w:p w:rsidRPr="00640F03" w:rsidR="006E0F85" w:rsidP="00640F03" w:rsidRDefault="007B36F1" w14:paraId="6D1EDA7C" w14:textId="23BCB21A">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27</w:t>
      </w:r>
      <w:r w:rsidRPr="00640F03">
        <w:rPr>
          <w:rFonts w:ascii="Times New Roman" w:hAnsi="Times New Roman" w:cs="Times New Roman"/>
          <w:lang w:val="fr-FR"/>
        </w:rPr>
        <w:fldChar w:fldCharType="end"/>
      </w:r>
      <w:r w:rsidRPr="00640F03">
        <w:rPr>
          <w:rFonts w:ascii="Times New Roman" w:hAnsi="Times New Roman" w:cs="Times New Roman"/>
          <w:lang w:val="fr-FR"/>
        </w:rPr>
        <w:t>.  Le projet de Protocole additionnel s</w:t>
      </w:r>
      <w:r w:rsidRPr="00640F03" w:rsidR="00640F03">
        <w:rPr>
          <w:rFonts w:ascii="Times New Roman" w:hAnsi="Times New Roman" w:cs="Times New Roman"/>
          <w:lang w:val="fr-FR"/>
        </w:rPr>
        <w:t>’</w:t>
      </w:r>
      <w:r w:rsidRPr="00640F03">
        <w:rPr>
          <w:rFonts w:ascii="Times New Roman" w:hAnsi="Times New Roman" w:cs="Times New Roman"/>
          <w:lang w:val="fr-FR"/>
        </w:rPr>
        <w:t>appuie sur la Recommandation Rec (2004) 10 du Comité des Ministres aux États membres (mentionnée dans le sixième paragraphe de son préambule ; paragraphe</w:t>
      </w:r>
      <w:r w:rsidRPr="00640F03" w:rsidR="006F1BFE">
        <w:rPr>
          <w:rFonts w:ascii="Times New Roman" w:hAnsi="Times New Roman" w:cs="Times New Roman"/>
          <w:lang w:val="fr-FR"/>
        </w:rPr>
        <w:t> </w:t>
      </w: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REF P23 \h </w:instrText>
      </w:r>
      <w:r w:rsidRPr="00640F03">
        <w:rPr>
          <w:rFonts w:ascii="Times New Roman" w:hAnsi="Times New Roman" w:cs="Times New Roman"/>
          <w:lang w:val="fr-FR"/>
        </w:rPr>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23</w:t>
      </w:r>
      <w:r w:rsidRPr="00640F03">
        <w:rPr>
          <w:rFonts w:ascii="Times New Roman" w:hAnsi="Times New Roman" w:cs="Times New Roman"/>
          <w:lang w:val="fr-FR"/>
        </w:rPr>
        <w:fldChar w:fldCharType="end"/>
      </w:r>
      <w:r w:rsidRPr="00640F03">
        <w:rPr>
          <w:rFonts w:ascii="Times New Roman" w:hAnsi="Times New Roman" w:cs="Times New Roman"/>
          <w:lang w:val="fr-FR"/>
        </w:rPr>
        <w:t xml:space="preserve"> ci-dessus).</w:t>
      </w:r>
    </w:p>
    <w:p w:rsidRPr="00640F03" w:rsidR="00F6518C" w:rsidP="00640F03" w:rsidRDefault="007B36F1" w14:paraId="6D23FBED" w14:textId="74E77C2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28</w:t>
      </w:r>
      <w:r w:rsidRPr="00640F03">
        <w:rPr>
          <w:lang w:val="fr-FR"/>
        </w:rPr>
        <w:fldChar w:fldCharType="end"/>
      </w:r>
      <w:r w:rsidRPr="00640F03">
        <w:rPr>
          <w:lang w:val="fr-FR"/>
        </w:rPr>
        <w:t>.  Le projet de Protocole additionnel s</w:t>
      </w:r>
      <w:r w:rsidRPr="00640F03" w:rsidR="00640F03">
        <w:rPr>
          <w:lang w:val="fr-FR"/>
        </w:rPr>
        <w:t>’</w:t>
      </w:r>
      <w:r w:rsidRPr="00640F03">
        <w:rPr>
          <w:lang w:val="fr-FR"/>
        </w:rPr>
        <w:t>est heurté à l</w:t>
      </w:r>
      <w:r w:rsidRPr="00640F03" w:rsidR="00640F03">
        <w:rPr>
          <w:lang w:val="fr-FR"/>
        </w:rPr>
        <w:t>’</w:t>
      </w:r>
      <w:r w:rsidRPr="00640F03">
        <w:rPr>
          <w:lang w:val="fr-FR"/>
        </w:rPr>
        <w:t>opposition de divers milieux et des doutes ont été vivement exprimés quant à sa compatibilité avec les obligations découlant de la Convention des Nations unies relative aux droits des personnes handicapées. Il a suscité l</w:t>
      </w:r>
      <w:r w:rsidRPr="00640F03" w:rsidR="00640F03">
        <w:rPr>
          <w:lang w:val="fr-FR"/>
        </w:rPr>
        <w:t>’</w:t>
      </w:r>
      <w:r w:rsidRPr="00640F03">
        <w:rPr>
          <w:lang w:val="fr-FR"/>
        </w:rPr>
        <w:t>opposition, entre autres, de l</w:t>
      </w:r>
      <w:r w:rsidRPr="00640F03" w:rsidR="00640F03">
        <w:rPr>
          <w:lang w:val="fr-FR"/>
        </w:rPr>
        <w:t>’</w:t>
      </w:r>
      <w:r w:rsidRPr="00640F03">
        <w:rPr>
          <w:lang w:val="fr-FR"/>
        </w:rPr>
        <w:t>Assemblée parlementaire du Conseil de l</w:t>
      </w:r>
      <w:r w:rsidRPr="00640F03" w:rsidR="00640F03">
        <w:rPr>
          <w:lang w:val="fr-FR"/>
        </w:rPr>
        <w:t>’</w:t>
      </w:r>
      <w:r w:rsidRPr="00640F03">
        <w:rPr>
          <w:lang w:val="fr-FR"/>
        </w:rPr>
        <w:t>Europe, du Commissaire aux droits de l</w:t>
      </w:r>
      <w:r w:rsidRPr="00640F03" w:rsidR="00640F03">
        <w:rPr>
          <w:lang w:val="fr-FR"/>
        </w:rPr>
        <w:t>’</w:t>
      </w:r>
      <w:r w:rsidRPr="00640F03">
        <w:rPr>
          <w:lang w:val="fr-FR"/>
        </w:rPr>
        <w:t>homme du Conseil de l</w:t>
      </w:r>
      <w:r w:rsidRPr="00640F03" w:rsidR="00640F03">
        <w:rPr>
          <w:lang w:val="fr-FR"/>
        </w:rPr>
        <w:t>’</w:t>
      </w:r>
      <w:r w:rsidRPr="00640F03">
        <w:rPr>
          <w:lang w:val="fr-FR"/>
        </w:rPr>
        <w:t>Europe, du</w:t>
      </w:r>
      <w:r w:rsidRPr="00640F03">
        <w:rPr>
          <w:bCs/>
          <w:lang w:val="fr-FR"/>
        </w:rPr>
        <w:t xml:space="preserve"> Comité des droits des personnes handicapées des Nations unies et de la société civile.</w:t>
      </w:r>
    </w:p>
    <w:p w:rsidRPr="00640F03" w:rsidR="00F6518C" w:rsidP="00640F03" w:rsidRDefault="003C224F" w14:paraId="188493C2" w14:textId="5C25CDEF">
      <w:pPr>
        <w:pStyle w:val="JuHIRoman"/>
        <w:rPr>
          <w:rFonts w:eastAsia="MingLiU"/>
          <w:lang w:val="fr-FR"/>
        </w:rPr>
      </w:pPr>
      <w:r w:rsidRPr="00640F03">
        <w:rPr>
          <w:rFonts w:eastAsia="MingLiU"/>
          <w:lang w:val="fr-FR"/>
        </w:rPr>
        <w:t>D</w:t>
      </w:r>
      <w:r w:rsidRPr="00640F03">
        <w:rPr>
          <w:rFonts w:eastAsia="MingLiU" w:cstheme="majorHAnsi"/>
          <w:lang w:val="fr-FR"/>
        </w:rPr>
        <w:t>É</w:t>
      </w:r>
      <w:r w:rsidRPr="00640F03">
        <w:rPr>
          <w:rFonts w:eastAsia="MingLiU"/>
          <w:lang w:val="fr-FR"/>
        </w:rPr>
        <w:t>CISION DE LA COUR</w:t>
      </w:r>
    </w:p>
    <w:bookmarkStart w:name="_Hlk78808657" w:id="15"/>
    <w:p w:rsidRPr="00640F03" w:rsidR="00D314A9" w:rsidP="00640F03" w:rsidRDefault="00F6518C" w14:paraId="6C0D7E2E" w14:textId="3E588C66">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29</w:t>
      </w:r>
      <w:r w:rsidRPr="00640F03">
        <w:rPr>
          <w:lang w:val="fr-FR"/>
        </w:rPr>
        <w:fldChar w:fldCharType="end"/>
      </w:r>
      <w:r w:rsidRPr="00640F03">
        <w:rPr>
          <w:lang w:val="fr-FR"/>
        </w:rPr>
        <w:t>.  </w:t>
      </w:r>
      <w:r w:rsidRPr="00640F03" w:rsidR="007B36F1">
        <w:rPr>
          <w:lang w:val="fr-FR"/>
        </w:rPr>
        <w:t>S</w:t>
      </w:r>
      <w:r w:rsidRPr="00640F03" w:rsidR="00640F03">
        <w:rPr>
          <w:lang w:val="fr-FR"/>
        </w:rPr>
        <w:t>’</w:t>
      </w:r>
      <w:r w:rsidRPr="00640F03" w:rsidR="007B36F1">
        <w:rPr>
          <w:lang w:val="fr-FR"/>
        </w:rPr>
        <w:t>agissant de la première fois où la procédure prévue par l</w:t>
      </w:r>
      <w:r w:rsidRPr="00640F03" w:rsidR="00640F03">
        <w:rPr>
          <w:lang w:val="fr-FR"/>
        </w:rPr>
        <w:t>’</w:t>
      </w:r>
      <w:r w:rsidRPr="00640F03" w:rsidR="007B36F1">
        <w:rPr>
          <w:lang w:val="fr-FR"/>
        </w:rPr>
        <w:t>article</w:t>
      </w:r>
      <w:r w:rsidRPr="00640F03" w:rsidR="006F1BFE">
        <w:rPr>
          <w:lang w:val="fr-FR"/>
        </w:rPr>
        <w:t> </w:t>
      </w:r>
      <w:r w:rsidRPr="00640F03" w:rsidR="007B36F1">
        <w:rPr>
          <w:lang w:val="fr-FR"/>
        </w:rPr>
        <w:t>29 de la Convention d</w:t>
      </w:r>
      <w:r w:rsidRPr="00640F03" w:rsidR="00640F03">
        <w:rPr>
          <w:lang w:val="fr-FR"/>
        </w:rPr>
        <w:t>’</w:t>
      </w:r>
      <w:r w:rsidRPr="00640F03" w:rsidR="007B36F1">
        <w:rPr>
          <w:lang w:val="fr-FR"/>
        </w:rPr>
        <w:t>Oviedo est mise en œuvre, la Cour juge approprié d</w:t>
      </w:r>
      <w:r w:rsidRPr="00640F03" w:rsidR="00640F03">
        <w:rPr>
          <w:lang w:val="fr-FR"/>
        </w:rPr>
        <w:t>’</w:t>
      </w:r>
      <w:r w:rsidRPr="00640F03" w:rsidR="007B36F1">
        <w:rPr>
          <w:lang w:val="fr-FR"/>
        </w:rPr>
        <w:t>examiner, tout d</w:t>
      </w:r>
      <w:r w:rsidRPr="00640F03" w:rsidR="00640F03">
        <w:rPr>
          <w:lang w:val="fr-FR"/>
        </w:rPr>
        <w:t>’</w:t>
      </w:r>
      <w:r w:rsidRPr="00640F03" w:rsidR="007B36F1">
        <w:rPr>
          <w:lang w:val="fr-FR"/>
        </w:rPr>
        <w:t xml:space="preserve">abord, en termes généraux, la question de sa compétence au regard de cette disposition. </w:t>
      </w:r>
      <w:bookmarkEnd w:id="15"/>
      <w:r w:rsidRPr="00640F03" w:rsidR="007B36F1">
        <w:rPr>
          <w:lang w:val="fr-FR"/>
        </w:rPr>
        <w:t>Elle précisera ensuite la nature, l</w:t>
      </w:r>
      <w:r w:rsidRPr="00640F03" w:rsidR="00640F03">
        <w:rPr>
          <w:lang w:val="fr-FR"/>
        </w:rPr>
        <w:t>’</w:t>
      </w:r>
      <w:r w:rsidRPr="00640F03" w:rsidR="007B36F1">
        <w:rPr>
          <w:lang w:val="fr-FR"/>
        </w:rPr>
        <w:t>étendue et les limites de cette compétence et, au vu des principes ainsi définis, elle statuera sur la question de sa compétence dans le cadre de la présente demande.</w:t>
      </w:r>
    </w:p>
    <w:p w:rsidRPr="00640F03" w:rsidR="00F6518C" w:rsidP="00640F03" w:rsidRDefault="007B36F1" w14:paraId="7C11C91A" w14:textId="265F775E">
      <w:pPr>
        <w:pStyle w:val="JuHA"/>
        <w:rPr>
          <w:rFonts w:eastAsia="MingLiU"/>
          <w:lang w:val="fr-FR"/>
        </w:rPr>
      </w:pPr>
      <w:r w:rsidRPr="00640F03">
        <w:rPr>
          <w:rFonts w:eastAsia="MingLiU"/>
          <w:lang w:val="fr-FR"/>
        </w:rPr>
        <w:t>Le cadre juridique pertinent</w:t>
      </w:r>
    </w:p>
    <w:p w:rsidRPr="00640F03" w:rsidR="0081101B" w:rsidP="00640F03" w:rsidRDefault="00F6518C" w14:paraId="6476ECD0" w14:textId="7B0DDDC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30</w:t>
      </w:r>
      <w:r w:rsidRPr="00640F03">
        <w:rPr>
          <w:lang w:val="fr-FR"/>
        </w:rPr>
        <w:fldChar w:fldCharType="end"/>
      </w:r>
      <w:r w:rsidRPr="00640F03">
        <w:rPr>
          <w:lang w:val="fr-FR"/>
        </w:rPr>
        <w:t>.  </w:t>
      </w:r>
      <w:r w:rsidRPr="00640F03" w:rsidR="007B36F1">
        <w:rPr>
          <w:lang w:val="fr-FR"/>
        </w:rPr>
        <w:t>Outre l</w:t>
      </w:r>
      <w:r w:rsidRPr="00640F03" w:rsidR="00640F03">
        <w:rPr>
          <w:lang w:val="fr-FR"/>
        </w:rPr>
        <w:t>’</w:t>
      </w:r>
      <w:r w:rsidRPr="00640F03" w:rsidR="007B36F1">
        <w:rPr>
          <w:lang w:val="fr-FR"/>
        </w:rPr>
        <w:t>article</w:t>
      </w:r>
      <w:r w:rsidRPr="00640F03" w:rsidR="00D92A54">
        <w:rPr>
          <w:lang w:val="fr-FR"/>
        </w:rPr>
        <w:t> </w:t>
      </w:r>
      <w:r w:rsidRPr="00640F03" w:rsidR="007B36F1">
        <w:rPr>
          <w:lang w:val="fr-FR"/>
        </w:rPr>
        <w:t>29 de la Convention d</w:t>
      </w:r>
      <w:r w:rsidRPr="00640F03" w:rsidR="00640F03">
        <w:rPr>
          <w:lang w:val="fr-FR"/>
        </w:rPr>
        <w:t>’</w:t>
      </w:r>
      <w:r w:rsidRPr="00640F03" w:rsidR="007B36F1">
        <w:rPr>
          <w:lang w:val="fr-FR"/>
        </w:rPr>
        <w:t>Oviedo (cité au paragraphe</w:t>
      </w:r>
      <w:r w:rsidRPr="00640F03" w:rsidR="006F1BFE">
        <w:rPr>
          <w:lang w:val="fr-FR"/>
        </w:rPr>
        <w:t> </w:t>
      </w:r>
      <w:r w:rsidRPr="00640F03" w:rsidR="00FF6694">
        <w:rPr>
          <w:lang w:val="fr-FR"/>
        </w:rPr>
        <w:fldChar w:fldCharType="begin"/>
      </w:r>
      <w:r w:rsidRPr="00640F03" w:rsidR="00FF6694">
        <w:rPr>
          <w:lang w:val="fr-FR"/>
        </w:rPr>
        <w:instrText xml:space="preserve"> REF P9 \h </w:instrText>
      </w:r>
      <w:r w:rsidRPr="00640F03" w:rsidR="008E7034">
        <w:rPr>
          <w:lang w:val="fr-FR"/>
        </w:rPr>
        <w:instrText xml:space="preserve"> \* MERGEFORMAT </w:instrText>
      </w:r>
      <w:r w:rsidRPr="00640F03" w:rsidR="00FF6694">
        <w:rPr>
          <w:lang w:val="fr-FR"/>
        </w:rPr>
      </w:r>
      <w:r w:rsidRPr="00640F03" w:rsidR="00FF6694">
        <w:rPr>
          <w:lang w:val="fr-FR"/>
        </w:rPr>
        <w:fldChar w:fldCharType="separate"/>
      </w:r>
      <w:r w:rsidRPr="00640F03" w:rsidR="00640F03">
        <w:rPr>
          <w:iCs/>
          <w:noProof/>
          <w:lang w:val="fr-FR"/>
        </w:rPr>
        <w:t>9</w:t>
      </w:r>
      <w:r w:rsidRPr="00640F03" w:rsidR="00FF6694">
        <w:rPr>
          <w:lang w:val="fr-FR"/>
        </w:rPr>
        <w:fldChar w:fldCharType="end"/>
      </w:r>
      <w:r w:rsidRPr="00640F03" w:rsidR="007B36F1">
        <w:rPr>
          <w:lang w:val="fr-FR"/>
        </w:rPr>
        <w:t xml:space="preserve"> ci</w:t>
      </w:r>
      <w:r w:rsidRPr="00640F03" w:rsidR="007B36F1">
        <w:rPr>
          <w:lang w:val="fr-FR"/>
        </w:rPr>
        <w:noBreakHyphen/>
        <w:t>dessus), il est nécessaire de tenir compte des dispositions suivantes de la Convention européenne des droits de l</w:t>
      </w:r>
      <w:r w:rsidRPr="00640F03" w:rsidR="00640F03">
        <w:rPr>
          <w:lang w:val="fr-FR"/>
        </w:rPr>
        <w:t>’</w:t>
      </w:r>
      <w:r w:rsidRPr="00640F03" w:rsidR="007B36F1">
        <w:rPr>
          <w:lang w:val="fr-FR"/>
        </w:rPr>
        <w:t>homme.</w:t>
      </w:r>
    </w:p>
    <w:p w:rsidRPr="00640F03" w:rsidR="00F6518C" w:rsidP="00640F03" w:rsidRDefault="00B75BB0" w14:paraId="515CD285" w14:textId="2B1806AE">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31</w:t>
      </w:r>
      <w:r w:rsidRPr="00640F03">
        <w:rPr>
          <w:lang w:val="fr-FR"/>
        </w:rPr>
        <w:fldChar w:fldCharType="end"/>
      </w:r>
      <w:r w:rsidRPr="00640F03">
        <w:rPr>
          <w:lang w:val="fr-FR"/>
        </w:rPr>
        <w:t>.  </w:t>
      </w:r>
      <w:r w:rsidRPr="00640F03" w:rsidR="00412FA2">
        <w:rPr>
          <w:lang w:val="fr-FR"/>
        </w:rPr>
        <w:t>L</w:t>
      </w:r>
      <w:r w:rsidRPr="00640F03" w:rsidR="00640F03">
        <w:rPr>
          <w:lang w:val="fr-FR"/>
        </w:rPr>
        <w:t>’</w:t>
      </w:r>
      <w:r w:rsidRPr="00640F03" w:rsidR="00412FA2">
        <w:rPr>
          <w:lang w:val="fr-FR"/>
        </w:rPr>
        <w:t>article</w:t>
      </w:r>
      <w:r w:rsidRPr="00640F03" w:rsidR="006F1BFE">
        <w:rPr>
          <w:lang w:val="fr-FR"/>
        </w:rPr>
        <w:t> </w:t>
      </w:r>
      <w:r w:rsidRPr="00640F03" w:rsidR="00412FA2">
        <w:rPr>
          <w:lang w:val="fr-FR"/>
        </w:rPr>
        <w:t xml:space="preserve">19 de la Convention </w:t>
      </w:r>
      <w:r w:rsidRPr="00640F03" w:rsidR="00EE08C4">
        <w:rPr>
          <w:lang w:val="fr-FR"/>
        </w:rPr>
        <w:t xml:space="preserve">européenne </w:t>
      </w:r>
      <w:r w:rsidRPr="00640F03" w:rsidR="00412FA2">
        <w:rPr>
          <w:lang w:val="fr-FR"/>
        </w:rPr>
        <w:t>établit la Cour et définit ainsi sa fonction :</w:t>
      </w:r>
    </w:p>
    <w:p w:rsidRPr="00640F03" w:rsidR="00F6518C" w:rsidP="00640F03" w:rsidRDefault="00412FA2" w14:paraId="71051DB1" w14:textId="07D5FF01">
      <w:pPr>
        <w:pStyle w:val="JuQuot"/>
        <w:rPr>
          <w:lang w:val="fr-FR"/>
        </w:rPr>
      </w:pPr>
      <w:r w:rsidRPr="00640F03">
        <w:rPr>
          <w:lang w:val="fr-FR"/>
        </w:rPr>
        <w:t>« Afin d</w:t>
      </w:r>
      <w:r w:rsidRPr="00640F03" w:rsidR="00640F03">
        <w:rPr>
          <w:lang w:val="fr-FR"/>
        </w:rPr>
        <w:t>’</w:t>
      </w:r>
      <w:r w:rsidRPr="00640F03">
        <w:rPr>
          <w:lang w:val="fr-FR"/>
        </w:rPr>
        <w:t xml:space="preserve">assurer le respect des engagements résultant pour les Hautes Parties contractantes de la présente Convention et de ses </w:t>
      </w:r>
      <w:r w:rsidRPr="00640F03" w:rsidR="00EE08C4">
        <w:rPr>
          <w:lang w:val="fr-FR"/>
        </w:rPr>
        <w:t>P</w:t>
      </w:r>
      <w:r w:rsidRPr="00640F03">
        <w:rPr>
          <w:lang w:val="fr-FR"/>
        </w:rPr>
        <w:t>rotocoles, il est institué une Cour européenne des droits de l</w:t>
      </w:r>
      <w:r w:rsidRPr="00640F03" w:rsidR="00640F03">
        <w:rPr>
          <w:lang w:val="fr-FR"/>
        </w:rPr>
        <w:t>’</w:t>
      </w:r>
      <w:r w:rsidRPr="00640F03">
        <w:rPr>
          <w:lang w:val="fr-FR"/>
        </w:rPr>
        <w:t>homme</w:t>
      </w:r>
      <w:r w:rsidRPr="00640F03" w:rsidR="002D008B">
        <w:rPr>
          <w:lang w:val="fr-FR"/>
        </w:rPr>
        <w:t xml:space="preserve"> (</w:t>
      </w:r>
      <w:r w:rsidRPr="00640F03" w:rsidR="006E0F85">
        <w:rPr>
          <w:lang w:val="fr-FR"/>
        </w:rPr>
        <w:t>...</w:t>
      </w:r>
      <w:r w:rsidRPr="00640F03" w:rsidR="002D008B">
        <w:rPr>
          <w:lang w:val="fr-FR"/>
        </w:rPr>
        <w:t>)</w:t>
      </w:r>
      <w:r w:rsidRPr="00640F03">
        <w:rPr>
          <w:lang w:val="fr-FR"/>
        </w:rPr>
        <w:t> »</w:t>
      </w:r>
    </w:p>
    <w:p w:rsidRPr="00640F03" w:rsidR="00F6518C" w:rsidP="00640F03" w:rsidRDefault="00F6518C" w14:paraId="6C510649" w14:textId="3D98074B">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32</w:t>
      </w:r>
      <w:r w:rsidRPr="00640F03">
        <w:rPr>
          <w:lang w:val="fr-FR"/>
        </w:rPr>
        <w:fldChar w:fldCharType="end"/>
      </w:r>
      <w:r w:rsidRPr="00640F03">
        <w:rPr>
          <w:lang w:val="fr-FR"/>
        </w:rPr>
        <w:t>.  </w:t>
      </w:r>
      <w:r w:rsidRPr="00640F03" w:rsidR="00412FA2">
        <w:rPr>
          <w:lang w:val="fr-FR"/>
        </w:rPr>
        <w:t xml:space="preserve">La compétence </w:t>
      </w:r>
      <w:r w:rsidRPr="00640F03" w:rsidR="002D008B">
        <w:rPr>
          <w:lang w:val="fr-FR"/>
        </w:rPr>
        <w:t>que</w:t>
      </w:r>
      <w:r w:rsidRPr="00640F03" w:rsidR="00412FA2">
        <w:rPr>
          <w:lang w:val="fr-FR"/>
        </w:rPr>
        <w:t xml:space="preserve"> </w:t>
      </w:r>
      <w:r w:rsidRPr="00640F03" w:rsidR="002D008B">
        <w:rPr>
          <w:lang w:val="fr-FR"/>
        </w:rPr>
        <w:t>la Convention</w:t>
      </w:r>
      <w:r w:rsidRPr="00640F03" w:rsidR="00412FA2">
        <w:rPr>
          <w:lang w:val="fr-FR"/>
        </w:rPr>
        <w:t xml:space="preserve"> </w:t>
      </w:r>
      <w:r w:rsidRPr="00640F03" w:rsidR="002D008B">
        <w:rPr>
          <w:lang w:val="fr-FR"/>
        </w:rPr>
        <w:t xml:space="preserve">confère à la </w:t>
      </w:r>
      <w:r w:rsidRPr="00640F03" w:rsidR="00412FA2">
        <w:rPr>
          <w:lang w:val="fr-FR"/>
        </w:rPr>
        <w:t xml:space="preserve">Cour est définie </w:t>
      </w:r>
      <w:r w:rsidRPr="00640F03" w:rsidR="002D008B">
        <w:rPr>
          <w:lang w:val="fr-FR"/>
        </w:rPr>
        <w:t>à</w:t>
      </w:r>
      <w:r w:rsidRPr="00640F03" w:rsidR="00412FA2">
        <w:rPr>
          <w:lang w:val="fr-FR"/>
        </w:rPr>
        <w:t xml:space="preserve"> l</w:t>
      </w:r>
      <w:r w:rsidRPr="00640F03" w:rsidR="00640F03">
        <w:rPr>
          <w:lang w:val="fr-FR"/>
        </w:rPr>
        <w:t>’</w:t>
      </w:r>
      <w:r w:rsidRPr="00640F03" w:rsidR="00412FA2">
        <w:rPr>
          <w:lang w:val="fr-FR"/>
        </w:rPr>
        <w:t>article 32 dans les termes suivants :</w:t>
      </w:r>
    </w:p>
    <w:p w:rsidRPr="00640F03" w:rsidR="006E0F85" w:rsidP="00640F03" w:rsidRDefault="00412FA2" w14:paraId="3FB355C1" w14:textId="5E506B6E">
      <w:pPr>
        <w:pStyle w:val="JuQuot"/>
        <w:rPr>
          <w:lang w:val="fr-FR"/>
        </w:rPr>
      </w:pPr>
      <w:r w:rsidRPr="00640F03">
        <w:rPr>
          <w:lang w:val="fr-FR"/>
        </w:rPr>
        <w:t>« 1.  La compétence de la Cour s</w:t>
      </w:r>
      <w:r w:rsidRPr="00640F03" w:rsidR="00640F03">
        <w:rPr>
          <w:lang w:val="fr-FR"/>
        </w:rPr>
        <w:t>’</w:t>
      </w:r>
      <w:r w:rsidRPr="00640F03">
        <w:rPr>
          <w:lang w:val="fr-FR"/>
        </w:rPr>
        <w:t>étend à toutes les questions concernant l</w:t>
      </w:r>
      <w:r w:rsidRPr="00640F03" w:rsidR="00640F03">
        <w:rPr>
          <w:lang w:val="fr-FR"/>
        </w:rPr>
        <w:t>’</w:t>
      </w:r>
      <w:r w:rsidRPr="00640F03">
        <w:rPr>
          <w:lang w:val="fr-FR"/>
        </w:rPr>
        <w:t>interprétation et l</w:t>
      </w:r>
      <w:r w:rsidRPr="00640F03" w:rsidR="00640F03">
        <w:rPr>
          <w:lang w:val="fr-FR"/>
        </w:rPr>
        <w:t>’</w:t>
      </w:r>
      <w:r w:rsidRPr="00640F03">
        <w:rPr>
          <w:lang w:val="fr-FR"/>
        </w:rPr>
        <w:t xml:space="preserve">application de la Convention et de ses </w:t>
      </w:r>
      <w:r w:rsidRPr="00640F03" w:rsidR="00EE08C4">
        <w:rPr>
          <w:lang w:val="fr-FR"/>
        </w:rPr>
        <w:t xml:space="preserve">Protocoles </w:t>
      </w:r>
      <w:r w:rsidRPr="00640F03">
        <w:rPr>
          <w:lang w:val="fr-FR"/>
        </w:rPr>
        <w:t>qui lui seront soumises dans les conditions prévues par les articles 33, 34, 46 et 47.</w:t>
      </w:r>
    </w:p>
    <w:p w:rsidRPr="00640F03" w:rsidR="00F6518C" w:rsidP="00640F03" w:rsidRDefault="00412FA2" w14:paraId="545615AE" w14:textId="53B0C646">
      <w:pPr>
        <w:pStyle w:val="JuQuot"/>
        <w:rPr>
          <w:lang w:val="fr-FR"/>
        </w:rPr>
      </w:pPr>
      <w:r w:rsidRPr="00640F03">
        <w:rPr>
          <w:lang w:val="fr-FR"/>
        </w:rPr>
        <w:t>2.  En cas de contestation sur le point de savoir si la Cour est compétente, la Cour décide. »</w:t>
      </w:r>
    </w:p>
    <w:p w:rsidRPr="00640F03" w:rsidR="00F6518C" w:rsidP="00640F03" w:rsidRDefault="00F6518C" w14:paraId="058AA821" w14:textId="113566E8">
      <w:pPr>
        <w:pStyle w:val="JuPara"/>
        <w:rPr>
          <w:bCs/>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33</w:t>
      </w:r>
      <w:r w:rsidRPr="00640F03">
        <w:rPr>
          <w:lang w:val="fr-FR"/>
        </w:rPr>
        <w:fldChar w:fldCharType="end"/>
      </w:r>
      <w:r w:rsidRPr="00640F03">
        <w:rPr>
          <w:lang w:val="fr-FR"/>
        </w:rPr>
        <w:t>.  </w:t>
      </w:r>
      <w:r w:rsidRPr="00640F03" w:rsidR="00412FA2">
        <w:rPr>
          <w:lang w:val="fr-FR"/>
        </w:rPr>
        <w:t>L</w:t>
      </w:r>
      <w:r w:rsidRPr="00640F03" w:rsidR="00640F03">
        <w:rPr>
          <w:lang w:val="fr-FR"/>
        </w:rPr>
        <w:t>’</w:t>
      </w:r>
      <w:r w:rsidRPr="00640F03" w:rsidR="00412FA2">
        <w:rPr>
          <w:lang w:val="fr-FR"/>
        </w:rPr>
        <w:t>article</w:t>
      </w:r>
      <w:r w:rsidRPr="00640F03" w:rsidR="00D92A54">
        <w:rPr>
          <w:lang w:val="fr-FR"/>
        </w:rPr>
        <w:t> </w:t>
      </w:r>
      <w:r w:rsidRPr="00640F03" w:rsidR="00412FA2">
        <w:rPr>
          <w:lang w:val="fr-FR"/>
        </w:rPr>
        <w:t>47 de la Convention se lit ainsi dans sa partie pertinente :</w:t>
      </w:r>
    </w:p>
    <w:p w:rsidRPr="00640F03" w:rsidR="006E0F85" w:rsidP="00640F03" w:rsidRDefault="00412FA2" w14:paraId="7FB7E0FE" w14:textId="1024F6F6">
      <w:pPr>
        <w:pStyle w:val="JuQuot"/>
        <w:rPr>
          <w:lang w:val="fr-FR"/>
        </w:rPr>
      </w:pPr>
      <w:r w:rsidRPr="00640F03">
        <w:rPr>
          <w:lang w:val="fr-FR"/>
        </w:rPr>
        <w:t>« 1.  La Cour peut, à la demande du Comité des Ministres, donner des avis consultatifs sur des questions juridiques concernant l</w:t>
      </w:r>
      <w:r w:rsidRPr="00640F03" w:rsidR="00640F03">
        <w:rPr>
          <w:lang w:val="fr-FR"/>
        </w:rPr>
        <w:t>’</w:t>
      </w:r>
      <w:r w:rsidRPr="00640F03">
        <w:rPr>
          <w:lang w:val="fr-FR"/>
        </w:rPr>
        <w:t xml:space="preserve">interprétation de la Convention et de ses </w:t>
      </w:r>
      <w:r w:rsidRPr="00640F03" w:rsidR="00EE08C4">
        <w:rPr>
          <w:lang w:val="fr-FR"/>
        </w:rPr>
        <w:t>Protocoles</w:t>
      </w:r>
      <w:r w:rsidRPr="00640F03">
        <w:rPr>
          <w:lang w:val="fr-FR"/>
        </w:rPr>
        <w:t>.</w:t>
      </w:r>
    </w:p>
    <w:p w:rsidRPr="00640F03" w:rsidR="00412FA2" w:rsidP="00640F03" w:rsidRDefault="00412FA2" w14:paraId="58976751" w14:textId="702C2FCD">
      <w:pPr>
        <w:pStyle w:val="JuQuot"/>
        <w:rPr>
          <w:lang w:val="fr-FR"/>
        </w:rPr>
      </w:pPr>
      <w:r w:rsidRPr="00640F03">
        <w:rPr>
          <w:lang w:val="fr-FR"/>
        </w:rPr>
        <w:t>2.  Ces avis ne peuvent porter ni sur les questions ayant trait au contenu ou à l</w:t>
      </w:r>
      <w:r w:rsidRPr="00640F03" w:rsidR="00640F03">
        <w:rPr>
          <w:lang w:val="fr-FR"/>
        </w:rPr>
        <w:t>’</w:t>
      </w:r>
      <w:r w:rsidRPr="00640F03">
        <w:rPr>
          <w:lang w:val="fr-FR"/>
        </w:rPr>
        <w:t xml:space="preserve">étendue des droits et libertés définis au titre I de la Convention et dans les </w:t>
      </w:r>
      <w:r w:rsidRPr="00640F03" w:rsidR="00EE08C4">
        <w:rPr>
          <w:lang w:val="fr-FR"/>
        </w:rPr>
        <w:t xml:space="preserve">Protocoles </w:t>
      </w:r>
      <w:r w:rsidRPr="00640F03">
        <w:rPr>
          <w:lang w:val="fr-FR"/>
        </w:rPr>
        <w:t>ni sur les autres questions dont la Cour ou le Comité des Ministres pourraient avoir à connaître par suite de l</w:t>
      </w:r>
      <w:r w:rsidRPr="00640F03" w:rsidR="00640F03">
        <w:rPr>
          <w:lang w:val="fr-FR"/>
        </w:rPr>
        <w:t>’</w:t>
      </w:r>
      <w:r w:rsidRPr="00640F03">
        <w:rPr>
          <w:lang w:val="fr-FR"/>
        </w:rPr>
        <w:t>introduction d</w:t>
      </w:r>
      <w:r w:rsidRPr="00640F03" w:rsidR="00640F03">
        <w:rPr>
          <w:lang w:val="fr-FR"/>
        </w:rPr>
        <w:t>’</w:t>
      </w:r>
      <w:r w:rsidRPr="00640F03">
        <w:rPr>
          <w:lang w:val="fr-FR"/>
        </w:rPr>
        <w:t>un recours prévu par la Convention.</w:t>
      </w:r>
    </w:p>
    <w:p w:rsidRPr="00640F03" w:rsidR="00F6518C" w:rsidP="00640F03" w:rsidRDefault="00412FA2" w14:paraId="5D50306A" w14:textId="059A6A0A">
      <w:pPr>
        <w:pStyle w:val="JuQuot"/>
        <w:rPr>
          <w:lang w:val="fr-FR"/>
        </w:rPr>
      </w:pPr>
      <w:r w:rsidRPr="00640F03">
        <w:rPr>
          <w:lang w:val="fr-FR"/>
        </w:rPr>
        <w:t>(</w:t>
      </w:r>
      <w:r w:rsidRPr="00640F03" w:rsidR="006E0F85">
        <w:rPr>
          <w:lang w:val="fr-FR"/>
        </w:rPr>
        <w:t>...</w:t>
      </w:r>
      <w:r w:rsidRPr="00640F03">
        <w:rPr>
          <w:lang w:val="fr-FR"/>
        </w:rPr>
        <w:t>) »</w:t>
      </w:r>
    </w:p>
    <w:p w:rsidRPr="00640F03" w:rsidR="00F6518C" w:rsidP="00640F03" w:rsidRDefault="00F6518C" w14:paraId="685E46B8" w14:textId="35BD2BA3">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34</w:t>
      </w:r>
      <w:r w:rsidRPr="00640F03">
        <w:rPr>
          <w:lang w:val="fr-FR"/>
        </w:rPr>
        <w:fldChar w:fldCharType="end"/>
      </w:r>
      <w:r w:rsidRPr="00640F03">
        <w:rPr>
          <w:lang w:val="fr-FR"/>
        </w:rPr>
        <w:t>.  </w:t>
      </w:r>
      <w:r w:rsidRPr="00640F03" w:rsidR="00412FA2">
        <w:rPr>
          <w:lang w:val="fr-FR"/>
        </w:rPr>
        <w:t>La compétence consultative de la Cour à cet égard est définie par l</w:t>
      </w:r>
      <w:r w:rsidRPr="00640F03" w:rsidR="00640F03">
        <w:rPr>
          <w:lang w:val="fr-FR"/>
        </w:rPr>
        <w:t>’</w:t>
      </w:r>
      <w:r w:rsidRPr="00640F03" w:rsidR="00412FA2">
        <w:rPr>
          <w:lang w:val="fr-FR"/>
        </w:rPr>
        <w:t>article 48 qui est ainsi libellé :</w:t>
      </w:r>
    </w:p>
    <w:p w:rsidRPr="00640F03" w:rsidR="00F6518C" w:rsidP="00640F03" w:rsidRDefault="00412FA2" w14:paraId="03CBF67C" w14:textId="30F75CD8">
      <w:pPr>
        <w:pStyle w:val="JuQuot"/>
        <w:rPr>
          <w:lang w:val="fr-FR"/>
        </w:rPr>
      </w:pPr>
      <w:r w:rsidRPr="00640F03">
        <w:rPr>
          <w:lang w:val="fr-FR"/>
        </w:rPr>
        <w:t>« La Cour décide si la demande d</w:t>
      </w:r>
      <w:r w:rsidRPr="00640F03" w:rsidR="00640F03">
        <w:rPr>
          <w:lang w:val="fr-FR"/>
        </w:rPr>
        <w:t>’</w:t>
      </w:r>
      <w:r w:rsidRPr="00640F03">
        <w:rPr>
          <w:lang w:val="fr-FR"/>
        </w:rPr>
        <w:t>avis consultatif présentée par le Comité des Ministres relève de sa compétence telle que définie par l</w:t>
      </w:r>
      <w:r w:rsidRPr="00640F03" w:rsidR="00640F03">
        <w:rPr>
          <w:lang w:val="fr-FR"/>
        </w:rPr>
        <w:t>’</w:t>
      </w:r>
      <w:r w:rsidRPr="00640F03">
        <w:rPr>
          <w:lang w:val="fr-FR"/>
        </w:rPr>
        <w:t>article</w:t>
      </w:r>
      <w:r w:rsidRPr="00640F03" w:rsidR="006F1BFE">
        <w:rPr>
          <w:lang w:val="fr-FR"/>
        </w:rPr>
        <w:t> </w:t>
      </w:r>
      <w:r w:rsidRPr="00640F03">
        <w:rPr>
          <w:lang w:val="fr-FR"/>
        </w:rPr>
        <w:t>47. »</w:t>
      </w:r>
    </w:p>
    <w:bookmarkStart w:name="P34" w:id="16"/>
    <w:p w:rsidRPr="00640F03" w:rsidR="006E0F85" w:rsidP="00640F03" w:rsidRDefault="00F6518C" w14:paraId="37E7B436" w14:textId="2FF57FD5">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35</w:t>
      </w:r>
      <w:r w:rsidRPr="00640F03">
        <w:rPr>
          <w:lang w:val="fr-FR"/>
        </w:rPr>
        <w:fldChar w:fldCharType="end"/>
      </w:r>
      <w:bookmarkEnd w:id="16"/>
      <w:r w:rsidRPr="00640F03">
        <w:rPr>
          <w:lang w:val="fr-FR"/>
        </w:rPr>
        <w:t>.  </w:t>
      </w:r>
      <w:r w:rsidRPr="00640F03" w:rsidR="00412FA2">
        <w:rPr>
          <w:lang w:val="fr-FR"/>
        </w:rPr>
        <w:t>Comme cela a été exposé ci-dessus, lorsqu</w:t>
      </w:r>
      <w:r w:rsidRPr="00640F03" w:rsidR="00640F03">
        <w:rPr>
          <w:lang w:val="fr-FR"/>
        </w:rPr>
        <w:t>’</w:t>
      </w:r>
      <w:r w:rsidRPr="00640F03" w:rsidR="00412FA2">
        <w:rPr>
          <w:lang w:val="fr-FR"/>
        </w:rPr>
        <w:t>au cours de la négociation de la Convention d</w:t>
      </w:r>
      <w:r w:rsidRPr="00640F03" w:rsidR="00640F03">
        <w:rPr>
          <w:lang w:val="fr-FR"/>
        </w:rPr>
        <w:t>’</w:t>
      </w:r>
      <w:r w:rsidRPr="00640F03" w:rsidR="00412FA2">
        <w:rPr>
          <w:lang w:val="fr-FR"/>
        </w:rPr>
        <w:t>Oviedo elle a été consultée sur le rôle qu</w:t>
      </w:r>
      <w:r w:rsidRPr="00640F03" w:rsidR="00640F03">
        <w:rPr>
          <w:lang w:val="fr-FR"/>
        </w:rPr>
        <w:t>’</w:t>
      </w:r>
      <w:r w:rsidRPr="00640F03" w:rsidR="00412FA2">
        <w:rPr>
          <w:lang w:val="fr-FR"/>
        </w:rPr>
        <w:t>elle pourrait être amenée à jouer dans le cadre de ce traité, la Cour a proposé que sa compétence soit calquée sur la compétence consultative que lui conférait à l</w:t>
      </w:r>
      <w:r w:rsidRPr="00640F03" w:rsidR="00640F03">
        <w:rPr>
          <w:lang w:val="fr-FR"/>
        </w:rPr>
        <w:t>’</w:t>
      </w:r>
      <w:r w:rsidRPr="00640F03" w:rsidR="00412FA2">
        <w:rPr>
          <w:lang w:val="fr-FR"/>
        </w:rPr>
        <w:t xml:space="preserve">époque </w:t>
      </w:r>
      <w:r w:rsidRPr="00640F03" w:rsidR="00412FA2">
        <w:rPr>
          <w:iCs/>
          <w:lang w:val="fr-FR"/>
        </w:rPr>
        <w:t>l</w:t>
      </w:r>
      <w:r w:rsidRPr="00640F03" w:rsidR="00640F03">
        <w:rPr>
          <w:iCs/>
          <w:lang w:val="fr-FR"/>
        </w:rPr>
        <w:t>’</w:t>
      </w:r>
      <w:r w:rsidRPr="00640F03" w:rsidR="00412FA2">
        <w:rPr>
          <w:iCs/>
          <w:lang w:val="fr-FR"/>
        </w:rPr>
        <w:t>article</w:t>
      </w:r>
      <w:r w:rsidRPr="00640F03" w:rsidR="008E7034">
        <w:rPr>
          <w:iCs/>
          <w:lang w:val="fr-FR"/>
        </w:rPr>
        <w:t> </w:t>
      </w:r>
      <w:r w:rsidRPr="00640F03" w:rsidR="00412FA2">
        <w:rPr>
          <w:iCs/>
          <w:lang w:val="fr-FR"/>
        </w:rPr>
        <w:t>1 du Protocole n</w:t>
      </w:r>
      <w:r w:rsidRPr="00640F03" w:rsidR="00412FA2">
        <w:rPr>
          <w:iCs/>
          <w:vertAlign w:val="superscript"/>
          <w:lang w:val="fr-FR"/>
        </w:rPr>
        <w:t>o</w:t>
      </w:r>
      <w:r w:rsidRPr="00640F03" w:rsidR="006F1BFE">
        <w:rPr>
          <w:iCs/>
          <w:lang w:val="fr-FR"/>
        </w:rPr>
        <w:t> </w:t>
      </w:r>
      <w:r w:rsidRPr="00640F03" w:rsidR="00412FA2">
        <w:rPr>
          <w:iCs/>
          <w:lang w:val="fr-FR"/>
        </w:rPr>
        <w:t>2 à la Convention en des termes pour l</w:t>
      </w:r>
      <w:r w:rsidRPr="00640F03" w:rsidR="00640F03">
        <w:rPr>
          <w:iCs/>
          <w:lang w:val="fr-FR"/>
        </w:rPr>
        <w:t>’</w:t>
      </w:r>
      <w:r w:rsidRPr="00640F03" w:rsidR="00412FA2">
        <w:rPr>
          <w:iCs/>
          <w:lang w:val="fr-FR"/>
        </w:rPr>
        <w:t>essentiel identiques à ceux de l</w:t>
      </w:r>
      <w:r w:rsidRPr="00640F03" w:rsidR="00640F03">
        <w:rPr>
          <w:iCs/>
          <w:lang w:val="fr-FR"/>
        </w:rPr>
        <w:t>’</w:t>
      </w:r>
      <w:r w:rsidRPr="00640F03" w:rsidR="00412FA2">
        <w:rPr>
          <w:iCs/>
          <w:lang w:val="fr-FR"/>
        </w:rPr>
        <w:t>actuel article</w:t>
      </w:r>
      <w:r w:rsidRPr="00640F03" w:rsidR="008E7034">
        <w:rPr>
          <w:iCs/>
          <w:lang w:val="fr-FR"/>
        </w:rPr>
        <w:t> </w:t>
      </w:r>
      <w:r w:rsidRPr="00640F03" w:rsidR="00412FA2">
        <w:rPr>
          <w:iCs/>
          <w:lang w:val="fr-FR"/>
        </w:rPr>
        <w:t>47 §</w:t>
      </w:r>
      <w:r w:rsidRPr="00640F03" w:rsidR="008E7034">
        <w:rPr>
          <w:iCs/>
          <w:lang w:val="fr-FR"/>
        </w:rPr>
        <w:t> </w:t>
      </w:r>
      <w:r w:rsidRPr="00640F03" w:rsidR="00412FA2">
        <w:rPr>
          <w:iCs/>
          <w:lang w:val="fr-FR"/>
        </w:rPr>
        <w:t xml:space="preserve">1 </w:t>
      </w:r>
      <w:r w:rsidRPr="00640F03" w:rsidR="00412FA2">
        <w:rPr>
          <w:lang w:val="fr-FR"/>
        </w:rPr>
        <w:t>(paragraphe</w:t>
      </w:r>
      <w:r w:rsidRPr="00640F03" w:rsidR="00FE7DB4">
        <w:rPr>
          <w:lang w:val="fr-FR"/>
        </w:rPr>
        <w:t> </w:t>
      </w:r>
      <w:r w:rsidRPr="00640F03" w:rsidR="00412FA2">
        <w:rPr>
          <w:lang w:val="fr-FR"/>
        </w:rPr>
        <w:fldChar w:fldCharType="begin"/>
      </w:r>
      <w:r w:rsidRPr="00640F03" w:rsidR="00412FA2">
        <w:rPr>
          <w:lang w:val="fr-FR"/>
        </w:rPr>
        <w:instrText xml:space="preserve"> REF P15 \h </w:instrText>
      </w:r>
      <w:r w:rsidRPr="00640F03" w:rsidR="000C2B9F">
        <w:rPr>
          <w:lang w:val="fr-FR"/>
        </w:rPr>
        <w:instrText xml:space="preserve"> \* MERGEFORMAT </w:instrText>
      </w:r>
      <w:r w:rsidRPr="00640F03" w:rsidR="00412FA2">
        <w:rPr>
          <w:lang w:val="fr-FR"/>
        </w:rPr>
      </w:r>
      <w:r w:rsidRPr="00640F03" w:rsidR="00412FA2">
        <w:rPr>
          <w:lang w:val="fr-FR"/>
        </w:rPr>
        <w:fldChar w:fldCharType="separate"/>
      </w:r>
      <w:r w:rsidRPr="00640F03" w:rsidR="00640F03">
        <w:rPr>
          <w:iCs/>
          <w:noProof/>
          <w:lang w:val="fr-FR"/>
        </w:rPr>
        <w:t>15</w:t>
      </w:r>
      <w:r w:rsidRPr="00640F03" w:rsidR="00412FA2">
        <w:rPr>
          <w:lang w:val="fr-FR"/>
        </w:rPr>
        <w:fldChar w:fldCharType="end"/>
      </w:r>
      <w:r w:rsidRPr="00640F03" w:rsidR="00412FA2">
        <w:rPr>
          <w:lang w:val="fr-FR"/>
        </w:rPr>
        <w:t xml:space="preserve"> ci-dessus).</w:t>
      </w:r>
    </w:p>
    <w:bookmarkStart w:name="P36" w:id="17"/>
    <w:p w:rsidRPr="00640F03" w:rsidR="009B57F1" w:rsidP="00640F03" w:rsidRDefault="009B57F1" w14:paraId="7388FC8B" w14:textId="41FB28C6">
      <w:pPr>
        <w:pStyle w:val="JuPara"/>
        <w:rPr>
          <w:lang w:val="fr-FR"/>
        </w:rPr>
      </w:pPr>
      <w:r w:rsidRPr="00640F03">
        <w:rPr>
          <w:lang w:val="fr-FR"/>
        </w:rPr>
        <w:fldChar w:fldCharType="begin"/>
      </w:r>
      <w:r w:rsidRPr="00640F03">
        <w:rPr>
          <w:lang w:val="fr-FR"/>
        </w:rPr>
        <w:instrText xml:space="preserve"> SEQ level0 \*arabic \* MERGEFORMAT </w:instrText>
      </w:r>
      <w:r w:rsidRPr="00640F03">
        <w:rPr>
          <w:lang w:val="fr-FR"/>
        </w:rPr>
        <w:fldChar w:fldCharType="separate"/>
      </w:r>
      <w:r w:rsidRPr="00640F03" w:rsidR="00640F03">
        <w:rPr>
          <w:noProof/>
          <w:lang w:val="fr-FR"/>
        </w:rPr>
        <w:t>36</w:t>
      </w:r>
      <w:r w:rsidRPr="00640F03">
        <w:rPr>
          <w:lang w:val="fr-FR"/>
        </w:rPr>
        <w:fldChar w:fldCharType="end"/>
      </w:r>
      <w:bookmarkEnd w:id="17"/>
      <w:r w:rsidRPr="00640F03">
        <w:rPr>
          <w:lang w:val="fr-FR"/>
        </w:rPr>
        <w:t>.  </w:t>
      </w:r>
      <w:bookmarkStart w:name="_Hlk78383105" w:id="18"/>
      <w:r w:rsidRPr="00640F03" w:rsidR="00412FA2">
        <w:rPr>
          <w:lang w:val="fr-FR"/>
        </w:rPr>
        <w:t xml:space="preserve">Outre les types de compétence mentionnés ci-dessus, qui sont </w:t>
      </w:r>
      <w:r w:rsidRPr="00640F03" w:rsidR="002D008B">
        <w:rPr>
          <w:lang w:val="fr-FR"/>
        </w:rPr>
        <w:t>établis</w:t>
      </w:r>
      <w:r w:rsidRPr="00640F03" w:rsidR="00412FA2">
        <w:rPr>
          <w:lang w:val="fr-FR"/>
        </w:rPr>
        <w:t xml:space="preserve"> par la Convention, la Cour dispose également d</w:t>
      </w:r>
      <w:r w:rsidRPr="00640F03" w:rsidR="00640F03">
        <w:rPr>
          <w:lang w:val="fr-FR"/>
        </w:rPr>
        <w:t>’</w:t>
      </w:r>
      <w:r w:rsidRPr="00640F03" w:rsidR="00412FA2">
        <w:rPr>
          <w:lang w:val="fr-FR"/>
        </w:rPr>
        <w:t>une compétence consultative en vertu du Protocole n</w:t>
      </w:r>
      <w:r w:rsidRPr="00640F03" w:rsidR="00412FA2">
        <w:rPr>
          <w:vertAlign w:val="superscript"/>
          <w:lang w:val="fr-FR"/>
        </w:rPr>
        <w:t>o</w:t>
      </w:r>
      <w:r w:rsidRPr="00640F03" w:rsidR="00412FA2">
        <w:rPr>
          <w:lang w:val="fr-FR"/>
        </w:rPr>
        <w:t xml:space="preserve"> 16, que les États peuvent décider d</w:t>
      </w:r>
      <w:r w:rsidRPr="00640F03" w:rsidR="00640F03">
        <w:rPr>
          <w:lang w:val="fr-FR"/>
        </w:rPr>
        <w:t>’</w:t>
      </w:r>
      <w:r w:rsidRPr="00640F03" w:rsidR="00412FA2">
        <w:rPr>
          <w:lang w:val="fr-FR"/>
        </w:rPr>
        <w:t xml:space="preserve">accepter et dont les dispositions sont considérées comme des articles additionnels à la Convention. </w:t>
      </w:r>
      <w:r w:rsidRPr="00640F03" w:rsidR="002D008B">
        <w:rPr>
          <w:lang w:val="fr-FR"/>
        </w:rPr>
        <w:t>Dans le cadre de c</w:t>
      </w:r>
      <w:r w:rsidRPr="00640F03" w:rsidR="00412FA2">
        <w:rPr>
          <w:lang w:val="fr-FR"/>
        </w:rPr>
        <w:t xml:space="preserve">ette compétence consultative, qui </w:t>
      </w:r>
      <w:r w:rsidRPr="00640F03" w:rsidR="00584A43">
        <w:rPr>
          <w:lang w:val="fr-FR"/>
        </w:rPr>
        <w:t xml:space="preserve">est devenue effective </w:t>
      </w:r>
      <w:r w:rsidRPr="00640F03" w:rsidR="00412FA2">
        <w:rPr>
          <w:lang w:val="fr-FR"/>
        </w:rPr>
        <w:t>le 1</w:t>
      </w:r>
      <w:r w:rsidRPr="00640F03" w:rsidR="00412FA2">
        <w:rPr>
          <w:vertAlign w:val="superscript"/>
          <w:lang w:val="fr-FR"/>
        </w:rPr>
        <w:t>er</w:t>
      </w:r>
      <w:r w:rsidRPr="00640F03" w:rsidR="00412FA2">
        <w:rPr>
          <w:lang w:val="fr-FR"/>
        </w:rPr>
        <w:t xml:space="preserve"> août 2018, </w:t>
      </w:r>
      <w:r w:rsidRPr="00640F03" w:rsidR="002D008B">
        <w:rPr>
          <w:lang w:val="fr-FR"/>
        </w:rPr>
        <w:t>la Cour examine</w:t>
      </w:r>
      <w:r w:rsidRPr="00640F03" w:rsidR="003F5321">
        <w:rPr>
          <w:lang w:val="fr-FR"/>
        </w:rPr>
        <w:t xml:space="preserve"> </w:t>
      </w:r>
      <w:r w:rsidRPr="00640F03" w:rsidR="0054226E">
        <w:rPr>
          <w:lang w:val="fr-FR"/>
        </w:rPr>
        <w:t>l</w:t>
      </w:r>
      <w:r w:rsidRPr="00640F03" w:rsidR="003F5321">
        <w:rPr>
          <w:lang w:val="fr-FR"/>
        </w:rPr>
        <w:t>es questions de principe relatives à l</w:t>
      </w:r>
      <w:r w:rsidRPr="00640F03" w:rsidR="00640F03">
        <w:rPr>
          <w:lang w:val="fr-FR"/>
        </w:rPr>
        <w:t>’</w:t>
      </w:r>
      <w:r w:rsidRPr="00640F03" w:rsidR="003F5321">
        <w:rPr>
          <w:lang w:val="fr-FR"/>
        </w:rPr>
        <w:t>interprétation ou à l</w:t>
      </w:r>
      <w:r w:rsidRPr="00640F03" w:rsidR="00640F03">
        <w:rPr>
          <w:lang w:val="fr-FR"/>
        </w:rPr>
        <w:t>’</w:t>
      </w:r>
      <w:r w:rsidRPr="00640F03" w:rsidR="003F5321">
        <w:rPr>
          <w:lang w:val="fr-FR"/>
        </w:rPr>
        <w:t xml:space="preserve">application des droits et libertés définis par la Convention ou ses Protocoles qui </w:t>
      </w:r>
      <w:r w:rsidRPr="00640F03" w:rsidR="002D008B">
        <w:rPr>
          <w:lang w:val="fr-FR"/>
        </w:rPr>
        <w:t xml:space="preserve">lui </w:t>
      </w:r>
      <w:r w:rsidRPr="00640F03" w:rsidR="003F5321">
        <w:rPr>
          <w:lang w:val="fr-FR"/>
        </w:rPr>
        <w:t>sont adressées par les plus hautes juridictions des États parties (article</w:t>
      </w:r>
      <w:r w:rsidRPr="00640F03" w:rsidR="00D92A54">
        <w:rPr>
          <w:lang w:val="fr-FR"/>
        </w:rPr>
        <w:t> </w:t>
      </w:r>
      <w:r w:rsidRPr="00640F03" w:rsidR="003F5321">
        <w:rPr>
          <w:lang w:val="fr-FR"/>
        </w:rPr>
        <w:t>1 §</w:t>
      </w:r>
      <w:r w:rsidRPr="00640F03" w:rsidR="00D92A54">
        <w:rPr>
          <w:lang w:val="fr-FR"/>
        </w:rPr>
        <w:t> </w:t>
      </w:r>
      <w:r w:rsidRPr="00640F03" w:rsidR="003F5321">
        <w:rPr>
          <w:lang w:val="fr-FR"/>
        </w:rPr>
        <w:t>1 du Protocole n</w:t>
      </w:r>
      <w:r w:rsidRPr="00640F03" w:rsidR="003F5321">
        <w:rPr>
          <w:vertAlign w:val="superscript"/>
          <w:lang w:val="fr-FR"/>
        </w:rPr>
        <w:t>o</w:t>
      </w:r>
      <w:r w:rsidRPr="00640F03" w:rsidR="006F1BFE">
        <w:rPr>
          <w:lang w:val="fr-FR"/>
        </w:rPr>
        <w:t> </w:t>
      </w:r>
      <w:r w:rsidRPr="00640F03" w:rsidR="003F5321">
        <w:rPr>
          <w:lang w:val="fr-FR"/>
        </w:rPr>
        <w:t>16). L</w:t>
      </w:r>
      <w:r w:rsidRPr="00640F03" w:rsidR="00640F03">
        <w:rPr>
          <w:lang w:val="fr-FR"/>
        </w:rPr>
        <w:t>’</w:t>
      </w:r>
      <w:r w:rsidRPr="00640F03" w:rsidR="003F5321">
        <w:rPr>
          <w:lang w:val="fr-FR"/>
        </w:rPr>
        <w:t>objectif poursuivi par ce protocole est de renforcer l</w:t>
      </w:r>
      <w:r w:rsidRPr="00640F03" w:rsidR="00640F03">
        <w:rPr>
          <w:lang w:val="fr-FR"/>
        </w:rPr>
        <w:t>’</w:t>
      </w:r>
      <w:r w:rsidRPr="00640F03" w:rsidR="00584A43">
        <w:rPr>
          <w:lang w:val="fr-FR"/>
        </w:rPr>
        <w:t>interaction</w:t>
      </w:r>
      <w:r w:rsidRPr="00640F03" w:rsidR="003F5321">
        <w:rPr>
          <w:lang w:val="fr-FR"/>
        </w:rPr>
        <w:t xml:space="preserve">, </w:t>
      </w:r>
      <w:r w:rsidRPr="00640F03" w:rsidR="00584A43">
        <w:rPr>
          <w:lang w:val="fr-FR"/>
        </w:rPr>
        <w:t xml:space="preserve">et </w:t>
      </w:r>
      <w:r w:rsidRPr="00640F03" w:rsidR="003F5321">
        <w:rPr>
          <w:lang w:val="fr-FR"/>
        </w:rPr>
        <w:t xml:space="preserve">notamment </w:t>
      </w:r>
      <w:r w:rsidRPr="00640F03" w:rsidR="00584A43">
        <w:rPr>
          <w:lang w:val="fr-FR"/>
        </w:rPr>
        <w:t xml:space="preserve">le dialogue </w:t>
      </w:r>
      <w:r w:rsidRPr="00640F03" w:rsidR="003F5321">
        <w:rPr>
          <w:lang w:val="fr-FR"/>
        </w:rPr>
        <w:t>judiciaire, entre la Cour et les autorités nationales et d</w:t>
      </w:r>
      <w:r w:rsidRPr="00640F03" w:rsidR="00640F03">
        <w:rPr>
          <w:lang w:val="fr-FR"/>
        </w:rPr>
        <w:t>’</w:t>
      </w:r>
      <w:r w:rsidRPr="00640F03" w:rsidR="003F5321">
        <w:rPr>
          <w:lang w:val="fr-FR"/>
        </w:rPr>
        <w:t>améliorer ainsi la mise en œuvre de la Convention, conformément au principe de subsidiarité. Les limites de cet exercice sont expressément énoncées par le Protocole, qui dispose en particulier que la juridiction qui procède à la demande ne peut solliciter un avis consultatif que dans le cadre d</w:t>
      </w:r>
      <w:r w:rsidRPr="00640F03" w:rsidR="00640F03">
        <w:rPr>
          <w:lang w:val="fr-FR"/>
        </w:rPr>
        <w:t>’</w:t>
      </w:r>
      <w:r w:rsidRPr="00640F03" w:rsidR="003F5321">
        <w:rPr>
          <w:lang w:val="fr-FR"/>
        </w:rPr>
        <w:t xml:space="preserve">une affaire pendante devant elle et </w:t>
      </w:r>
      <w:r w:rsidRPr="00640F03" w:rsidR="008D6D33">
        <w:rPr>
          <w:lang w:val="fr-FR"/>
        </w:rPr>
        <w:t>qu</w:t>
      </w:r>
      <w:r w:rsidRPr="00640F03" w:rsidR="00640F03">
        <w:rPr>
          <w:lang w:val="fr-FR"/>
        </w:rPr>
        <w:t>’</w:t>
      </w:r>
      <w:r w:rsidRPr="00640F03" w:rsidR="008D6D33">
        <w:rPr>
          <w:lang w:val="fr-FR"/>
        </w:rPr>
        <w:t xml:space="preserve">elle </w:t>
      </w:r>
      <w:r w:rsidRPr="00640F03" w:rsidR="003F5321">
        <w:rPr>
          <w:lang w:val="fr-FR"/>
        </w:rPr>
        <w:t>doit produire les éléments pertinents du contexte juridique et factuel de l</w:t>
      </w:r>
      <w:r w:rsidRPr="00640F03" w:rsidR="00640F03">
        <w:rPr>
          <w:lang w:val="fr-FR"/>
        </w:rPr>
        <w:t>’</w:t>
      </w:r>
      <w:r w:rsidRPr="00640F03" w:rsidR="003F5321">
        <w:rPr>
          <w:lang w:val="fr-FR"/>
        </w:rPr>
        <w:t xml:space="preserve">affaire </w:t>
      </w:r>
      <w:r w:rsidRPr="00640F03" w:rsidR="008D6D33">
        <w:rPr>
          <w:lang w:val="fr-FR"/>
        </w:rPr>
        <w:t xml:space="preserve">en question </w:t>
      </w:r>
      <w:r w:rsidRPr="00640F03">
        <w:rPr>
          <w:lang w:val="fr-FR"/>
        </w:rPr>
        <w:t>(</w:t>
      </w:r>
      <w:r w:rsidRPr="00640F03" w:rsidR="00771708">
        <w:rPr>
          <w:lang w:val="fr-FR"/>
        </w:rPr>
        <w:t>a</w:t>
      </w:r>
      <w:r w:rsidRPr="00640F03">
        <w:rPr>
          <w:lang w:val="fr-FR"/>
        </w:rPr>
        <w:t>rticle</w:t>
      </w:r>
      <w:r w:rsidRPr="00640F03" w:rsidR="008E7034">
        <w:rPr>
          <w:lang w:val="fr-FR"/>
        </w:rPr>
        <w:t> </w:t>
      </w:r>
      <w:r w:rsidRPr="00640F03">
        <w:rPr>
          <w:lang w:val="fr-FR"/>
        </w:rPr>
        <w:t>1 §§</w:t>
      </w:r>
      <w:r w:rsidRPr="00640F03" w:rsidR="008E7034">
        <w:rPr>
          <w:lang w:val="fr-FR"/>
        </w:rPr>
        <w:t> </w:t>
      </w:r>
      <w:r w:rsidRPr="00640F03">
        <w:rPr>
          <w:lang w:val="fr-FR"/>
        </w:rPr>
        <w:t xml:space="preserve">2 </w:t>
      </w:r>
      <w:r w:rsidRPr="00640F03" w:rsidR="00771708">
        <w:rPr>
          <w:lang w:val="fr-FR"/>
        </w:rPr>
        <w:t>et</w:t>
      </w:r>
      <w:r w:rsidRPr="00640F03" w:rsidR="008E7034">
        <w:rPr>
          <w:lang w:val="fr-FR"/>
        </w:rPr>
        <w:t> </w:t>
      </w:r>
      <w:r w:rsidRPr="00640F03">
        <w:rPr>
          <w:lang w:val="fr-FR"/>
        </w:rPr>
        <w:t xml:space="preserve">3 </w:t>
      </w:r>
      <w:r w:rsidRPr="00640F03" w:rsidR="00771708">
        <w:rPr>
          <w:lang w:val="fr-FR"/>
        </w:rPr>
        <w:t>de ce Protocole</w:t>
      </w:r>
      <w:r w:rsidRPr="00640F03">
        <w:rPr>
          <w:lang w:val="fr-FR"/>
        </w:rPr>
        <w:t xml:space="preserve">). </w:t>
      </w:r>
      <w:r w:rsidRPr="00640F03" w:rsidR="00771708">
        <w:rPr>
          <w:lang w:val="fr-FR"/>
        </w:rPr>
        <w:t>La Cour a confirmé que les avis consultatifs qu</w:t>
      </w:r>
      <w:r w:rsidRPr="00640F03" w:rsidR="00640F03">
        <w:rPr>
          <w:lang w:val="fr-FR"/>
        </w:rPr>
        <w:t>’</w:t>
      </w:r>
      <w:r w:rsidRPr="00640F03" w:rsidR="00771708">
        <w:rPr>
          <w:lang w:val="fr-FR"/>
        </w:rPr>
        <w:t>elle est amenée à rendre en application de ce protocole doivent se limiter aux points qui ont un lien direct avec le litige en instance au plan interne (</w:t>
      </w:r>
      <w:r w:rsidRPr="00640F03" w:rsidR="00771708">
        <w:rPr>
          <w:i/>
          <w:iCs/>
          <w:lang w:val="fr-FR"/>
        </w:rPr>
        <w:t>Avis consultatif relatif à la reconnaissance en droit interne d</w:t>
      </w:r>
      <w:r w:rsidRPr="00640F03" w:rsidR="00640F03">
        <w:rPr>
          <w:i/>
          <w:iCs/>
          <w:lang w:val="fr-FR"/>
        </w:rPr>
        <w:t>’</w:t>
      </w:r>
      <w:r w:rsidRPr="00640F03" w:rsidR="00771708">
        <w:rPr>
          <w:i/>
          <w:iCs/>
          <w:lang w:val="fr-FR"/>
        </w:rPr>
        <w:t>un lien de filiation entre un enfant né d</w:t>
      </w:r>
      <w:r w:rsidRPr="00640F03" w:rsidR="00640F03">
        <w:rPr>
          <w:i/>
          <w:iCs/>
          <w:lang w:val="fr-FR"/>
        </w:rPr>
        <w:t>’</w:t>
      </w:r>
      <w:r w:rsidRPr="00640F03" w:rsidR="00771708">
        <w:rPr>
          <w:i/>
          <w:iCs/>
          <w:lang w:val="fr-FR"/>
        </w:rPr>
        <w:t>une gestation pour autrui pratiquée à l</w:t>
      </w:r>
      <w:r w:rsidRPr="00640F03" w:rsidR="00640F03">
        <w:rPr>
          <w:i/>
          <w:iCs/>
          <w:lang w:val="fr-FR"/>
        </w:rPr>
        <w:t>’</w:t>
      </w:r>
      <w:r w:rsidRPr="00640F03" w:rsidR="00771708">
        <w:rPr>
          <w:i/>
          <w:iCs/>
          <w:lang w:val="fr-FR"/>
        </w:rPr>
        <w:t>étranger et la mère d</w:t>
      </w:r>
      <w:r w:rsidRPr="00640F03" w:rsidR="00640F03">
        <w:rPr>
          <w:i/>
          <w:iCs/>
          <w:lang w:val="fr-FR"/>
        </w:rPr>
        <w:t>’</w:t>
      </w:r>
      <w:r w:rsidRPr="00640F03" w:rsidR="00771708">
        <w:rPr>
          <w:i/>
          <w:iCs/>
          <w:lang w:val="fr-FR"/>
        </w:rPr>
        <w:t>intention</w:t>
      </w:r>
      <w:r w:rsidRPr="00640F03" w:rsidR="00EE08C4">
        <w:rPr>
          <w:i/>
          <w:iCs/>
          <w:lang w:val="fr-FR"/>
        </w:rPr>
        <w:t xml:space="preserve"> </w:t>
      </w:r>
      <w:r w:rsidRPr="00640F03" w:rsidR="00EE08C4">
        <w:rPr>
          <w:lang w:val="fr-FR"/>
        </w:rPr>
        <w:t>[GC], demande n</w:t>
      </w:r>
      <w:r w:rsidRPr="00640F03" w:rsidR="00EE08C4">
        <w:rPr>
          <w:vertAlign w:val="superscript"/>
          <w:lang w:val="fr-FR"/>
        </w:rPr>
        <w:t>o</w:t>
      </w:r>
      <w:r w:rsidRPr="00640F03" w:rsidR="00EE08C4">
        <w:rPr>
          <w:lang w:val="fr-FR"/>
        </w:rPr>
        <w:t xml:space="preserve"> P16-2018-001, Cour de cassation française,</w:t>
      </w:r>
      <w:r w:rsidRPr="00640F03" w:rsidR="00771708">
        <w:rPr>
          <w:lang w:val="fr-FR"/>
        </w:rPr>
        <w:t xml:space="preserve"> § 26, 10</w:t>
      </w:r>
      <w:r w:rsidRPr="00640F03" w:rsidR="00676DA3">
        <w:rPr>
          <w:lang w:val="fr-FR"/>
        </w:rPr>
        <w:t> </w:t>
      </w:r>
      <w:r w:rsidRPr="00640F03" w:rsidR="00771708">
        <w:rPr>
          <w:lang w:val="fr-FR"/>
        </w:rPr>
        <w:t xml:space="preserve">avril 2019, et </w:t>
      </w:r>
      <w:r w:rsidRPr="00640F03" w:rsidR="00771708">
        <w:rPr>
          <w:i/>
          <w:iCs/>
          <w:lang w:val="fr-FR"/>
        </w:rPr>
        <w:t>Avis consultatif relatif à l</w:t>
      </w:r>
      <w:r w:rsidRPr="00640F03" w:rsidR="00640F03">
        <w:rPr>
          <w:i/>
          <w:iCs/>
          <w:lang w:val="fr-FR"/>
        </w:rPr>
        <w:t>’</w:t>
      </w:r>
      <w:r w:rsidRPr="00640F03" w:rsidR="00771708">
        <w:rPr>
          <w:i/>
          <w:iCs/>
          <w:lang w:val="fr-FR"/>
        </w:rPr>
        <w:t>utilisation de la technique de « législation par référence » pour la définition d</w:t>
      </w:r>
      <w:r w:rsidRPr="00640F03" w:rsidR="00640F03">
        <w:rPr>
          <w:i/>
          <w:iCs/>
          <w:lang w:val="fr-FR"/>
        </w:rPr>
        <w:t>’</w:t>
      </w:r>
      <w:r w:rsidRPr="00640F03" w:rsidR="00771708">
        <w:rPr>
          <w:i/>
          <w:iCs/>
          <w:lang w:val="fr-FR"/>
        </w:rPr>
        <w:t>une infraction et aux critères à appliquer pour comparer la loi pénale telle qu</w:t>
      </w:r>
      <w:r w:rsidRPr="00640F03" w:rsidR="00640F03">
        <w:rPr>
          <w:i/>
          <w:iCs/>
          <w:lang w:val="fr-FR"/>
        </w:rPr>
        <w:t>’</w:t>
      </w:r>
      <w:r w:rsidRPr="00640F03" w:rsidR="00771708">
        <w:rPr>
          <w:i/>
          <w:iCs/>
          <w:lang w:val="fr-FR"/>
        </w:rPr>
        <w:t>elle était en vigueur au moment de la commission de l</w:t>
      </w:r>
      <w:r w:rsidRPr="00640F03" w:rsidR="00640F03">
        <w:rPr>
          <w:i/>
          <w:iCs/>
          <w:lang w:val="fr-FR"/>
        </w:rPr>
        <w:t>’</w:t>
      </w:r>
      <w:r w:rsidRPr="00640F03" w:rsidR="00771708">
        <w:rPr>
          <w:i/>
          <w:iCs/>
          <w:lang w:val="fr-FR"/>
        </w:rPr>
        <w:t>infraction et la loi pénale telle que modifiée</w:t>
      </w:r>
      <w:r w:rsidRPr="00640F03" w:rsidR="00EE08C4">
        <w:rPr>
          <w:lang w:val="fr-FR"/>
        </w:rPr>
        <w:t xml:space="preserve"> [GC], demande n</w:t>
      </w:r>
      <w:r w:rsidRPr="00640F03" w:rsidR="00EE08C4">
        <w:rPr>
          <w:vertAlign w:val="superscript"/>
          <w:lang w:val="fr-FR"/>
        </w:rPr>
        <w:t>o</w:t>
      </w:r>
      <w:r w:rsidRPr="00640F03" w:rsidR="00EE08C4">
        <w:rPr>
          <w:lang w:val="fr-FR"/>
        </w:rPr>
        <w:t xml:space="preserve"> P16-2019-001, Cour constitutionnelle arménienne,</w:t>
      </w:r>
      <w:r w:rsidRPr="00640F03" w:rsidR="00771708">
        <w:rPr>
          <w:lang w:val="fr-FR"/>
        </w:rPr>
        <w:t xml:space="preserve"> §§</w:t>
      </w:r>
      <w:r w:rsidRPr="00640F03" w:rsidR="008E7034">
        <w:rPr>
          <w:lang w:val="fr-FR"/>
        </w:rPr>
        <w:t> </w:t>
      </w:r>
      <w:r w:rsidRPr="00640F03" w:rsidR="00771708">
        <w:rPr>
          <w:lang w:val="fr-FR"/>
        </w:rPr>
        <w:t>44 et</w:t>
      </w:r>
      <w:r w:rsidRPr="00640F03" w:rsidR="008E7034">
        <w:rPr>
          <w:lang w:val="fr-FR"/>
        </w:rPr>
        <w:t> </w:t>
      </w:r>
      <w:r w:rsidRPr="00640F03" w:rsidR="00771708">
        <w:rPr>
          <w:lang w:val="fr-FR"/>
        </w:rPr>
        <w:t>47, 29</w:t>
      </w:r>
      <w:r w:rsidRPr="00640F03" w:rsidR="008E7034">
        <w:rPr>
          <w:lang w:val="fr-FR"/>
        </w:rPr>
        <w:t> </w:t>
      </w:r>
      <w:r w:rsidRPr="00640F03" w:rsidR="00771708">
        <w:rPr>
          <w:lang w:val="fr-FR"/>
        </w:rPr>
        <w:t xml:space="preserve">mai 2020). </w:t>
      </w:r>
      <w:r w:rsidRPr="00640F03" w:rsidR="0054226E">
        <w:rPr>
          <w:lang w:val="fr-FR"/>
        </w:rPr>
        <w:t>La Cour a considéré que d</w:t>
      </w:r>
      <w:r w:rsidRPr="00640F03" w:rsidR="00771708">
        <w:rPr>
          <w:lang w:val="fr-FR"/>
        </w:rPr>
        <w:t>ans ce contexte</w:t>
      </w:r>
      <w:r w:rsidRPr="00640F03" w:rsidR="0054226E">
        <w:rPr>
          <w:lang w:val="fr-FR"/>
        </w:rPr>
        <w:t xml:space="preserve"> </w:t>
      </w:r>
      <w:r w:rsidRPr="00640F03" w:rsidR="00771708">
        <w:rPr>
          <w:lang w:val="fr-FR"/>
        </w:rPr>
        <w:t xml:space="preserve">elle ne peut répondre à des questions </w:t>
      </w:r>
      <w:r w:rsidRPr="00640F03" w:rsidR="002D008B">
        <w:rPr>
          <w:lang w:val="fr-FR"/>
        </w:rPr>
        <w:t xml:space="preserve">théoriques et générales </w:t>
      </w:r>
      <w:r w:rsidRPr="00640F03" w:rsidR="00771708">
        <w:rPr>
          <w:lang w:val="fr-FR"/>
        </w:rPr>
        <w:t>relatives au droit de la Convention (</w:t>
      </w:r>
      <w:r w:rsidRPr="00640F03" w:rsidR="00771708">
        <w:rPr>
          <w:i/>
          <w:iCs/>
          <w:lang w:val="fr-FR"/>
        </w:rPr>
        <w:t>ibidem</w:t>
      </w:r>
      <w:r w:rsidRPr="00640F03" w:rsidR="00771708">
        <w:rPr>
          <w:lang w:val="fr-FR"/>
        </w:rPr>
        <w:t xml:space="preserve">, </w:t>
      </w:r>
      <w:r w:rsidRPr="00640F03" w:rsidR="00D0097F">
        <w:rPr>
          <w:lang w:val="fr-FR"/>
        </w:rPr>
        <w:t>§</w:t>
      </w:r>
      <w:r w:rsidRPr="00640F03" w:rsidR="00676DA3">
        <w:rPr>
          <w:lang w:val="fr-FR"/>
        </w:rPr>
        <w:t> </w:t>
      </w:r>
      <w:r w:rsidRPr="00640F03" w:rsidR="00D0097F">
        <w:rPr>
          <w:lang w:val="fr-FR"/>
        </w:rPr>
        <w:t>55).</w:t>
      </w:r>
      <w:bookmarkEnd w:id="18"/>
    </w:p>
    <w:p w:rsidRPr="00640F03" w:rsidR="00F6518C" w:rsidP="00640F03" w:rsidRDefault="00771708" w14:paraId="34F2E8B7" w14:textId="6FA1436E">
      <w:pPr>
        <w:pStyle w:val="JuHA"/>
        <w:rPr>
          <w:rFonts w:eastAsia="MingLiU"/>
          <w:lang w:val="fr-FR"/>
        </w:rPr>
      </w:pPr>
      <w:r w:rsidRPr="00640F03">
        <w:rPr>
          <w:rFonts w:eastAsia="MingLiU"/>
          <w:lang w:val="fr-FR"/>
        </w:rPr>
        <w:t>Les observations des gouvernements concernant la compétence de la Cour</w:t>
      </w:r>
    </w:p>
    <w:bookmarkStart w:name="P37" w:id="19"/>
    <w:p w:rsidRPr="00640F03" w:rsidR="00F6518C" w:rsidP="00640F03" w:rsidRDefault="00F6518C" w14:paraId="65D6743E" w14:textId="6D1221FF">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37</w:t>
      </w:r>
      <w:r w:rsidRPr="00640F03">
        <w:rPr>
          <w:lang w:val="fr-FR"/>
        </w:rPr>
        <w:fldChar w:fldCharType="end"/>
      </w:r>
      <w:bookmarkEnd w:id="19"/>
      <w:r w:rsidRPr="00640F03">
        <w:rPr>
          <w:lang w:val="fr-FR"/>
        </w:rPr>
        <w:t>.  </w:t>
      </w:r>
      <w:r w:rsidRPr="00640F03" w:rsidR="000B6F69">
        <w:rPr>
          <w:lang w:val="fr-FR"/>
        </w:rPr>
        <w:t>Les gouvernements andorran, azerbaïdjanais, polonais, russe et turc (</w:t>
      </w:r>
      <w:r w:rsidRPr="00640F03" w:rsidR="008D6D33">
        <w:rPr>
          <w:lang w:val="fr-FR"/>
        </w:rPr>
        <w:t xml:space="preserve">la Turquie </w:t>
      </w:r>
      <w:r w:rsidRPr="00640F03" w:rsidR="000B6F69">
        <w:rPr>
          <w:lang w:val="fr-FR"/>
        </w:rPr>
        <w:t>étant Partie à la Convention d</w:t>
      </w:r>
      <w:r w:rsidRPr="00640F03" w:rsidR="00640F03">
        <w:rPr>
          <w:lang w:val="fr-FR"/>
        </w:rPr>
        <w:t>’</w:t>
      </w:r>
      <w:r w:rsidRPr="00640F03" w:rsidR="000B6F69">
        <w:rPr>
          <w:lang w:val="fr-FR"/>
        </w:rPr>
        <w:t>Oviedo) soutiennent que, par principe, la Cour n</w:t>
      </w:r>
      <w:r w:rsidRPr="00640F03" w:rsidR="00640F03">
        <w:rPr>
          <w:lang w:val="fr-FR"/>
        </w:rPr>
        <w:t>’</w:t>
      </w:r>
      <w:r w:rsidRPr="00640F03" w:rsidR="000B6F69">
        <w:rPr>
          <w:lang w:val="fr-FR"/>
        </w:rPr>
        <w:t>a pas compétence pour interpréter la Convention d</w:t>
      </w:r>
      <w:r w:rsidRPr="00640F03" w:rsidR="00640F03">
        <w:rPr>
          <w:lang w:val="fr-FR"/>
        </w:rPr>
        <w:t>’</w:t>
      </w:r>
      <w:r w:rsidRPr="00640F03" w:rsidR="000B6F69">
        <w:rPr>
          <w:lang w:val="fr-FR"/>
        </w:rPr>
        <w:t>Oviedo, en ce que sa compétence est exclusivement régie par la Convention et qu</w:t>
      </w:r>
      <w:r w:rsidRPr="00640F03" w:rsidR="00640F03">
        <w:rPr>
          <w:lang w:val="fr-FR"/>
        </w:rPr>
        <w:t>’</w:t>
      </w:r>
      <w:r w:rsidRPr="00640F03" w:rsidR="000B6F69">
        <w:rPr>
          <w:lang w:val="fr-FR"/>
        </w:rPr>
        <w:t xml:space="preserve">elle est donc limitée, </w:t>
      </w:r>
      <w:r w:rsidRPr="00640F03" w:rsidR="000B6F69">
        <w:rPr>
          <w:i/>
          <w:lang w:val="fr-FR"/>
        </w:rPr>
        <w:t>ratione materiae</w:t>
      </w:r>
      <w:r w:rsidRPr="00640F03" w:rsidR="000B6F69">
        <w:rPr>
          <w:lang w:val="fr-FR"/>
        </w:rPr>
        <w:t xml:space="preserve">, à la Convention et à ses </w:t>
      </w:r>
      <w:r w:rsidRPr="00640F03" w:rsidR="00EE08C4">
        <w:rPr>
          <w:lang w:val="fr-FR"/>
        </w:rPr>
        <w:t>P</w:t>
      </w:r>
      <w:r w:rsidRPr="00640F03" w:rsidR="000B6F69">
        <w:rPr>
          <w:lang w:val="fr-FR"/>
        </w:rPr>
        <w:t xml:space="preserve">rotocoles. </w:t>
      </w:r>
      <w:r w:rsidRPr="00640F03" w:rsidR="008733A9">
        <w:rPr>
          <w:lang w:val="fr-FR"/>
        </w:rPr>
        <w:t>Selon certains</w:t>
      </w:r>
      <w:r w:rsidRPr="00640F03" w:rsidR="00BD0EFA">
        <w:rPr>
          <w:lang w:val="fr-FR"/>
        </w:rPr>
        <w:t xml:space="preserve"> de ces gouvernements</w:t>
      </w:r>
      <w:r w:rsidRPr="00640F03" w:rsidR="008733A9">
        <w:rPr>
          <w:lang w:val="fr-FR"/>
        </w:rPr>
        <w:t xml:space="preserve">, </w:t>
      </w:r>
      <w:r w:rsidRPr="00640F03" w:rsidR="000B6F69">
        <w:rPr>
          <w:lang w:val="fr-FR"/>
        </w:rPr>
        <w:t>pour élargir la compétence de la Cour, il est nécessaire de modifier la Convention ou d</w:t>
      </w:r>
      <w:r w:rsidRPr="00640F03" w:rsidR="00640F03">
        <w:rPr>
          <w:lang w:val="fr-FR"/>
        </w:rPr>
        <w:t>’</w:t>
      </w:r>
      <w:r w:rsidRPr="00640F03" w:rsidR="000B6F69">
        <w:rPr>
          <w:lang w:val="fr-FR"/>
        </w:rPr>
        <w:t>adopter un nouveau protocole, et un traité distinct, même aussi étroitement lié par son but et son objet que l</w:t>
      </w:r>
      <w:r w:rsidRPr="00640F03" w:rsidR="00640F03">
        <w:rPr>
          <w:lang w:val="fr-FR"/>
        </w:rPr>
        <w:t>’</w:t>
      </w:r>
      <w:r w:rsidRPr="00640F03" w:rsidR="000B6F69">
        <w:rPr>
          <w:lang w:val="fr-FR"/>
        </w:rPr>
        <w:t>est la Convention d</w:t>
      </w:r>
      <w:r w:rsidRPr="00640F03" w:rsidR="00640F03">
        <w:rPr>
          <w:lang w:val="fr-FR"/>
        </w:rPr>
        <w:t>’</w:t>
      </w:r>
      <w:r w:rsidRPr="00640F03" w:rsidR="000B6F69">
        <w:rPr>
          <w:lang w:val="fr-FR"/>
        </w:rPr>
        <w:t xml:space="preserve">Oviedo, ne suffit pas. </w:t>
      </w:r>
      <w:r w:rsidRPr="00640F03" w:rsidR="008733A9">
        <w:rPr>
          <w:lang w:val="fr-FR"/>
        </w:rPr>
        <w:t>L</w:t>
      </w:r>
      <w:r w:rsidRPr="00640F03" w:rsidR="000B6F69">
        <w:rPr>
          <w:lang w:val="fr-FR"/>
        </w:rPr>
        <w:t xml:space="preserve">e seul organe autorisé à demander un avis consultatif à la Cour </w:t>
      </w:r>
      <w:r w:rsidRPr="00640F03" w:rsidR="008733A9">
        <w:rPr>
          <w:lang w:val="fr-FR"/>
        </w:rPr>
        <w:t xml:space="preserve">serait </w:t>
      </w:r>
      <w:r w:rsidRPr="00640F03" w:rsidR="000B6F69">
        <w:rPr>
          <w:lang w:val="fr-FR"/>
        </w:rPr>
        <w:t>le Comité des Ministres. Il</w:t>
      </w:r>
      <w:r w:rsidRPr="00640F03" w:rsidR="008733A9">
        <w:rPr>
          <w:lang w:val="fr-FR"/>
        </w:rPr>
        <w:t xml:space="preserve"> e</w:t>
      </w:r>
      <w:r w:rsidRPr="00640F03" w:rsidR="000B6F69">
        <w:rPr>
          <w:lang w:val="fr-FR"/>
        </w:rPr>
        <w:t>s</w:t>
      </w:r>
      <w:r w:rsidRPr="00640F03" w:rsidR="008733A9">
        <w:rPr>
          <w:lang w:val="fr-FR"/>
        </w:rPr>
        <w:t>t</w:t>
      </w:r>
      <w:r w:rsidRPr="00640F03" w:rsidR="000B6F69">
        <w:rPr>
          <w:lang w:val="fr-FR"/>
        </w:rPr>
        <w:t xml:space="preserve"> f</w:t>
      </w:r>
      <w:r w:rsidRPr="00640F03" w:rsidR="008733A9">
        <w:rPr>
          <w:lang w:val="fr-FR"/>
        </w:rPr>
        <w:t>ai</w:t>
      </w:r>
      <w:r w:rsidRPr="00640F03" w:rsidR="000B6F69">
        <w:rPr>
          <w:lang w:val="fr-FR"/>
        </w:rPr>
        <w:t>t référence, dans ce contexte, à l</w:t>
      </w:r>
      <w:r w:rsidRPr="00640F03" w:rsidR="00640F03">
        <w:rPr>
          <w:lang w:val="fr-FR"/>
        </w:rPr>
        <w:t>’</w:t>
      </w:r>
      <w:r w:rsidRPr="00640F03" w:rsidR="000B6F69">
        <w:rPr>
          <w:lang w:val="fr-FR"/>
        </w:rPr>
        <w:t>article</w:t>
      </w:r>
      <w:r w:rsidRPr="00640F03" w:rsidR="006F1BFE">
        <w:rPr>
          <w:lang w:val="fr-FR"/>
        </w:rPr>
        <w:t> </w:t>
      </w:r>
      <w:r w:rsidRPr="00640F03" w:rsidR="000B6F69">
        <w:rPr>
          <w:lang w:val="fr-FR"/>
        </w:rPr>
        <w:t xml:space="preserve">34 de la Convention de Vienne sur le droit des traités (« la Convention de Vienne ») qui établit le principe général selon lequel un traité ne crée ni obligations ni droits pour un État tiers sans son consentement, </w:t>
      </w:r>
      <w:r w:rsidRPr="00640F03" w:rsidR="008733A9">
        <w:rPr>
          <w:lang w:val="fr-FR"/>
        </w:rPr>
        <w:t>dont on pourrait déduire</w:t>
      </w:r>
      <w:r w:rsidRPr="00640F03" w:rsidR="000B6F69">
        <w:rPr>
          <w:lang w:val="fr-FR"/>
        </w:rPr>
        <w:t xml:space="preserve"> que toute lacune normative devrait être comblée par un protocole d</w:t>
      </w:r>
      <w:r w:rsidRPr="00640F03" w:rsidR="00640F03">
        <w:rPr>
          <w:lang w:val="fr-FR"/>
        </w:rPr>
        <w:t>’</w:t>
      </w:r>
      <w:r w:rsidRPr="00640F03" w:rsidR="000B6F69">
        <w:rPr>
          <w:lang w:val="fr-FR"/>
        </w:rPr>
        <w:t>amendement ou additionnel, et non par la voie de l</w:t>
      </w:r>
      <w:r w:rsidRPr="00640F03" w:rsidR="00640F03">
        <w:rPr>
          <w:lang w:val="fr-FR"/>
        </w:rPr>
        <w:t>’</w:t>
      </w:r>
      <w:r w:rsidRPr="00640F03" w:rsidR="000B6F69">
        <w:rPr>
          <w:lang w:val="fr-FR"/>
        </w:rPr>
        <w:t>interprétation. Il</w:t>
      </w:r>
      <w:r w:rsidRPr="00640F03" w:rsidR="008733A9">
        <w:rPr>
          <w:lang w:val="fr-FR"/>
        </w:rPr>
        <w:t xml:space="preserve"> e</w:t>
      </w:r>
      <w:r w:rsidRPr="00640F03" w:rsidR="000B6F69">
        <w:rPr>
          <w:lang w:val="fr-FR"/>
        </w:rPr>
        <w:t>s</w:t>
      </w:r>
      <w:r w:rsidRPr="00640F03" w:rsidR="008733A9">
        <w:rPr>
          <w:lang w:val="fr-FR"/>
        </w:rPr>
        <w:t>t</w:t>
      </w:r>
      <w:r w:rsidRPr="00640F03" w:rsidR="000B6F69">
        <w:rPr>
          <w:lang w:val="fr-FR"/>
        </w:rPr>
        <w:t xml:space="preserve"> </w:t>
      </w:r>
      <w:r w:rsidRPr="00640F03" w:rsidR="008733A9">
        <w:rPr>
          <w:lang w:val="fr-FR"/>
        </w:rPr>
        <w:t xml:space="preserve">par ailleurs argué </w:t>
      </w:r>
      <w:r w:rsidRPr="00640F03" w:rsidR="000B6F69">
        <w:rPr>
          <w:lang w:val="fr-FR"/>
        </w:rPr>
        <w:t>que même si la Convention d</w:t>
      </w:r>
      <w:r w:rsidRPr="00640F03" w:rsidR="00640F03">
        <w:rPr>
          <w:lang w:val="fr-FR"/>
        </w:rPr>
        <w:t>’</w:t>
      </w:r>
      <w:r w:rsidRPr="00640F03" w:rsidR="000B6F69">
        <w:rPr>
          <w:lang w:val="fr-FR"/>
        </w:rPr>
        <w:t>Oviedo prétendait conférer une compétence consultative à la Cour, elle n</w:t>
      </w:r>
      <w:r w:rsidRPr="00640F03" w:rsidR="00640F03">
        <w:rPr>
          <w:lang w:val="fr-FR"/>
        </w:rPr>
        <w:t>’</w:t>
      </w:r>
      <w:r w:rsidRPr="00640F03" w:rsidR="000B6F69">
        <w:rPr>
          <w:lang w:val="fr-FR"/>
        </w:rPr>
        <w:t xml:space="preserve">a pas précisé la procédure à suivre, et que cette lacune ne peut être comblée par la simple adaptation du règlement de la Cour. </w:t>
      </w:r>
      <w:r w:rsidRPr="00640F03" w:rsidR="008733A9">
        <w:rPr>
          <w:lang w:val="fr-FR"/>
        </w:rPr>
        <w:t xml:space="preserve">Pour </w:t>
      </w:r>
      <w:r w:rsidRPr="00640F03" w:rsidR="00851821">
        <w:rPr>
          <w:lang w:val="fr-FR"/>
        </w:rPr>
        <w:t>l</w:t>
      </w:r>
      <w:r w:rsidRPr="00640F03" w:rsidR="00640F03">
        <w:rPr>
          <w:lang w:val="fr-FR"/>
        </w:rPr>
        <w:t>’</w:t>
      </w:r>
      <w:r w:rsidRPr="00640F03" w:rsidR="003A066F">
        <w:rPr>
          <w:lang w:val="fr-FR"/>
        </w:rPr>
        <w:t xml:space="preserve">un </w:t>
      </w:r>
      <w:r w:rsidRPr="00640F03" w:rsidR="008733A9">
        <w:rPr>
          <w:lang w:val="fr-FR"/>
        </w:rPr>
        <w:t>de ces gouvernements</w:t>
      </w:r>
      <w:r w:rsidRPr="00640F03" w:rsidR="00851821">
        <w:rPr>
          <w:lang w:val="fr-FR"/>
        </w:rPr>
        <w:t xml:space="preserve"> intervenants</w:t>
      </w:r>
      <w:r w:rsidRPr="00640F03" w:rsidR="008733A9">
        <w:rPr>
          <w:lang w:val="fr-FR"/>
        </w:rPr>
        <w:t>,</w:t>
      </w:r>
      <w:r w:rsidRPr="00640F03" w:rsidR="000B6F69">
        <w:rPr>
          <w:lang w:val="fr-FR"/>
        </w:rPr>
        <w:t xml:space="preserve"> les modalités procédurales auraient dû être énoncées dans la Convention d</w:t>
      </w:r>
      <w:r w:rsidRPr="00640F03" w:rsidR="00640F03">
        <w:rPr>
          <w:lang w:val="fr-FR"/>
        </w:rPr>
        <w:t>’</w:t>
      </w:r>
      <w:r w:rsidRPr="00640F03" w:rsidR="000B6F69">
        <w:rPr>
          <w:lang w:val="fr-FR"/>
        </w:rPr>
        <w:t>Oviedo et ainsi obtenir l</w:t>
      </w:r>
      <w:r w:rsidRPr="00640F03" w:rsidR="00640F03">
        <w:rPr>
          <w:lang w:val="fr-FR"/>
        </w:rPr>
        <w:t>’</w:t>
      </w:r>
      <w:r w:rsidRPr="00640F03" w:rsidR="000B6F69">
        <w:rPr>
          <w:lang w:val="fr-FR"/>
        </w:rPr>
        <w:t>assentiment exprès des États.</w:t>
      </w:r>
    </w:p>
    <w:p w:rsidRPr="00640F03" w:rsidR="00F6518C" w:rsidP="00640F03" w:rsidRDefault="00F6518C" w14:paraId="6F365E77" w14:textId="012C61D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38</w:t>
      </w:r>
      <w:r w:rsidRPr="00640F03">
        <w:rPr>
          <w:lang w:val="fr-FR"/>
        </w:rPr>
        <w:fldChar w:fldCharType="end"/>
      </w:r>
      <w:r w:rsidRPr="00640F03">
        <w:rPr>
          <w:lang w:val="fr-FR"/>
        </w:rPr>
        <w:t>.  </w:t>
      </w:r>
      <w:r w:rsidRPr="00640F03" w:rsidR="000B6F69">
        <w:rPr>
          <w:lang w:val="fr-FR"/>
        </w:rPr>
        <w:t>Un nombre plus important de gouvernements intervenants admet</w:t>
      </w:r>
      <w:r w:rsidRPr="00640F03" w:rsidR="00EC376A">
        <w:rPr>
          <w:lang w:val="fr-FR"/>
        </w:rPr>
        <w:t>tent</w:t>
      </w:r>
      <w:r w:rsidRPr="00640F03" w:rsidR="000B6F69">
        <w:rPr>
          <w:lang w:val="fr-FR"/>
        </w:rPr>
        <w:t xml:space="preserve"> que la Cour a</w:t>
      </w:r>
      <w:r w:rsidRPr="00640F03" w:rsidR="00584A43">
        <w:rPr>
          <w:lang w:val="fr-FR"/>
        </w:rPr>
        <w:t xml:space="preserve"> une</w:t>
      </w:r>
      <w:r w:rsidRPr="00640F03" w:rsidR="000B6F69">
        <w:rPr>
          <w:lang w:val="fr-FR"/>
        </w:rPr>
        <w:t xml:space="preserve"> compétence </w:t>
      </w:r>
      <w:r w:rsidRPr="00640F03" w:rsidR="00584A43">
        <w:rPr>
          <w:lang w:val="fr-FR"/>
        </w:rPr>
        <w:t xml:space="preserve">de principe </w:t>
      </w:r>
      <w:r w:rsidRPr="00640F03" w:rsidR="000B6F69">
        <w:rPr>
          <w:lang w:val="fr-FR"/>
        </w:rPr>
        <w:t>relativement à la Convention d</w:t>
      </w:r>
      <w:r w:rsidRPr="00640F03" w:rsidR="00640F03">
        <w:rPr>
          <w:lang w:val="fr-FR"/>
        </w:rPr>
        <w:t>’</w:t>
      </w:r>
      <w:r w:rsidRPr="00640F03" w:rsidR="000B6F69">
        <w:rPr>
          <w:lang w:val="fr-FR"/>
        </w:rPr>
        <w:t xml:space="preserve">Oviedo. Telle est la position des gouvernements </w:t>
      </w:r>
      <w:r w:rsidRPr="00640F03" w:rsidR="00EC376A">
        <w:rPr>
          <w:lang w:val="fr-FR"/>
        </w:rPr>
        <w:t>de l</w:t>
      </w:r>
      <w:r w:rsidRPr="00640F03" w:rsidR="00640F03">
        <w:rPr>
          <w:lang w:val="fr-FR"/>
        </w:rPr>
        <w:t>’</w:t>
      </w:r>
      <w:r w:rsidRPr="00640F03" w:rsidR="00EC376A">
        <w:rPr>
          <w:lang w:val="fr-FR"/>
        </w:rPr>
        <w:t>Estonie, de la Finlande, de la France, de l</w:t>
      </w:r>
      <w:r w:rsidRPr="00640F03" w:rsidR="00640F03">
        <w:rPr>
          <w:lang w:val="fr-FR"/>
        </w:rPr>
        <w:t>’</w:t>
      </w:r>
      <w:r w:rsidRPr="00640F03" w:rsidR="00EC376A">
        <w:rPr>
          <w:lang w:val="fr-FR"/>
        </w:rPr>
        <w:t>Italie, de la Lettonie</w:t>
      </w:r>
      <w:r w:rsidRPr="00640F03" w:rsidR="000B6F69">
        <w:rPr>
          <w:lang w:val="fr-FR"/>
        </w:rPr>
        <w:t xml:space="preserve">, </w:t>
      </w:r>
      <w:r w:rsidRPr="00640F03" w:rsidR="00EC376A">
        <w:rPr>
          <w:lang w:val="fr-FR"/>
        </w:rPr>
        <w:t>du L</w:t>
      </w:r>
      <w:r w:rsidRPr="00640F03" w:rsidR="000B6F69">
        <w:rPr>
          <w:lang w:val="fr-FR"/>
        </w:rPr>
        <w:t xml:space="preserve">uxembourg, </w:t>
      </w:r>
      <w:r w:rsidRPr="00640F03" w:rsidR="00EC376A">
        <w:rPr>
          <w:lang w:val="fr-FR"/>
        </w:rPr>
        <w:t>des Pays</w:t>
      </w:r>
      <w:r w:rsidRPr="00640F03" w:rsidR="000709BA">
        <w:rPr>
          <w:lang w:val="fr-FR"/>
        </w:rPr>
        <w:noBreakHyphen/>
      </w:r>
      <w:r w:rsidRPr="00640F03" w:rsidR="00EC376A">
        <w:rPr>
          <w:lang w:val="fr-FR"/>
        </w:rPr>
        <w:t>Bas</w:t>
      </w:r>
      <w:r w:rsidRPr="00640F03" w:rsidR="000B6F69">
        <w:rPr>
          <w:lang w:val="fr-FR"/>
        </w:rPr>
        <w:t xml:space="preserve">, </w:t>
      </w:r>
      <w:r w:rsidRPr="00640F03" w:rsidR="00EC376A">
        <w:rPr>
          <w:lang w:val="fr-FR"/>
        </w:rPr>
        <w:t>de la Norvège</w:t>
      </w:r>
      <w:r w:rsidRPr="00640F03" w:rsidR="000B6F69">
        <w:rPr>
          <w:lang w:val="fr-FR"/>
        </w:rPr>
        <w:t xml:space="preserve">, </w:t>
      </w:r>
      <w:r w:rsidRPr="00640F03" w:rsidR="00EC376A">
        <w:rPr>
          <w:lang w:val="fr-FR"/>
        </w:rPr>
        <w:t>du Portugal</w:t>
      </w:r>
      <w:r w:rsidRPr="00640F03" w:rsidR="000B6F69">
        <w:rPr>
          <w:lang w:val="fr-FR"/>
        </w:rPr>
        <w:t xml:space="preserve">, </w:t>
      </w:r>
      <w:r w:rsidRPr="00640F03" w:rsidR="00EC376A">
        <w:rPr>
          <w:lang w:val="fr-FR"/>
        </w:rPr>
        <w:t>de la Roumanie</w:t>
      </w:r>
      <w:r w:rsidRPr="00640F03" w:rsidR="000B6F69">
        <w:rPr>
          <w:lang w:val="fr-FR"/>
        </w:rPr>
        <w:t xml:space="preserve">, </w:t>
      </w:r>
      <w:r w:rsidRPr="00640F03" w:rsidR="00EC376A">
        <w:rPr>
          <w:lang w:val="fr-FR"/>
        </w:rPr>
        <w:t xml:space="preserve">de la </w:t>
      </w:r>
      <w:r w:rsidRPr="00640F03" w:rsidR="004A0AE8">
        <w:rPr>
          <w:lang w:val="fr-FR"/>
        </w:rPr>
        <w:t>République t</w:t>
      </w:r>
      <w:r w:rsidRPr="00640F03" w:rsidR="00EC376A">
        <w:rPr>
          <w:lang w:val="fr-FR"/>
        </w:rPr>
        <w:t>ch</w:t>
      </w:r>
      <w:r w:rsidRPr="00640F03" w:rsidR="004A0AE8">
        <w:rPr>
          <w:lang w:val="fr-FR"/>
        </w:rPr>
        <w:t>è</w:t>
      </w:r>
      <w:r w:rsidRPr="00640F03" w:rsidR="00EC376A">
        <w:rPr>
          <w:lang w:val="fr-FR"/>
        </w:rPr>
        <w:t>que</w:t>
      </w:r>
      <w:r w:rsidRPr="00640F03" w:rsidR="000B6F69">
        <w:rPr>
          <w:lang w:val="fr-FR"/>
        </w:rPr>
        <w:t xml:space="preserve"> et </w:t>
      </w:r>
      <w:r w:rsidRPr="00640F03" w:rsidR="00EC376A">
        <w:rPr>
          <w:lang w:val="fr-FR"/>
        </w:rPr>
        <w:t>de l</w:t>
      </w:r>
      <w:r w:rsidRPr="00640F03" w:rsidR="00640F03">
        <w:rPr>
          <w:lang w:val="fr-FR"/>
        </w:rPr>
        <w:t>’</w:t>
      </w:r>
      <w:r w:rsidRPr="00640F03" w:rsidR="00EC376A">
        <w:rPr>
          <w:lang w:val="fr-FR"/>
        </w:rPr>
        <w:t>Ukraine</w:t>
      </w:r>
      <w:r w:rsidRPr="00640F03" w:rsidR="000B6F69">
        <w:rPr>
          <w:lang w:val="fr-FR"/>
        </w:rPr>
        <w:t xml:space="preserve"> (huit de ces douze États étant </w:t>
      </w:r>
      <w:r w:rsidRPr="00640F03" w:rsidR="006E1B9D">
        <w:rPr>
          <w:lang w:val="fr-FR"/>
        </w:rPr>
        <w:t>P</w:t>
      </w:r>
      <w:r w:rsidRPr="00640F03" w:rsidR="000B6F69">
        <w:rPr>
          <w:lang w:val="fr-FR"/>
        </w:rPr>
        <w:t>artie</w:t>
      </w:r>
      <w:r w:rsidRPr="00640F03" w:rsidR="006E1B9D">
        <w:rPr>
          <w:lang w:val="fr-FR"/>
        </w:rPr>
        <w:t>s</w:t>
      </w:r>
      <w:r w:rsidRPr="00640F03" w:rsidR="000B6F69">
        <w:rPr>
          <w:lang w:val="fr-FR"/>
        </w:rPr>
        <w:t xml:space="preserve"> à la Convention d</w:t>
      </w:r>
      <w:r w:rsidRPr="00640F03" w:rsidR="00640F03">
        <w:rPr>
          <w:lang w:val="fr-FR"/>
        </w:rPr>
        <w:t>’</w:t>
      </w:r>
      <w:r w:rsidRPr="00640F03" w:rsidR="000B6F69">
        <w:rPr>
          <w:lang w:val="fr-FR"/>
        </w:rPr>
        <w:t>Oviedo). Pour le gouvernement lituanien, la question relève du pouvoir d</w:t>
      </w:r>
      <w:r w:rsidRPr="00640F03" w:rsidR="00640F03">
        <w:rPr>
          <w:lang w:val="fr-FR"/>
        </w:rPr>
        <w:t>’</w:t>
      </w:r>
      <w:r w:rsidRPr="00640F03" w:rsidR="000B6F69">
        <w:rPr>
          <w:lang w:val="fr-FR"/>
        </w:rPr>
        <w:t xml:space="preserve">appréciation de la Cour. Les observations produites peuvent être résumées comme suit. </w:t>
      </w:r>
      <w:r w:rsidRPr="00640F03" w:rsidR="00E14118">
        <w:rPr>
          <w:lang w:val="fr-FR"/>
        </w:rPr>
        <w:t>Il est plaidé</w:t>
      </w:r>
      <w:r w:rsidRPr="00640F03" w:rsidR="000B6F69">
        <w:rPr>
          <w:lang w:val="fr-FR"/>
        </w:rPr>
        <w:t xml:space="preserve"> que les dispositions pertinentes de la Convention, citées ci-dessus, doivent être considérées comme régissant la compétence de la Cour relativement à la Convention et à ses </w:t>
      </w:r>
      <w:r w:rsidRPr="00640F03" w:rsidR="00EE08C4">
        <w:rPr>
          <w:lang w:val="fr-FR"/>
        </w:rPr>
        <w:t>P</w:t>
      </w:r>
      <w:r w:rsidRPr="00640F03" w:rsidR="000B6F69">
        <w:rPr>
          <w:lang w:val="fr-FR"/>
        </w:rPr>
        <w:t>rotocoles uniquement mais n</w:t>
      </w:r>
      <w:r w:rsidRPr="00640F03" w:rsidR="00640F03">
        <w:rPr>
          <w:lang w:val="fr-FR"/>
        </w:rPr>
        <w:t>’</w:t>
      </w:r>
      <w:r w:rsidRPr="00640F03" w:rsidR="000B6F69">
        <w:rPr>
          <w:lang w:val="fr-FR"/>
        </w:rPr>
        <w:t>excluent pas que la Cour puisse se voir attribuer une fonction distincte par un autre traité conclu au sein du Conseil de l</w:t>
      </w:r>
      <w:r w:rsidRPr="00640F03" w:rsidR="00640F03">
        <w:rPr>
          <w:lang w:val="fr-FR"/>
        </w:rPr>
        <w:t>’</w:t>
      </w:r>
      <w:r w:rsidRPr="00640F03" w:rsidR="000B6F69">
        <w:rPr>
          <w:lang w:val="fr-FR"/>
        </w:rPr>
        <w:t>Europe, en particulier un traité aussi étroitement lié à la Convention que l</w:t>
      </w:r>
      <w:r w:rsidRPr="00640F03" w:rsidR="00640F03">
        <w:rPr>
          <w:lang w:val="fr-FR"/>
        </w:rPr>
        <w:t>’</w:t>
      </w:r>
      <w:r w:rsidRPr="00640F03" w:rsidR="000B6F69">
        <w:rPr>
          <w:lang w:val="fr-FR"/>
        </w:rPr>
        <w:t>est la Convention d</w:t>
      </w:r>
      <w:r w:rsidRPr="00640F03" w:rsidR="00640F03">
        <w:rPr>
          <w:lang w:val="fr-FR"/>
        </w:rPr>
        <w:t>’</w:t>
      </w:r>
      <w:r w:rsidRPr="00640F03" w:rsidR="000B6F69">
        <w:rPr>
          <w:lang w:val="fr-FR"/>
        </w:rPr>
        <w:t>Oviedo, à laquelle la Cour elle-même s</w:t>
      </w:r>
      <w:r w:rsidRPr="00640F03" w:rsidR="00640F03">
        <w:rPr>
          <w:lang w:val="fr-FR"/>
        </w:rPr>
        <w:t>’</w:t>
      </w:r>
      <w:r w:rsidRPr="00640F03" w:rsidR="000B6F69">
        <w:rPr>
          <w:lang w:val="fr-FR"/>
        </w:rPr>
        <w:t>est déjà référée dans plusieurs de ses arrêts. Il</w:t>
      </w:r>
      <w:r w:rsidRPr="00640F03" w:rsidR="005E47A4">
        <w:rPr>
          <w:lang w:val="fr-FR"/>
        </w:rPr>
        <w:t xml:space="preserve"> e</w:t>
      </w:r>
      <w:r w:rsidRPr="00640F03" w:rsidR="000B6F69">
        <w:rPr>
          <w:lang w:val="fr-FR"/>
        </w:rPr>
        <w:t>s</w:t>
      </w:r>
      <w:r w:rsidRPr="00640F03" w:rsidR="005E47A4">
        <w:rPr>
          <w:lang w:val="fr-FR"/>
        </w:rPr>
        <w:t>t</w:t>
      </w:r>
      <w:r w:rsidRPr="00640F03" w:rsidR="000B6F69">
        <w:rPr>
          <w:lang w:val="fr-FR"/>
        </w:rPr>
        <w:t xml:space="preserve"> </w:t>
      </w:r>
      <w:r w:rsidRPr="00640F03" w:rsidR="005E47A4">
        <w:rPr>
          <w:lang w:val="fr-FR"/>
        </w:rPr>
        <w:t xml:space="preserve">argué </w:t>
      </w:r>
      <w:r w:rsidRPr="00640F03" w:rsidR="000B6F69">
        <w:rPr>
          <w:lang w:val="fr-FR"/>
        </w:rPr>
        <w:t>que l</w:t>
      </w:r>
      <w:r w:rsidRPr="00640F03" w:rsidR="00640F03">
        <w:rPr>
          <w:lang w:val="fr-FR"/>
        </w:rPr>
        <w:t>’</w:t>
      </w:r>
      <w:r w:rsidRPr="00640F03" w:rsidR="000B6F69">
        <w:rPr>
          <w:lang w:val="fr-FR"/>
        </w:rPr>
        <w:t>article</w:t>
      </w:r>
      <w:r w:rsidRPr="00640F03" w:rsidR="006F1BFE">
        <w:rPr>
          <w:lang w:val="fr-FR"/>
        </w:rPr>
        <w:t> </w:t>
      </w:r>
      <w:r w:rsidRPr="00640F03" w:rsidR="000B6F69">
        <w:rPr>
          <w:lang w:val="fr-FR"/>
        </w:rPr>
        <w:t>29 exprime l</w:t>
      </w:r>
      <w:r w:rsidRPr="00640F03" w:rsidR="00640F03">
        <w:rPr>
          <w:lang w:val="fr-FR"/>
        </w:rPr>
        <w:t>’</w:t>
      </w:r>
      <w:r w:rsidRPr="00640F03" w:rsidR="000B6F69">
        <w:rPr>
          <w:lang w:val="fr-FR"/>
        </w:rPr>
        <w:t>intention des rédacteurs de la Convention d</w:t>
      </w:r>
      <w:r w:rsidRPr="00640F03" w:rsidR="00640F03">
        <w:rPr>
          <w:lang w:val="fr-FR"/>
        </w:rPr>
        <w:t>’</w:t>
      </w:r>
      <w:r w:rsidRPr="00640F03" w:rsidR="000B6F69">
        <w:rPr>
          <w:lang w:val="fr-FR"/>
        </w:rPr>
        <w:t>Oviedo de confier à la Cour la tâche d</w:t>
      </w:r>
      <w:r w:rsidRPr="00640F03" w:rsidR="00640F03">
        <w:rPr>
          <w:lang w:val="fr-FR"/>
        </w:rPr>
        <w:t>’</w:t>
      </w:r>
      <w:r w:rsidRPr="00640F03" w:rsidR="000B6F69">
        <w:rPr>
          <w:lang w:val="fr-FR"/>
        </w:rPr>
        <w:t>interpréter ce texte pour de bonnes raisons qui ressortent clairement de la genèse de cette disposition. Il</w:t>
      </w:r>
      <w:r w:rsidRPr="00640F03" w:rsidR="005E47A4">
        <w:rPr>
          <w:lang w:val="fr-FR"/>
        </w:rPr>
        <w:t xml:space="preserve"> est</w:t>
      </w:r>
      <w:r w:rsidRPr="00640F03" w:rsidR="000B6F69">
        <w:rPr>
          <w:lang w:val="fr-FR"/>
        </w:rPr>
        <w:t xml:space="preserve"> </w:t>
      </w:r>
      <w:r w:rsidRPr="00640F03" w:rsidR="005E47A4">
        <w:rPr>
          <w:lang w:val="fr-FR"/>
        </w:rPr>
        <w:t xml:space="preserve">relevé </w:t>
      </w:r>
      <w:r w:rsidRPr="00640F03" w:rsidR="000B6F69">
        <w:rPr>
          <w:lang w:val="fr-FR"/>
        </w:rPr>
        <w:t>que la Cour s</w:t>
      </w:r>
      <w:r w:rsidRPr="00640F03" w:rsidR="00640F03">
        <w:rPr>
          <w:lang w:val="fr-FR"/>
        </w:rPr>
        <w:t>’</w:t>
      </w:r>
      <w:r w:rsidRPr="00640F03" w:rsidR="000B6F69">
        <w:rPr>
          <w:lang w:val="fr-FR"/>
        </w:rPr>
        <w:t>est elle-même déclarée favorable à l</w:t>
      </w:r>
      <w:r w:rsidRPr="00640F03" w:rsidR="00640F03">
        <w:rPr>
          <w:lang w:val="fr-FR"/>
        </w:rPr>
        <w:t>’</w:t>
      </w:r>
      <w:r w:rsidRPr="00640F03" w:rsidR="000B6F69">
        <w:rPr>
          <w:lang w:val="fr-FR"/>
        </w:rPr>
        <w:t>exercice d</w:t>
      </w:r>
      <w:r w:rsidRPr="00640F03" w:rsidR="00640F03">
        <w:rPr>
          <w:lang w:val="fr-FR"/>
        </w:rPr>
        <w:t>’</w:t>
      </w:r>
      <w:r w:rsidRPr="00640F03" w:rsidR="000B6F69">
        <w:rPr>
          <w:lang w:val="fr-FR"/>
        </w:rPr>
        <w:t>une telle fonction et que l</w:t>
      </w:r>
      <w:r w:rsidRPr="00640F03" w:rsidR="00640F03">
        <w:rPr>
          <w:lang w:val="fr-FR"/>
        </w:rPr>
        <w:t>’</w:t>
      </w:r>
      <w:r w:rsidRPr="00640F03" w:rsidR="000B6F69">
        <w:rPr>
          <w:lang w:val="fr-FR"/>
        </w:rPr>
        <w:t>Assemblée parlementaire a également souhaité en 1995 que la Cour joue un rôle dans ce contexte. Il</w:t>
      </w:r>
      <w:r w:rsidRPr="00640F03" w:rsidR="005E47A4">
        <w:rPr>
          <w:lang w:val="fr-FR"/>
        </w:rPr>
        <w:t xml:space="preserve"> e</w:t>
      </w:r>
      <w:r w:rsidRPr="00640F03" w:rsidR="000B6F69">
        <w:rPr>
          <w:lang w:val="fr-FR"/>
        </w:rPr>
        <w:t>s</w:t>
      </w:r>
      <w:r w:rsidRPr="00640F03" w:rsidR="005E47A4">
        <w:rPr>
          <w:lang w:val="fr-FR"/>
        </w:rPr>
        <w:t>t</w:t>
      </w:r>
      <w:r w:rsidRPr="00640F03" w:rsidR="000B6F69">
        <w:rPr>
          <w:lang w:val="fr-FR"/>
        </w:rPr>
        <w:t xml:space="preserve">, en effet, </w:t>
      </w:r>
      <w:r w:rsidRPr="00640F03" w:rsidR="005E47A4">
        <w:rPr>
          <w:lang w:val="fr-FR"/>
        </w:rPr>
        <w:t xml:space="preserve">observé </w:t>
      </w:r>
      <w:r w:rsidRPr="00640F03" w:rsidR="000B6F69">
        <w:rPr>
          <w:lang w:val="fr-FR"/>
        </w:rPr>
        <w:t>qu</w:t>
      </w:r>
      <w:r w:rsidRPr="00640F03" w:rsidR="00640F03">
        <w:rPr>
          <w:lang w:val="fr-FR"/>
        </w:rPr>
        <w:t>’</w:t>
      </w:r>
      <w:r w:rsidRPr="00640F03" w:rsidR="000B6F69">
        <w:rPr>
          <w:lang w:val="fr-FR"/>
        </w:rPr>
        <w:t>au cours de la négociation de la Convention d</w:t>
      </w:r>
      <w:r w:rsidRPr="00640F03" w:rsidR="00640F03">
        <w:rPr>
          <w:lang w:val="fr-FR"/>
        </w:rPr>
        <w:t>’</w:t>
      </w:r>
      <w:r w:rsidRPr="00640F03" w:rsidR="000B6F69">
        <w:rPr>
          <w:lang w:val="fr-FR"/>
        </w:rPr>
        <w:t>Oviedo, l</w:t>
      </w:r>
      <w:r w:rsidRPr="00640F03" w:rsidR="00640F03">
        <w:rPr>
          <w:lang w:val="fr-FR"/>
        </w:rPr>
        <w:t>’</w:t>
      </w:r>
      <w:r w:rsidRPr="00640F03" w:rsidR="000B6F69">
        <w:rPr>
          <w:lang w:val="fr-FR"/>
        </w:rPr>
        <w:t>article</w:t>
      </w:r>
      <w:r w:rsidRPr="00640F03" w:rsidR="00676DA3">
        <w:rPr>
          <w:lang w:val="fr-FR"/>
        </w:rPr>
        <w:t> </w:t>
      </w:r>
      <w:r w:rsidRPr="00640F03" w:rsidR="000B6F69">
        <w:rPr>
          <w:lang w:val="fr-FR"/>
        </w:rPr>
        <w:t>29 de ce texte a bénéficié d</w:t>
      </w:r>
      <w:r w:rsidRPr="00640F03" w:rsidR="00640F03">
        <w:rPr>
          <w:lang w:val="fr-FR"/>
        </w:rPr>
        <w:t>’</w:t>
      </w:r>
      <w:r w:rsidRPr="00640F03" w:rsidR="000B6F69">
        <w:rPr>
          <w:lang w:val="fr-FR"/>
        </w:rPr>
        <w:t>un large soutien et que l</w:t>
      </w:r>
      <w:r w:rsidRPr="00640F03" w:rsidR="00640F03">
        <w:rPr>
          <w:lang w:val="fr-FR"/>
        </w:rPr>
        <w:t>’</w:t>
      </w:r>
      <w:r w:rsidRPr="00640F03" w:rsidR="000B6F69">
        <w:rPr>
          <w:lang w:val="fr-FR"/>
        </w:rPr>
        <w:t>adoption du texte définitif par le Comité des Ministres indique clairement que les États membres du Conseil de l</w:t>
      </w:r>
      <w:r w:rsidRPr="00640F03" w:rsidR="00640F03">
        <w:rPr>
          <w:lang w:val="fr-FR"/>
        </w:rPr>
        <w:t>’</w:t>
      </w:r>
      <w:r w:rsidRPr="00640F03" w:rsidR="000B6F69">
        <w:rPr>
          <w:lang w:val="fr-FR"/>
        </w:rPr>
        <w:t>Europe dans leur ensemble, c</w:t>
      </w:r>
      <w:r w:rsidRPr="00640F03" w:rsidR="00640F03">
        <w:rPr>
          <w:lang w:val="fr-FR"/>
        </w:rPr>
        <w:t>’</w:t>
      </w:r>
      <w:r w:rsidRPr="00640F03" w:rsidR="000B6F69">
        <w:rPr>
          <w:lang w:val="fr-FR"/>
        </w:rPr>
        <w:t>est</w:t>
      </w:r>
      <w:r w:rsidRPr="00640F03" w:rsidR="000B6F69">
        <w:rPr>
          <w:lang w:val="fr-FR"/>
        </w:rPr>
        <w:noBreakHyphen/>
        <w:t>à</w:t>
      </w:r>
      <w:r w:rsidRPr="00640F03" w:rsidR="000B6F69">
        <w:rPr>
          <w:lang w:val="fr-FR"/>
        </w:rPr>
        <w:noBreakHyphen/>
        <w:t>dire toutes les Parties contractantes à la Convention, ont accepté cette fonction supplémentaire de la Cour. Il</w:t>
      </w:r>
      <w:r w:rsidRPr="00640F03" w:rsidR="005E47A4">
        <w:rPr>
          <w:lang w:val="fr-FR"/>
        </w:rPr>
        <w:t xml:space="preserve"> e</w:t>
      </w:r>
      <w:r w:rsidRPr="00640F03" w:rsidR="000B6F69">
        <w:rPr>
          <w:lang w:val="fr-FR"/>
        </w:rPr>
        <w:t>s</w:t>
      </w:r>
      <w:r w:rsidRPr="00640F03" w:rsidR="005E47A4">
        <w:rPr>
          <w:lang w:val="fr-FR"/>
        </w:rPr>
        <w:t>t</w:t>
      </w:r>
      <w:r w:rsidRPr="00640F03" w:rsidR="000B6F69">
        <w:rPr>
          <w:lang w:val="fr-FR"/>
        </w:rPr>
        <w:t xml:space="preserve"> </w:t>
      </w:r>
      <w:r w:rsidRPr="00640F03" w:rsidR="005E47A4">
        <w:rPr>
          <w:lang w:val="fr-FR"/>
        </w:rPr>
        <w:t xml:space="preserve">précisé </w:t>
      </w:r>
      <w:r w:rsidRPr="00640F03" w:rsidR="000B6F69">
        <w:rPr>
          <w:lang w:val="fr-FR"/>
        </w:rPr>
        <w:t>qu</w:t>
      </w:r>
      <w:r w:rsidRPr="00640F03" w:rsidR="00640F03">
        <w:rPr>
          <w:lang w:val="fr-FR"/>
        </w:rPr>
        <w:t>’</w:t>
      </w:r>
      <w:r w:rsidRPr="00640F03" w:rsidR="000B6F69">
        <w:rPr>
          <w:lang w:val="fr-FR"/>
        </w:rPr>
        <w:t>en ratifiant la Convention d</w:t>
      </w:r>
      <w:r w:rsidRPr="00640F03" w:rsidR="00640F03">
        <w:rPr>
          <w:lang w:val="fr-FR"/>
        </w:rPr>
        <w:t>’</w:t>
      </w:r>
      <w:r w:rsidRPr="00640F03" w:rsidR="000B6F69">
        <w:rPr>
          <w:lang w:val="fr-FR"/>
        </w:rPr>
        <w:t>Oviedo, vingt-neuf des États membres du Conseil de l</w:t>
      </w:r>
      <w:r w:rsidRPr="00640F03" w:rsidR="00640F03">
        <w:rPr>
          <w:lang w:val="fr-FR"/>
        </w:rPr>
        <w:t>’</w:t>
      </w:r>
      <w:r w:rsidRPr="00640F03" w:rsidR="000B6F69">
        <w:rPr>
          <w:lang w:val="fr-FR"/>
        </w:rPr>
        <w:t>Europe ont formellement accepté la compétence interprétative de la Cour au titre de l</w:t>
      </w:r>
      <w:r w:rsidRPr="00640F03" w:rsidR="00640F03">
        <w:rPr>
          <w:lang w:val="fr-FR"/>
        </w:rPr>
        <w:t>’</w:t>
      </w:r>
      <w:r w:rsidRPr="00640F03" w:rsidR="000B6F69">
        <w:rPr>
          <w:lang w:val="fr-FR"/>
        </w:rPr>
        <w:t>article</w:t>
      </w:r>
      <w:r w:rsidRPr="00640F03" w:rsidR="006F1BFE">
        <w:rPr>
          <w:lang w:val="fr-FR"/>
        </w:rPr>
        <w:t> </w:t>
      </w:r>
      <w:r w:rsidRPr="00640F03" w:rsidR="000B6F69">
        <w:rPr>
          <w:lang w:val="fr-FR"/>
        </w:rPr>
        <w:t>29 de ce traité, et ce sans aucun effet sur la situation des autres Parties contractantes à la Convention ni sur les dispositions de la Convention, la Cour ne s</w:t>
      </w:r>
      <w:r w:rsidRPr="00640F03" w:rsidR="00640F03">
        <w:rPr>
          <w:lang w:val="fr-FR"/>
        </w:rPr>
        <w:t>’</w:t>
      </w:r>
      <w:r w:rsidRPr="00640F03" w:rsidR="000B6F69">
        <w:rPr>
          <w:lang w:val="fr-FR"/>
        </w:rPr>
        <w:t>étant vu attribuer aucune compétence contentieuse au titre de la Convention d</w:t>
      </w:r>
      <w:r w:rsidRPr="00640F03" w:rsidR="00640F03">
        <w:rPr>
          <w:lang w:val="fr-FR"/>
        </w:rPr>
        <w:t>’</w:t>
      </w:r>
      <w:r w:rsidRPr="00640F03" w:rsidR="000B6F69">
        <w:rPr>
          <w:lang w:val="fr-FR"/>
        </w:rPr>
        <w:t xml:space="preserve">Oviedo. </w:t>
      </w:r>
      <w:r w:rsidRPr="00640F03" w:rsidR="005E47A4">
        <w:rPr>
          <w:lang w:val="fr-FR"/>
        </w:rPr>
        <w:t xml:space="preserve">Certains gouvernements intervenants </w:t>
      </w:r>
      <w:r w:rsidRPr="00640F03" w:rsidR="000B6F69">
        <w:rPr>
          <w:lang w:val="fr-FR"/>
        </w:rPr>
        <w:t>soutiennent que l</w:t>
      </w:r>
      <w:r w:rsidRPr="00640F03" w:rsidR="00640F03">
        <w:rPr>
          <w:lang w:val="fr-FR"/>
        </w:rPr>
        <w:t>’</w:t>
      </w:r>
      <w:r w:rsidRPr="00640F03" w:rsidR="000B6F69">
        <w:rPr>
          <w:lang w:val="fr-FR"/>
        </w:rPr>
        <w:t>article</w:t>
      </w:r>
      <w:r w:rsidRPr="00640F03" w:rsidR="00FE7DB4">
        <w:rPr>
          <w:lang w:val="fr-FR"/>
        </w:rPr>
        <w:t> </w:t>
      </w:r>
      <w:r w:rsidRPr="00640F03" w:rsidR="000B6F69">
        <w:rPr>
          <w:lang w:val="fr-FR"/>
        </w:rPr>
        <w:t>29 doit être considéré comme une règle pertinente de droit international au sens de l</w:t>
      </w:r>
      <w:r w:rsidRPr="00640F03" w:rsidR="00640F03">
        <w:rPr>
          <w:lang w:val="fr-FR"/>
        </w:rPr>
        <w:t>’</w:t>
      </w:r>
      <w:r w:rsidRPr="00640F03" w:rsidR="000B6F69">
        <w:rPr>
          <w:lang w:val="fr-FR"/>
        </w:rPr>
        <w:t>article</w:t>
      </w:r>
      <w:r w:rsidRPr="00640F03" w:rsidR="00FE7DB4">
        <w:rPr>
          <w:lang w:val="fr-FR"/>
        </w:rPr>
        <w:t> </w:t>
      </w:r>
      <w:r w:rsidRPr="00640F03" w:rsidR="000B6F69">
        <w:rPr>
          <w:lang w:val="fr-FR"/>
        </w:rPr>
        <w:t>31 §</w:t>
      </w:r>
      <w:r w:rsidRPr="00640F03" w:rsidR="00FE7DB4">
        <w:rPr>
          <w:lang w:val="fr-FR"/>
        </w:rPr>
        <w:t> </w:t>
      </w:r>
      <w:r w:rsidRPr="00640F03" w:rsidR="000B6F69">
        <w:rPr>
          <w:lang w:val="fr-FR"/>
        </w:rPr>
        <w:t>3</w:t>
      </w:r>
      <w:r w:rsidRPr="00640F03" w:rsidR="00FE7DB4">
        <w:rPr>
          <w:lang w:val="fr-FR"/>
        </w:rPr>
        <w:t> </w:t>
      </w:r>
      <w:r w:rsidRPr="00640F03" w:rsidR="000B6F69">
        <w:rPr>
          <w:lang w:val="fr-FR"/>
        </w:rPr>
        <w:t>c) de la Convention de Vienne</w:t>
      </w:r>
      <w:r w:rsidRPr="00640F03" w:rsidR="00851821">
        <w:rPr>
          <w:lang w:val="fr-FR"/>
        </w:rPr>
        <w:t>. L</w:t>
      </w:r>
      <w:r w:rsidRPr="00640F03" w:rsidR="00640F03">
        <w:rPr>
          <w:lang w:val="fr-FR"/>
        </w:rPr>
        <w:t>’</w:t>
      </w:r>
      <w:r w:rsidRPr="00640F03" w:rsidR="00851821">
        <w:rPr>
          <w:lang w:val="fr-FR"/>
        </w:rPr>
        <w:t>un d</w:t>
      </w:r>
      <w:r w:rsidRPr="00640F03" w:rsidR="00640F03">
        <w:rPr>
          <w:lang w:val="fr-FR"/>
        </w:rPr>
        <w:t>’</w:t>
      </w:r>
      <w:r w:rsidRPr="00640F03" w:rsidR="00851821">
        <w:rPr>
          <w:lang w:val="fr-FR"/>
        </w:rPr>
        <w:t>entre eux fait</w:t>
      </w:r>
      <w:r w:rsidRPr="00640F03" w:rsidR="000B6F69">
        <w:rPr>
          <w:lang w:val="fr-FR"/>
        </w:rPr>
        <w:t xml:space="preserve"> par ailleurs valoir que la relation entre les deux conventions à cet égard est régie par l</w:t>
      </w:r>
      <w:r w:rsidRPr="00640F03" w:rsidR="00640F03">
        <w:rPr>
          <w:lang w:val="fr-FR"/>
        </w:rPr>
        <w:t>’</w:t>
      </w:r>
      <w:r w:rsidRPr="00640F03" w:rsidR="000B6F69">
        <w:rPr>
          <w:lang w:val="fr-FR"/>
        </w:rPr>
        <w:t>article 30 de la Convention de Vienne, qui concerne l</w:t>
      </w:r>
      <w:r w:rsidRPr="00640F03" w:rsidR="00640F03">
        <w:rPr>
          <w:lang w:val="fr-FR"/>
        </w:rPr>
        <w:t>’</w:t>
      </w:r>
      <w:r w:rsidRPr="00640F03" w:rsidR="000B6F69">
        <w:rPr>
          <w:lang w:val="fr-FR"/>
        </w:rPr>
        <w:t xml:space="preserve">application de traités successifs portant sur la même matière, compte tenu du lien matériel étroit qui existe entre elles. </w:t>
      </w:r>
      <w:r w:rsidRPr="00640F03" w:rsidR="005E47A4">
        <w:rPr>
          <w:lang w:val="fr-FR"/>
        </w:rPr>
        <w:t xml:space="preserve">On pourrait </w:t>
      </w:r>
      <w:r w:rsidRPr="00640F03" w:rsidR="00851821">
        <w:rPr>
          <w:lang w:val="fr-FR"/>
        </w:rPr>
        <w:t>ainsi</w:t>
      </w:r>
      <w:r w:rsidRPr="00640F03" w:rsidR="00BD0EFA">
        <w:rPr>
          <w:lang w:val="fr-FR"/>
        </w:rPr>
        <w:t xml:space="preserve"> </w:t>
      </w:r>
      <w:r w:rsidRPr="00640F03" w:rsidR="005E47A4">
        <w:rPr>
          <w:lang w:val="fr-FR"/>
        </w:rPr>
        <w:t>en déduire</w:t>
      </w:r>
      <w:r w:rsidRPr="00640F03" w:rsidR="000B6F69">
        <w:rPr>
          <w:lang w:val="fr-FR"/>
        </w:rPr>
        <w:t xml:space="preserve"> que les limites strictes qui s</w:t>
      </w:r>
      <w:r w:rsidRPr="00640F03" w:rsidR="00640F03">
        <w:rPr>
          <w:lang w:val="fr-FR"/>
        </w:rPr>
        <w:t>’</w:t>
      </w:r>
      <w:r w:rsidRPr="00640F03" w:rsidR="000B6F69">
        <w:rPr>
          <w:lang w:val="fr-FR"/>
        </w:rPr>
        <w:t>appliquent à la compétence consultative de la Cour au titre de l</w:t>
      </w:r>
      <w:r w:rsidRPr="00640F03" w:rsidR="00640F03">
        <w:rPr>
          <w:lang w:val="fr-FR"/>
        </w:rPr>
        <w:t>’</w:t>
      </w:r>
      <w:r w:rsidRPr="00640F03" w:rsidR="000B6F69">
        <w:rPr>
          <w:lang w:val="fr-FR"/>
        </w:rPr>
        <w:t>article</w:t>
      </w:r>
      <w:r w:rsidRPr="00640F03" w:rsidR="00D92A54">
        <w:rPr>
          <w:lang w:val="fr-FR"/>
        </w:rPr>
        <w:t> </w:t>
      </w:r>
      <w:r w:rsidRPr="00640F03" w:rsidR="000B6F69">
        <w:rPr>
          <w:lang w:val="fr-FR"/>
        </w:rPr>
        <w:t>47 de la Convention, et qui sont clairement justifiées dans ce contexte, ne doivent pas s</w:t>
      </w:r>
      <w:r w:rsidRPr="00640F03" w:rsidR="00640F03">
        <w:rPr>
          <w:lang w:val="fr-FR"/>
        </w:rPr>
        <w:t>’</w:t>
      </w:r>
      <w:r w:rsidRPr="00640F03" w:rsidR="000B6F69">
        <w:rPr>
          <w:lang w:val="fr-FR"/>
        </w:rPr>
        <w:t>appliquer à l</w:t>
      </w:r>
      <w:r w:rsidRPr="00640F03" w:rsidR="00640F03">
        <w:rPr>
          <w:lang w:val="fr-FR"/>
        </w:rPr>
        <w:t>’</w:t>
      </w:r>
      <w:r w:rsidRPr="00640F03" w:rsidR="000B6F69">
        <w:rPr>
          <w:lang w:val="fr-FR"/>
        </w:rPr>
        <w:t>article 29 de la Convention d</w:t>
      </w:r>
      <w:r w:rsidRPr="00640F03" w:rsidR="00640F03">
        <w:rPr>
          <w:lang w:val="fr-FR"/>
        </w:rPr>
        <w:t>’</w:t>
      </w:r>
      <w:r w:rsidRPr="00640F03" w:rsidR="000B6F69">
        <w:rPr>
          <w:lang w:val="fr-FR"/>
        </w:rPr>
        <w:t>Oviedo, sans quoi l</w:t>
      </w:r>
      <w:r w:rsidRPr="00640F03" w:rsidR="00640F03">
        <w:rPr>
          <w:lang w:val="fr-FR"/>
        </w:rPr>
        <w:t>’</w:t>
      </w:r>
      <w:r w:rsidRPr="00640F03" w:rsidR="000B6F69">
        <w:rPr>
          <w:lang w:val="fr-FR"/>
        </w:rPr>
        <w:t>intention manifeste des rédacteurs de cette dernière serait ignorée et l</w:t>
      </w:r>
      <w:r w:rsidRPr="00640F03" w:rsidR="00640F03">
        <w:rPr>
          <w:lang w:val="fr-FR"/>
        </w:rPr>
        <w:t>’</w:t>
      </w:r>
      <w:r w:rsidRPr="00640F03" w:rsidR="000B6F69">
        <w:rPr>
          <w:lang w:val="fr-FR"/>
        </w:rPr>
        <w:t>effectivité de l</w:t>
      </w:r>
      <w:r w:rsidRPr="00640F03" w:rsidR="00640F03">
        <w:rPr>
          <w:lang w:val="fr-FR"/>
        </w:rPr>
        <w:t>’</w:t>
      </w:r>
      <w:r w:rsidRPr="00640F03" w:rsidR="000B6F69">
        <w:rPr>
          <w:lang w:val="fr-FR"/>
        </w:rPr>
        <w:t>article</w:t>
      </w:r>
      <w:r w:rsidRPr="00640F03" w:rsidR="00D92A54">
        <w:rPr>
          <w:lang w:val="fr-FR"/>
        </w:rPr>
        <w:t> </w:t>
      </w:r>
      <w:r w:rsidRPr="00640F03" w:rsidR="000B6F69">
        <w:rPr>
          <w:lang w:val="fr-FR"/>
        </w:rPr>
        <w:t>29 compromise.</w:t>
      </w:r>
    </w:p>
    <w:bookmarkStart w:name="P39" w:id="20"/>
    <w:p w:rsidRPr="00640F03" w:rsidR="00F6518C" w:rsidP="00640F03" w:rsidRDefault="00F6518C" w14:paraId="13D2E34F" w14:textId="1B9A9A9F">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39</w:t>
      </w:r>
      <w:r w:rsidRPr="00640F03">
        <w:rPr>
          <w:lang w:val="fr-FR"/>
        </w:rPr>
        <w:fldChar w:fldCharType="end"/>
      </w:r>
      <w:bookmarkEnd w:id="20"/>
      <w:r w:rsidRPr="00640F03">
        <w:rPr>
          <w:lang w:val="fr-FR"/>
        </w:rPr>
        <w:t>.  </w:t>
      </w:r>
      <w:r w:rsidRPr="00640F03" w:rsidR="000B6F69">
        <w:rPr>
          <w:lang w:val="fr-FR"/>
        </w:rPr>
        <w:t>Huit gouvernements font référence à la limitation énoncée à l</w:t>
      </w:r>
      <w:r w:rsidRPr="00640F03" w:rsidR="00640F03">
        <w:rPr>
          <w:lang w:val="fr-FR"/>
        </w:rPr>
        <w:t>’</w:t>
      </w:r>
      <w:r w:rsidRPr="00640F03" w:rsidR="000B6F69">
        <w:rPr>
          <w:lang w:val="fr-FR"/>
        </w:rPr>
        <w:t>article 47 §</w:t>
      </w:r>
      <w:r w:rsidRPr="00640F03" w:rsidR="00FE7DB4">
        <w:rPr>
          <w:lang w:val="fr-FR"/>
        </w:rPr>
        <w:t> </w:t>
      </w:r>
      <w:r w:rsidRPr="00640F03" w:rsidR="000B6F69">
        <w:rPr>
          <w:lang w:val="fr-FR"/>
        </w:rPr>
        <w:t>2 de la Convention quant à l</w:t>
      </w:r>
      <w:r w:rsidRPr="00640F03" w:rsidR="00640F03">
        <w:rPr>
          <w:lang w:val="fr-FR"/>
        </w:rPr>
        <w:t>’</w:t>
      </w:r>
      <w:r w:rsidRPr="00640F03" w:rsidR="000B6F69">
        <w:rPr>
          <w:lang w:val="fr-FR"/>
        </w:rPr>
        <w:t>étendue de la compétence de la Cour. Il</w:t>
      </w:r>
      <w:r w:rsidRPr="00640F03" w:rsidR="005E47A4">
        <w:rPr>
          <w:lang w:val="fr-FR"/>
        </w:rPr>
        <w:t xml:space="preserve"> e</w:t>
      </w:r>
      <w:r w:rsidRPr="00640F03" w:rsidR="000B6F69">
        <w:rPr>
          <w:lang w:val="fr-FR"/>
        </w:rPr>
        <w:t>s</w:t>
      </w:r>
      <w:r w:rsidRPr="00640F03" w:rsidR="005E47A4">
        <w:rPr>
          <w:lang w:val="fr-FR"/>
        </w:rPr>
        <w:t>t</w:t>
      </w:r>
      <w:r w:rsidRPr="00640F03" w:rsidR="000B6F69">
        <w:rPr>
          <w:lang w:val="fr-FR"/>
        </w:rPr>
        <w:t xml:space="preserve"> </w:t>
      </w:r>
      <w:r w:rsidRPr="00640F03" w:rsidR="005E47A4">
        <w:rPr>
          <w:lang w:val="fr-FR"/>
        </w:rPr>
        <w:t xml:space="preserve">argué </w:t>
      </w:r>
      <w:r w:rsidRPr="00640F03" w:rsidR="000B6F69">
        <w:rPr>
          <w:lang w:val="fr-FR"/>
        </w:rPr>
        <w:t>que certaines des questions posées par le DH-BIO sont incompatibles avec cette restriction en ce qu</w:t>
      </w:r>
      <w:r w:rsidRPr="00640F03" w:rsidR="00640F03">
        <w:rPr>
          <w:lang w:val="fr-FR"/>
        </w:rPr>
        <w:t>’</w:t>
      </w:r>
      <w:r w:rsidRPr="00640F03" w:rsidR="000B6F69">
        <w:rPr>
          <w:lang w:val="fr-FR"/>
        </w:rPr>
        <w:t xml:space="preserve">elles portent sur des problèmes dont la Cour a déjà souvent eu à connaître dans le contexte de procédures contentieuses et dont elle aura vraisemblablement encore à connaître. </w:t>
      </w:r>
      <w:r w:rsidRPr="00640F03" w:rsidR="005E47A4">
        <w:rPr>
          <w:lang w:val="fr-FR"/>
        </w:rPr>
        <w:t xml:space="preserve">Certains gouvernements </w:t>
      </w:r>
      <w:r w:rsidRPr="00640F03" w:rsidR="000B6F69">
        <w:rPr>
          <w:lang w:val="fr-FR"/>
        </w:rPr>
        <w:t>soutiennent donc que la Cour devrait se déclarer incompétente pour accepter la demande en ce que la limitation énoncée à l</w:t>
      </w:r>
      <w:r w:rsidRPr="00640F03" w:rsidR="00640F03">
        <w:rPr>
          <w:lang w:val="fr-FR"/>
        </w:rPr>
        <w:t>’</w:t>
      </w:r>
      <w:r w:rsidRPr="00640F03" w:rsidR="000B6F69">
        <w:rPr>
          <w:lang w:val="fr-FR"/>
        </w:rPr>
        <w:t>article</w:t>
      </w:r>
      <w:r w:rsidRPr="00640F03" w:rsidR="00FE7DB4">
        <w:rPr>
          <w:lang w:val="fr-FR"/>
        </w:rPr>
        <w:t> </w:t>
      </w:r>
      <w:r w:rsidRPr="00640F03" w:rsidR="000B6F69">
        <w:rPr>
          <w:lang w:val="fr-FR"/>
        </w:rPr>
        <w:t>47 §</w:t>
      </w:r>
      <w:r w:rsidRPr="00640F03" w:rsidR="00FE7DB4">
        <w:rPr>
          <w:lang w:val="fr-FR"/>
        </w:rPr>
        <w:t> </w:t>
      </w:r>
      <w:r w:rsidRPr="00640F03" w:rsidR="000B6F69">
        <w:rPr>
          <w:lang w:val="fr-FR"/>
        </w:rPr>
        <w:t>2 devrait également être respectée dans ce contexte (telle est la position des gouvernements arménien, grec, polonais et turc). D</w:t>
      </w:r>
      <w:r w:rsidRPr="00640F03" w:rsidR="00640F03">
        <w:rPr>
          <w:lang w:val="fr-FR"/>
        </w:rPr>
        <w:t>’</w:t>
      </w:r>
      <w:r w:rsidRPr="00640F03" w:rsidR="000B6F69">
        <w:rPr>
          <w:lang w:val="fr-FR"/>
        </w:rPr>
        <w:t>autres plaident que la demande ne devrait pas être automatiquement rejetée pour cette raison et que la Cour devrait plutôt s</w:t>
      </w:r>
      <w:r w:rsidRPr="00640F03" w:rsidR="00640F03">
        <w:rPr>
          <w:lang w:val="fr-FR"/>
        </w:rPr>
        <w:t>’</w:t>
      </w:r>
      <w:r w:rsidRPr="00640F03" w:rsidR="000B6F69">
        <w:rPr>
          <w:lang w:val="fr-FR"/>
        </w:rPr>
        <w:t>assurer que sa réponse est formulée de manière à ne pas affecter ses fonctions au titre de la Convention (telle est la position des gouvernements italien, norvégien, tchèque et ukrainien).</w:t>
      </w:r>
    </w:p>
    <w:p w:rsidRPr="00640F03" w:rsidR="00F6518C" w:rsidP="00640F03" w:rsidRDefault="000B6F69" w14:paraId="1C670CB7" w14:textId="17A5AD68">
      <w:pPr>
        <w:pStyle w:val="JuHA"/>
        <w:rPr>
          <w:rFonts w:eastAsia="MingLiU"/>
          <w:lang w:val="fr-FR"/>
        </w:rPr>
      </w:pPr>
      <w:r w:rsidRPr="00640F03">
        <w:rPr>
          <w:rFonts w:eastAsia="MingLiU"/>
          <w:lang w:val="fr-FR"/>
        </w:rPr>
        <w:t>Les observations des organisations intervenantes concernant la compétence de la Cour</w:t>
      </w:r>
    </w:p>
    <w:p w:rsidRPr="00640F03" w:rsidR="00F6518C" w:rsidP="00640F03" w:rsidRDefault="00F6518C" w14:paraId="385F991B" w14:textId="46968C99">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40</w:t>
      </w:r>
      <w:r w:rsidRPr="00640F03">
        <w:rPr>
          <w:lang w:val="fr-FR"/>
        </w:rPr>
        <w:fldChar w:fldCharType="end"/>
      </w:r>
      <w:r w:rsidRPr="00640F03">
        <w:rPr>
          <w:lang w:val="fr-FR"/>
        </w:rPr>
        <w:t>.  </w:t>
      </w:r>
      <w:r w:rsidRPr="00640F03" w:rsidR="000B6F69">
        <w:rPr>
          <w:lang w:val="fr-FR"/>
        </w:rPr>
        <w:t>Une des organisations intervenantes, Validity, aborde la question de la compétence de la Cour. Elle soutient que la Cour devrait appliquer l</w:t>
      </w:r>
      <w:r w:rsidRPr="00640F03" w:rsidR="00640F03">
        <w:rPr>
          <w:lang w:val="fr-FR"/>
        </w:rPr>
        <w:t>’</w:t>
      </w:r>
      <w:r w:rsidRPr="00640F03" w:rsidR="000B6F69">
        <w:rPr>
          <w:lang w:val="fr-FR"/>
        </w:rPr>
        <w:t>article 47 de la Convention par analogie, voire directement. Sur ce fondement, la demande devrait être considérée, selon l</w:t>
      </w:r>
      <w:r w:rsidRPr="00640F03" w:rsidR="00640F03">
        <w:rPr>
          <w:lang w:val="fr-FR"/>
        </w:rPr>
        <w:t>’</w:t>
      </w:r>
      <w:r w:rsidRPr="00640F03" w:rsidR="000B6F69">
        <w:rPr>
          <w:lang w:val="fr-FR"/>
        </w:rPr>
        <w:t>organisation intervenante, comme échappant à la compétence de la Cour puisqu</w:t>
      </w:r>
      <w:r w:rsidRPr="00640F03" w:rsidR="00640F03">
        <w:rPr>
          <w:lang w:val="fr-FR"/>
        </w:rPr>
        <w:t>’</w:t>
      </w:r>
      <w:r w:rsidRPr="00640F03" w:rsidR="000B6F69">
        <w:rPr>
          <w:lang w:val="fr-FR"/>
        </w:rPr>
        <w:t>elle ne serait compatible avec aucune des conditions énoncées à l</w:t>
      </w:r>
      <w:r w:rsidRPr="00640F03" w:rsidR="00640F03">
        <w:rPr>
          <w:lang w:val="fr-FR"/>
        </w:rPr>
        <w:t>’</w:t>
      </w:r>
      <w:r w:rsidRPr="00640F03" w:rsidR="000B6F69">
        <w:rPr>
          <w:lang w:val="fr-FR"/>
        </w:rPr>
        <w:t>article</w:t>
      </w:r>
      <w:r w:rsidRPr="00640F03" w:rsidR="00676DA3">
        <w:rPr>
          <w:lang w:val="fr-FR"/>
        </w:rPr>
        <w:t> </w:t>
      </w:r>
      <w:r w:rsidRPr="00640F03" w:rsidR="000B6F69">
        <w:rPr>
          <w:lang w:val="fr-FR"/>
        </w:rPr>
        <w:t>47 § 2 : elle aurait, en effet, trait au contenu ou à l</w:t>
      </w:r>
      <w:r w:rsidRPr="00640F03" w:rsidR="00640F03">
        <w:rPr>
          <w:lang w:val="fr-FR"/>
        </w:rPr>
        <w:t>’</w:t>
      </w:r>
      <w:r w:rsidRPr="00640F03" w:rsidR="000B6F69">
        <w:rPr>
          <w:lang w:val="fr-FR"/>
        </w:rPr>
        <w:t>étendue de différentes dispositions de la Convention et porterait sur des questions que la Cour a déjà examinées dans de nombreuses affaires et qu</w:t>
      </w:r>
      <w:r w:rsidRPr="00640F03" w:rsidR="00640F03">
        <w:rPr>
          <w:lang w:val="fr-FR"/>
        </w:rPr>
        <w:t>’</w:t>
      </w:r>
      <w:r w:rsidRPr="00640F03" w:rsidR="000B6F69">
        <w:rPr>
          <w:lang w:val="fr-FR"/>
        </w:rPr>
        <w:t>elle pourrait être appelée à réexaminer fréquemment à l</w:t>
      </w:r>
      <w:r w:rsidRPr="00640F03" w:rsidR="00640F03">
        <w:rPr>
          <w:lang w:val="fr-FR"/>
        </w:rPr>
        <w:t>’</w:t>
      </w:r>
      <w:r w:rsidRPr="00640F03" w:rsidR="000B6F69">
        <w:rPr>
          <w:lang w:val="fr-FR"/>
        </w:rPr>
        <w:t>avenir. Pour elle, tout avis rendu par la Cour serait préjudiciable à l</w:t>
      </w:r>
      <w:r w:rsidRPr="00640F03" w:rsidR="00640F03">
        <w:rPr>
          <w:lang w:val="fr-FR"/>
        </w:rPr>
        <w:t>’</w:t>
      </w:r>
      <w:r w:rsidRPr="00640F03" w:rsidR="000B6F69">
        <w:rPr>
          <w:lang w:val="fr-FR"/>
        </w:rPr>
        <w:t>examen ultérieur d</w:t>
      </w:r>
      <w:r w:rsidRPr="00640F03" w:rsidR="00640F03">
        <w:rPr>
          <w:lang w:val="fr-FR"/>
        </w:rPr>
        <w:t>’</w:t>
      </w:r>
      <w:r w:rsidRPr="00640F03" w:rsidR="000B6F69">
        <w:rPr>
          <w:lang w:val="fr-FR"/>
        </w:rPr>
        <w:t>affaires soulevant de telles questions au titre de l</w:t>
      </w:r>
      <w:r w:rsidRPr="00640F03" w:rsidR="00640F03">
        <w:rPr>
          <w:lang w:val="fr-FR"/>
        </w:rPr>
        <w:t>’</w:t>
      </w:r>
      <w:r w:rsidRPr="00640F03" w:rsidR="000B6F69">
        <w:rPr>
          <w:lang w:val="fr-FR"/>
        </w:rPr>
        <w:t>article</w:t>
      </w:r>
      <w:r w:rsidRPr="00640F03" w:rsidR="00676DA3">
        <w:rPr>
          <w:lang w:val="fr-FR"/>
        </w:rPr>
        <w:t> </w:t>
      </w:r>
      <w:r w:rsidRPr="00640F03" w:rsidR="000B6F69">
        <w:rPr>
          <w:lang w:val="fr-FR"/>
        </w:rPr>
        <w:t>34 de la Convention.</w:t>
      </w:r>
    </w:p>
    <w:p w:rsidRPr="00640F03" w:rsidR="00F6518C" w:rsidP="00640F03" w:rsidRDefault="000B6F69" w14:paraId="4681655E" w14:textId="5326F521">
      <w:pPr>
        <w:pStyle w:val="JuHA"/>
        <w:rPr>
          <w:rFonts w:eastAsia="MingLiU"/>
          <w:lang w:val="fr-FR"/>
        </w:rPr>
      </w:pPr>
      <w:r w:rsidRPr="00640F03">
        <w:rPr>
          <w:rFonts w:eastAsia="MingLiU"/>
          <w:lang w:val="fr-FR"/>
        </w:rPr>
        <w:t>Appréciation de la Cour</w:t>
      </w:r>
    </w:p>
    <w:p w:rsidRPr="00640F03" w:rsidR="00F6518C" w:rsidP="00640F03" w:rsidRDefault="000B6F69" w14:paraId="6D1AA8B4" w14:textId="6ED50BEF">
      <w:pPr>
        <w:pStyle w:val="JuH1"/>
        <w:rPr>
          <w:rFonts w:eastAsia="MingLiU"/>
          <w:lang w:val="fr-FR"/>
        </w:rPr>
      </w:pPr>
      <w:r w:rsidRPr="00640F03">
        <w:rPr>
          <w:rFonts w:eastAsia="MingLiU"/>
          <w:lang w:val="fr-FR"/>
        </w:rPr>
        <w:t>La compétence de la Cour au titre de l</w:t>
      </w:r>
      <w:r w:rsidRPr="00640F03" w:rsidR="00640F03">
        <w:rPr>
          <w:rFonts w:eastAsia="MingLiU"/>
          <w:lang w:val="fr-FR"/>
        </w:rPr>
        <w:t>’</w:t>
      </w:r>
      <w:r w:rsidRPr="00640F03">
        <w:rPr>
          <w:rFonts w:eastAsia="MingLiU"/>
          <w:lang w:val="fr-FR"/>
        </w:rPr>
        <w:t>article</w:t>
      </w:r>
      <w:r w:rsidRPr="00640F03" w:rsidR="00FE7DB4">
        <w:rPr>
          <w:rFonts w:eastAsia="MingLiU"/>
          <w:lang w:val="fr-FR"/>
        </w:rPr>
        <w:t> </w:t>
      </w:r>
      <w:r w:rsidRPr="00640F03">
        <w:rPr>
          <w:rFonts w:eastAsia="MingLiU"/>
          <w:lang w:val="fr-FR"/>
        </w:rPr>
        <w:t>29 de la Convention d</w:t>
      </w:r>
      <w:r w:rsidRPr="00640F03" w:rsidR="00640F03">
        <w:rPr>
          <w:rFonts w:eastAsia="MingLiU"/>
          <w:lang w:val="fr-FR"/>
        </w:rPr>
        <w:t>’</w:t>
      </w:r>
      <w:r w:rsidRPr="00640F03">
        <w:rPr>
          <w:rFonts w:eastAsia="MingLiU"/>
          <w:lang w:val="fr-FR"/>
        </w:rPr>
        <w:t>Oviedo</w:t>
      </w:r>
    </w:p>
    <w:p w:rsidRPr="00640F03" w:rsidR="000B6F69" w:rsidP="00640F03" w:rsidRDefault="001002FC" w14:paraId="2F07B482" w14:textId="29E3F85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41</w:t>
      </w:r>
      <w:r w:rsidRPr="00640F03">
        <w:rPr>
          <w:lang w:val="fr-FR"/>
        </w:rPr>
        <w:fldChar w:fldCharType="end"/>
      </w:r>
      <w:r w:rsidRPr="00640F03">
        <w:rPr>
          <w:lang w:val="fr-FR"/>
        </w:rPr>
        <w:t>.</w:t>
      </w:r>
      <w:r w:rsidRPr="00640F03" w:rsidR="00FA7984">
        <w:rPr>
          <w:lang w:val="fr-FR"/>
        </w:rPr>
        <w:t> </w:t>
      </w:r>
      <w:r w:rsidRPr="00640F03">
        <w:rPr>
          <w:lang w:val="fr-FR"/>
        </w:rPr>
        <w:t> </w:t>
      </w:r>
      <w:r w:rsidRPr="00640F03" w:rsidR="000B6F69">
        <w:rPr>
          <w:lang w:val="fr-FR"/>
        </w:rPr>
        <w:t>L</w:t>
      </w:r>
      <w:r w:rsidRPr="00640F03" w:rsidR="00640F03">
        <w:rPr>
          <w:lang w:val="fr-FR"/>
        </w:rPr>
        <w:t>’</w:t>
      </w:r>
      <w:r w:rsidRPr="00640F03" w:rsidR="000B6F69">
        <w:rPr>
          <w:lang w:val="fr-FR"/>
        </w:rPr>
        <w:t>article</w:t>
      </w:r>
      <w:r w:rsidRPr="00640F03" w:rsidR="00FE7DB4">
        <w:rPr>
          <w:lang w:val="fr-FR"/>
        </w:rPr>
        <w:t> </w:t>
      </w:r>
      <w:r w:rsidRPr="00640F03" w:rsidR="000B6F69">
        <w:rPr>
          <w:lang w:val="fr-FR"/>
        </w:rPr>
        <w:t>29 de la Convention d</w:t>
      </w:r>
      <w:r w:rsidRPr="00640F03" w:rsidR="00640F03">
        <w:rPr>
          <w:lang w:val="fr-FR"/>
        </w:rPr>
        <w:t>’</w:t>
      </w:r>
      <w:r w:rsidRPr="00640F03" w:rsidR="000B6F69">
        <w:rPr>
          <w:lang w:val="fr-FR"/>
        </w:rPr>
        <w:t xml:space="preserve">Oviedo a pour objet de </w:t>
      </w:r>
      <w:r w:rsidRPr="00640F03" w:rsidR="00367C41">
        <w:rPr>
          <w:lang w:val="fr-FR"/>
        </w:rPr>
        <w:t xml:space="preserve">rendre la Cour compétente </w:t>
      </w:r>
      <w:r w:rsidRPr="00640F03" w:rsidR="000B6F69">
        <w:rPr>
          <w:lang w:val="fr-FR"/>
        </w:rPr>
        <w:t>pour interpréter cet instrument. Il n</w:t>
      </w:r>
      <w:r w:rsidRPr="00640F03" w:rsidR="00640F03">
        <w:rPr>
          <w:lang w:val="fr-FR"/>
        </w:rPr>
        <w:t>’</w:t>
      </w:r>
      <w:r w:rsidRPr="00640F03" w:rsidR="000B6F69">
        <w:rPr>
          <w:lang w:val="fr-FR"/>
        </w:rPr>
        <w:t xml:space="preserve">est pas </w:t>
      </w:r>
      <w:r w:rsidRPr="00640F03" w:rsidR="008733A9">
        <w:rPr>
          <w:lang w:val="fr-FR"/>
        </w:rPr>
        <w:t xml:space="preserve">inédit </w:t>
      </w:r>
      <w:r w:rsidRPr="00640F03" w:rsidR="000B6F69">
        <w:rPr>
          <w:lang w:val="fr-FR"/>
        </w:rPr>
        <w:t>qu</w:t>
      </w:r>
      <w:r w:rsidRPr="00640F03" w:rsidR="00640F03">
        <w:rPr>
          <w:lang w:val="fr-FR"/>
        </w:rPr>
        <w:t>’</w:t>
      </w:r>
      <w:r w:rsidRPr="00640F03" w:rsidR="000B6F69">
        <w:rPr>
          <w:lang w:val="fr-FR"/>
        </w:rPr>
        <w:t>une juridiction internationale dispose, outre sa compétence contentieuse, d</w:t>
      </w:r>
      <w:r w:rsidRPr="00640F03" w:rsidR="00640F03">
        <w:rPr>
          <w:lang w:val="fr-FR"/>
        </w:rPr>
        <w:t>’</w:t>
      </w:r>
      <w:r w:rsidRPr="00640F03" w:rsidR="000B6F69">
        <w:rPr>
          <w:lang w:val="fr-FR"/>
        </w:rPr>
        <w:t>une ample fonction consultative qui peut s</w:t>
      </w:r>
      <w:r w:rsidRPr="00640F03" w:rsidR="00640F03">
        <w:rPr>
          <w:lang w:val="fr-FR"/>
        </w:rPr>
        <w:t>’</w:t>
      </w:r>
      <w:r w:rsidRPr="00640F03" w:rsidR="000B6F69">
        <w:rPr>
          <w:lang w:val="fr-FR"/>
        </w:rPr>
        <w:t>étendre au-delà de son traité principal. On peut citer les exemples de la Cour interaméricaine des droits de l</w:t>
      </w:r>
      <w:r w:rsidRPr="00640F03" w:rsidR="00640F03">
        <w:rPr>
          <w:lang w:val="fr-FR"/>
        </w:rPr>
        <w:t>’</w:t>
      </w:r>
      <w:r w:rsidRPr="00640F03" w:rsidR="000B6F69">
        <w:rPr>
          <w:lang w:val="fr-FR"/>
        </w:rPr>
        <w:t>homme et de la Cour africaine des droits de l</w:t>
      </w:r>
      <w:r w:rsidRPr="00640F03" w:rsidR="00640F03">
        <w:rPr>
          <w:lang w:val="fr-FR"/>
        </w:rPr>
        <w:t>’</w:t>
      </w:r>
      <w:r w:rsidRPr="00640F03" w:rsidR="000B6F69">
        <w:rPr>
          <w:lang w:val="fr-FR"/>
        </w:rPr>
        <w:t>homme et des peuples, qui possèdent chacune une compétence consultative qui dépasse le traité principal de leurs systèmes respectifs de protection des droits de l</w:t>
      </w:r>
      <w:r w:rsidRPr="00640F03" w:rsidR="00640F03">
        <w:rPr>
          <w:lang w:val="fr-FR"/>
        </w:rPr>
        <w:t>’</w:t>
      </w:r>
      <w:r w:rsidRPr="00640F03" w:rsidR="000B6F69">
        <w:rPr>
          <w:lang w:val="fr-FR"/>
        </w:rPr>
        <w:t>homme et inclut certains autres instruments dans ce domaine. Le traité constitutif de chacune de ces deux juridictions prévoit toutefois expressément que celles-ci peuvent exercer pareille compétence (article</w:t>
      </w:r>
      <w:r w:rsidRPr="00640F03" w:rsidR="00FE7DB4">
        <w:rPr>
          <w:lang w:val="fr-FR"/>
        </w:rPr>
        <w:t> </w:t>
      </w:r>
      <w:r w:rsidRPr="00640F03" w:rsidR="000B6F69">
        <w:rPr>
          <w:lang w:val="fr-FR"/>
        </w:rPr>
        <w:t>64 de la Convention américaine relative aux droits de l</w:t>
      </w:r>
      <w:r w:rsidRPr="00640F03" w:rsidR="00640F03">
        <w:rPr>
          <w:lang w:val="fr-FR"/>
        </w:rPr>
        <w:t>’</w:t>
      </w:r>
      <w:r w:rsidRPr="00640F03" w:rsidR="000B6F69">
        <w:rPr>
          <w:lang w:val="fr-FR"/>
        </w:rPr>
        <w:t>homme ; article</w:t>
      </w:r>
      <w:r w:rsidRPr="00640F03" w:rsidR="00FE7DB4">
        <w:rPr>
          <w:lang w:val="fr-FR"/>
        </w:rPr>
        <w:t> </w:t>
      </w:r>
      <w:r w:rsidRPr="00640F03" w:rsidR="000B6F69">
        <w:rPr>
          <w:lang w:val="fr-FR"/>
        </w:rPr>
        <w:t>4 du Protocole relatif à la Charte africaine des droits de l</w:t>
      </w:r>
      <w:r w:rsidRPr="00640F03" w:rsidR="00640F03">
        <w:rPr>
          <w:lang w:val="fr-FR"/>
        </w:rPr>
        <w:t>’</w:t>
      </w:r>
      <w:r w:rsidRPr="00640F03" w:rsidR="000B6F69">
        <w:rPr>
          <w:lang w:val="fr-FR"/>
        </w:rPr>
        <w:t>homme et des peuples portant création d</w:t>
      </w:r>
      <w:r w:rsidRPr="00640F03" w:rsidR="00640F03">
        <w:rPr>
          <w:lang w:val="fr-FR"/>
        </w:rPr>
        <w:t>’</w:t>
      </w:r>
      <w:r w:rsidRPr="00640F03" w:rsidR="000B6F69">
        <w:rPr>
          <w:lang w:val="fr-FR"/>
        </w:rPr>
        <w:t>une Cour africaine des droits de l</w:t>
      </w:r>
      <w:r w:rsidRPr="00640F03" w:rsidR="00640F03">
        <w:rPr>
          <w:lang w:val="fr-FR"/>
        </w:rPr>
        <w:t>’</w:t>
      </w:r>
      <w:r w:rsidRPr="00640F03" w:rsidR="000B6F69">
        <w:rPr>
          <w:lang w:val="fr-FR"/>
        </w:rPr>
        <w:t>homme et des peuples), ce qui n</w:t>
      </w:r>
      <w:r w:rsidRPr="00640F03" w:rsidR="00640F03">
        <w:rPr>
          <w:lang w:val="fr-FR"/>
        </w:rPr>
        <w:t>’</w:t>
      </w:r>
      <w:r w:rsidRPr="00640F03" w:rsidR="000B6F69">
        <w:rPr>
          <w:lang w:val="fr-FR"/>
        </w:rPr>
        <w:t>est pas le cas pour la Cour.</w:t>
      </w:r>
    </w:p>
    <w:bookmarkStart w:name="_Hlk69721361" w:id="21"/>
    <w:p w:rsidRPr="00640F03" w:rsidR="00F6518C" w:rsidP="00640F03" w:rsidRDefault="00F6518C" w14:paraId="32C6EE43" w14:textId="576D8BBB">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42</w:t>
      </w:r>
      <w:r w:rsidRPr="00640F03">
        <w:rPr>
          <w:lang w:val="fr-FR"/>
        </w:rPr>
        <w:fldChar w:fldCharType="end"/>
      </w:r>
      <w:r w:rsidRPr="00640F03">
        <w:rPr>
          <w:lang w:val="fr-FR"/>
        </w:rPr>
        <w:t>.  </w:t>
      </w:r>
      <w:r w:rsidRPr="00640F03" w:rsidR="000B6F69">
        <w:rPr>
          <w:lang w:val="fr-FR"/>
        </w:rPr>
        <w:t xml:space="preserve">La Cour a pour instrument constitutif la Convention ; ses fonctions et pouvoirs sont déterminés par les articles 19, 32 et 47 de ce traité (voir aussi la </w:t>
      </w:r>
      <w:r w:rsidRPr="00640F03" w:rsidR="000B6F69">
        <w:rPr>
          <w:i/>
          <w:iCs/>
          <w:lang w:val="fr-FR"/>
        </w:rPr>
        <w:t>Décision sur la compétence de la Cour pour rendre un avis consultatif</w:t>
      </w:r>
      <w:r w:rsidRPr="00640F03" w:rsidR="00EE08C4">
        <w:rPr>
          <w:i/>
          <w:iCs/>
          <w:lang w:val="fr-FR"/>
        </w:rPr>
        <w:t xml:space="preserve"> </w:t>
      </w:r>
      <w:r w:rsidRPr="00640F03" w:rsidR="00EE08C4">
        <w:rPr>
          <w:lang w:val="fr-FR"/>
        </w:rPr>
        <w:t xml:space="preserve">[GC], § </w:t>
      </w:r>
      <w:r w:rsidRPr="00640F03" w:rsidR="00EE08C4">
        <w:rPr>
          <w:iCs/>
          <w:lang w:val="fr-FR"/>
        </w:rPr>
        <w:t>26</w:t>
      </w:r>
      <w:r w:rsidRPr="00640F03" w:rsidR="00EE08C4">
        <w:rPr>
          <w:lang w:val="fr-FR"/>
        </w:rPr>
        <w:t>, CEDH 2004</w:t>
      </w:r>
      <w:r w:rsidRPr="00640F03" w:rsidR="00EE08C4">
        <w:rPr>
          <w:lang w:val="fr-FR"/>
        </w:rPr>
        <w:noBreakHyphen/>
        <w:t>VI</w:t>
      </w:r>
      <w:r w:rsidRPr="00640F03" w:rsidR="000B6F69">
        <w:rPr>
          <w:lang w:val="fr-FR"/>
        </w:rPr>
        <w:t>). La Convention est silencieuse quant à une quelconque possibilité pour la Cour d</w:t>
      </w:r>
      <w:r w:rsidRPr="00640F03" w:rsidR="00640F03">
        <w:rPr>
          <w:lang w:val="fr-FR"/>
        </w:rPr>
        <w:t>’</w:t>
      </w:r>
      <w:r w:rsidRPr="00640F03" w:rsidR="000B6F69">
        <w:rPr>
          <w:lang w:val="fr-FR"/>
        </w:rPr>
        <w:t>exercer une compétence en dehors du système de la Convention. Certains des gouvernements intervenants dans la présente procédure soutiennent que les dispositions de la Convention citées ci-dessus constituent le seul et unique fondement de la compétence de la Cour et qu</w:t>
      </w:r>
      <w:r w:rsidRPr="00640F03" w:rsidR="00640F03">
        <w:rPr>
          <w:lang w:val="fr-FR"/>
        </w:rPr>
        <w:t>’</w:t>
      </w:r>
      <w:r w:rsidRPr="00640F03" w:rsidR="000B6F69">
        <w:rPr>
          <w:lang w:val="fr-FR"/>
        </w:rPr>
        <w:t>est ainsi exclue toute autre fonction dérivant d</w:t>
      </w:r>
      <w:r w:rsidRPr="00640F03" w:rsidR="00640F03">
        <w:rPr>
          <w:lang w:val="fr-FR"/>
        </w:rPr>
        <w:t>’</w:t>
      </w:r>
      <w:r w:rsidRPr="00640F03" w:rsidR="000B6F69">
        <w:rPr>
          <w:lang w:val="fr-FR"/>
        </w:rPr>
        <w:t>un autre traité qui n</w:t>
      </w:r>
      <w:r w:rsidRPr="00640F03" w:rsidR="00640F03">
        <w:rPr>
          <w:lang w:val="fr-FR"/>
        </w:rPr>
        <w:t>’</w:t>
      </w:r>
      <w:r w:rsidRPr="00640F03" w:rsidR="000B6F69">
        <w:rPr>
          <w:lang w:val="fr-FR"/>
        </w:rPr>
        <w:t xml:space="preserve">aurait pas été expressément prévue par une modification de la Convention ou un nouveau protocole. La Cour ne partage pas </w:t>
      </w:r>
      <w:r w:rsidRPr="00640F03" w:rsidR="002B200D">
        <w:rPr>
          <w:lang w:val="fr-FR"/>
        </w:rPr>
        <w:t>ce point de vue</w:t>
      </w:r>
      <w:r w:rsidRPr="00640F03" w:rsidR="000B6F69">
        <w:rPr>
          <w:lang w:val="fr-FR"/>
        </w:rPr>
        <w:t>. S</w:t>
      </w:r>
      <w:r w:rsidRPr="00640F03" w:rsidR="00640F03">
        <w:rPr>
          <w:lang w:val="fr-FR"/>
        </w:rPr>
        <w:t>’</w:t>
      </w:r>
      <w:r w:rsidRPr="00640F03" w:rsidR="000B6F69">
        <w:rPr>
          <w:lang w:val="fr-FR"/>
        </w:rPr>
        <w:t>il est indiscutable que la compétence de la Cour à l</w:t>
      </w:r>
      <w:r w:rsidRPr="00640F03" w:rsidR="00640F03">
        <w:rPr>
          <w:lang w:val="fr-FR"/>
        </w:rPr>
        <w:t>’</w:t>
      </w:r>
      <w:r w:rsidRPr="00640F03" w:rsidR="000B6F69">
        <w:rPr>
          <w:lang w:val="fr-FR"/>
        </w:rPr>
        <w:t xml:space="preserve">égard de la Convention et de ses </w:t>
      </w:r>
      <w:r w:rsidRPr="00640F03" w:rsidR="00EE08C4">
        <w:rPr>
          <w:lang w:val="fr-FR"/>
        </w:rPr>
        <w:t>P</w:t>
      </w:r>
      <w:r w:rsidRPr="00640F03" w:rsidR="000B6F69">
        <w:rPr>
          <w:lang w:val="fr-FR"/>
        </w:rPr>
        <w:t>rotocoles est régie par les dispositions susmentionnées, celles-ci n</w:t>
      </w:r>
      <w:r w:rsidRPr="00640F03" w:rsidR="00640F03">
        <w:rPr>
          <w:lang w:val="fr-FR"/>
        </w:rPr>
        <w:t>’</w:t>
      </w:r>
      <w:r w:rsidRPr="00640F03" w:rsidR="000B6F69">
        <w:rPr>
          <w:lang w:val="fr-FR"/>
        </w:rPr>
        <w:t>excluent pas expressément que la Cour puisse se voir attribuer</w:t>
      </w:r>
      <w:r w:rsidRPr="00640F03" w:rsidR="000E115B">
        <w:rPr>
          <w:lang w:val="fr-FR"/>
        </w:rPr>
        <w:t xml:space="preserve"> par un autre traité relatif aux droits de l</w:t>
      </w:r>
      <w:r w:rsidRPr="00640F03" w:rsidR="00640F03">
        <w:rPr>
          <w:lang w:val="fr-FR"/>
        </w:rPr>
        <w:t>’</w:t>
      </w:r>
      <w:r w:rsidRPr="00640F03" w:rsidR="000E115B">
        <w:rPr>
          <w:lang w:val="fr-FR"/>
        </w:rPr>
        <w:t>homme et étroitement lié à la Convention</w:t>
      </w:r>
      <w:r w:rsidRPr="00640F03" w:rsidR="000B6F69">
        <w:rPr>
          <w:lang w:val="fr-FR"/>
        </w:rPr>
        <w:t xml:space="preserve"> </w:t>
      </w:r>
      <w:r w:rsidRPr="00640F03" w:rsidR="000E115B">
        <w:rPr>
          <w:lang w:val="fr-FR"/>
        </w:rPr>
        <w:t>qui serait conclu dans le cadre du Conseil de l</w:t>
      </w:r>
      <w:r w:rsidRPr="00640F03" w:rsidR="00640F03">
        <w:rPr>
          <w:lang w:val="fr-FR"/>
        </w:rPr>
        <w:t>’</w:t>
      </w:r>
      <w:r w:rsidRPr="00640F03" w:rsidR="000E115B">
        <w:rPr>
          <w:lang w:val="fr-FR"/>
        </w:rPr>
        <w:t xml:space="preserve">Europe </w:t>
      </w:r>
      <w:r w:rsidRPr="00640F03" w:rsidR="000B6F69">
        <w:rPr>
          <w:lang w:val="fr-FR"/>
        </w:rPr>
        <w:t>une compétence relativement à</w:t>
      </w:r>
      <w:r w:rsidRPr="00640F03" w:rsidR="000E115B">
        <w:rPr>
          <w:lang w:val="fr-FR"/>
        </w:rPr>
        <w:t xml:space="preserve"> ce traité, </w:t>
      </w:r>
      <w:r w:rsidRPr="00640F03" w:rsidR="000B6F69">
        <w:rPr>
          <w:lang w:val="fr-FR"/>
        </w:rPr>
        <w:t>et rien n</w:t>
      </w:r>
      <w:r w:rsidRPr="00640F03" w:rsidR="00640F03">
        <w:rPr>
          <w:lang w:val="fr-FR"/>
        </w:rPr>
        <w:t>’</w:t>
      </w:r>
      <w:r w:rsidRPr="00640F03" w:rsidR="000B6F69">
        <w:rPr>
          <w:lang w:val="fr-FR"/>
        </w:rPr>
        <w:t xml:space="preserve">oblige à les interpréter comme excluant entièrement pareille possibilité. Telle est </w:t>
      </w:r>
      <w:r w:rsidRPr="00640F03" w:rsidR="002B200D">
        <w:rPr>
          <w:lang w:val="fr-FR"/>
        </w:rPr>
        <w:t>également</w:t>
      </w:r>
      <w:r w:rsidRPr="00640F03" w:rsidR="000B6F69">
        <w:rPr>
          <w:lang w:val="fr-FR"/>
        </w:rPr>
        <w:t xml:space="preserve"> la position de la majorité des gouvernements intervenants qui ont abordé cette question. La Cour a souvent déclaré que la Convention ne doit pas être interprétée dans le vide (voir, parmi beaucoup d</w:t>
      </w:r>
      <w:r w:rsidRPr="00640F03" w:rsidR="00640F03">
        <w:rPr>
          <w:lang w:val="fr-FR"/>
        </w:rPr>
        <w:t>’</w:t>
      </w:r>
      <w:r w:rsidRPr="00640F03" w:rsidR="000B6F69">
        <w:rPr>
          <w:lang w:val="fr-FR"/>
        </w:rPr>
        <w:t xml:space="preserve">autres, </w:t>
      </w:r>
      <w:r w:rsidRPr="00640F03" w:rsidR="000B6F69">
        <w:rPr>
          <w:i/>
          <w:iCs/>
          <w:lang w:val="fr-FR"/>
        </w:rPr>
        <w:t xml:space="preserve">S.M. c. Croatie </w:t>
      </w:r>
      <w:r w:rsidRPr="00640F03" w:rsidR="000B6F69">
        <w:rPr>
          <w:iCs/>
          <w:lang w:val="fr-FR"/>
        </w:rPr>
        <w:t>[GC], n</w:t>
      </w:r>
      <w:r w:rsidRPr="00640F03" w:rsidR="000B6F69">
        <w:rPr>
          <w:iCs/>
          <w:vertAlign w:val="superscript"/>
          <w:lang w:val="fr-FR"/>
        </w:rPr>
        <w:t>o</w:t>
      </w:r>
      <w:r w:rsidRPr="00640F03" w:rsidR="000B6F69">
        <w:rPr>
          <w:iCs/>
          <w:lang w:val="fr-FR"/>
        </w:rPr>
        <w:t xml:space="preserve"> 60561/14, §</w:t>
      </w:r>
      <w:r w:rsidRPr="00640F03" w:rsidR="00FE7DB4">
        <w:rPr>
          <w:iCs/>
          <w:lang w:val="fr-FR"/>
        </w:rPr>
        <w:t> </w:t>
      </w:r>
      <w:r w:rsidRPr="00640F03" w:rsidR="000B6F69">
        <w:rPr>
          <w:iCs/>
          <w:lang w:val="fr-FR"/>
        </w:rPr>
        <w:t>287, 25</w:t>
      </w:r>
      <w:r w:rsidRPr="00640F03" w:rsidR="00FE7DB4">
        <w:rPr>
          <w:iCs/>
          <w:lang w:val="fr-FR"/>
        </w:rPr>
        <w:t> </w:t>
      </w:r>
      <w:r w:rsidRPr="00640F03" w:rsidR="000B6F69">
        <w:rPr>
          <w:iCs/>
          <w:lang w:val="fr-FR"/>
        </w:rPr>
        <w:t>juin 2020)</w:t>
      </w:r>
      <w:r w:rsidRPr="00640F03" w:rsidR="000B6F69">
        <w:rPr>
          <w:lang w:val="fr-FR"/>
        </w:rPr>
        <w:t>. Conformément à une pratique établie de longue date, qui reflète la règle énoncée à l</w:t>
      </w:r>
      <w:r w:rsidRPr="00640F03" w:rsidR="00640F03">
        <w:rPr>
          <w:lang w:val="fr-FR"/>
        </w:rPr>
        <w:t>’</w:t>
      </w:r>
      <w:r w:rsidRPr="00640F03" w:rsidR="000B6F69">
        <w:rPr>
          <w:lang w:val="fr-FR"/>
        </w:rPr>
        <w:t>article</w:t>
      </w:r>
      <w:r w:rsidRPr="00640F03" w:rsidR="00FE7DB4">
        <w:rPr>
          <w:lang w:val="fr-FR"/>
        </w:rPr>
        <w:t> </w:t>
      </w:r>
      <w:r w:rsidRPr="00640F03" w:rsidR="000B6F69">
        <w:rPr>
          <w:lang w:val="fr-FR"/>
        </w:rPr>
        <w:t>31 §</w:t>
      </w:r>
      <w:r w:rsidRPr="00640F03" w:rsidR="00FE7DB4">
        <w:rPr>
          <w:lang w:val="fr-FR"/>
        </w:rPr>
        <w:t> </w:t>
      </w:r>
      <w:r w:rsidRPr="00640F03" w:rsidR="000B6F69">
        <w:rPr>
          <w:lang w:val="fr-FR"/>
        </w:rPr>
        <w:t>3</w:t>
      </w:r>
      <w:r w:rsidRPr="00640F03" w:rsidR="00FE7DB4">
        <w:rPr>
          <w:lang w:val="fr-FR"/>
        </w:rPr>
        <w:t> </w:t>
      </w:r>
      <w:r w:rsidRPr="00640F03" w:rsidR="000B6F69">
        <w:rPr>
          <w:lang w:val="fr-FR"/>
        </w:rPr>
        <w:t>c) de la Convention de Vienne, la Cour doit, lorsqu</w:t>
      </w:r>
      <w:r w:rsidRPr="00640F03" w:rsidR="00640F03">
        <w:rPr>
          <w:lang w:val="fr-FR"/>
        </w:rPr>
        <w:t>’</w:t>
      </w:r>
      <w:r w:rsidRPr="00640F03" w:rsidR="000B6F69">
        <w:rPr>
          <w:lang w:val="fr-FR"/>
        </w:rPr>
        <w:t>elle interprète la Convention, prendre en considération toute règle de droit international applicable aux relations entre les Parties contractantes, en l</w:t>
      </w:r>
      <w:r w:rsidRPr="00640F03" w:rsidR="00640F03">
        <w:rPr>
          <w:lang w:val="fr-FR"/>
        </w:rPr>
        <w:t>’</w:t>
      </w:r>
      <w:r w:rsidRPr="00640F03" w:rsidR="000B6F69">
        <w:rPr>
          <w:lang w:val="fr-FR"/>
        </w:rPr>
        <w:t>espèce les dispositions de l</w:t>
      </w:r>
      <w:r w:rsidRPr="00640F03" w:rsidR="00640F03">
        <w:rPr>
          <w:lang w:val="fr-FR"/>
        </w:rPr>
        <w:t>’</w:t>
      </w:r>
      <w:r w:rsidRPr="00640F03" w:rsidR="000B6F69">
        <w:rPr>
          <w:lang w:val="fr-FR"/>
        </w:rPr>
        <w:t>article</w:t>
      </w:r>
      <w:r w:rsidRPr="00640F03" w:rsidR="00D46611">
        <w:rPr>
          <w:lang w:val="fr-FR"/>
        </w:rPr>
        <w:t xml:space="preserve"> </w:t>
      </w:r>
      <w:r w:rsidRPr="00640F03" w:rsidR="000B6F69">
        <w:rPr>
          <w:lang w:val="fr-FR"/>
        </w:rPr>
        <w:t>29 de la Convention d</w:t>
      </w:r>
      <w:r w:rsidRPr="00640F03" w:rsidR="00640F03">
        <w:rPr>
          <w:lang w:val="fr-FR"/>
        </w:rPr>
        <w:t>’</w:t>
      </w:r>
      <w:r w:rsidRPr="00640F03" w:rsidR="000B6F69">
        <w:rPr>
          <w:lang w:val="fr-FR"/>
        </w:rPr>
        <w:t>Oviedo. Si ce principe d</w:t>
      </w:r>
      <w:r w:rsidRPr="00640F03" w:rsidR="00640F03">
        <w:rPr>
          <w:lang w:val="fr-FR"/>
        </w:rPr>
        <w:t>’</w:t>
      </w:r>
      <w:r w:rsidRPr="00640F03" w:rsidR="000B6F69">
        <w:rPr>
          <w:lang w:val="fr-FR"/>
        </w:rPr>
        <w:t>interprétation a essentiellement été appliqué aux clauses normatives de la Convention, la Cour considère qu</w:t>
      </w:r>
      <w:r w:rsidRPr="00640F03" w:rsidR="00640F03">
        <w:rPr>
          <w:lang w:val="fr-FR"/>
        </w:rPr>
        <w:t>’</w:t>
      </w:r>
      <w:r w:rsidRPr="00640F03" w:rsidR="000B6F69">
        <w:rPr>
          <w:lang w:val="fr-FR"/>
        </w:rPr>
        <w:t>il n</w:t>
      </w:r>
      <w:r w:rsidRPr="00640F03" w:rsidR="00640F03">
        <w:rPr>
          <w:lang w:val="fr-FR"/>
        </w:rPr>
        <w:t>’</w:t>
      </w:r>
      <w:r w:rsidRPr="00640F03" w:rsidR="000B6F69">
        <w:rPr>
          <w:lang w:val="fr-FR"/>
        </w:rPr>
        <w:t>est pas dénué de pertinence pour d</w:t>
      </w:r>
      <w:r w:rsidRPr="00640F03" w:rsidR="00640F03">
        <w:rPr>
          <w:lang w:val="fr-FR"/>
        </w:rPr>
        <w:t>’</w:t>
      </w:r>
      <w:r w:rsidRPr="00640F03" w:rsidR="000B6F69">
        <w:rPr>
          <w:lang w:val="fr-FR"/>
        </w:rPr>
        <w:t xml:space="preserve">autres types de dispositions, dont celles relatives à la compétence de la Cour. Par ailleurs, elle attache </w:t>
      </w:r>
      <w:r w:rsidRPr="00640F03" w:rsidR="002B200D">
        <w:rPr>
          <w:lang w:val="fr-FR"/>
        </w:rPr>
        <w:t>de l</w:t>
      </w:r>
      <w:r w:rsidRPr="00640F03" w:rsidR="00640F03">
        <w:rPr>
          <w:lang w:val="fr-FR"/>
        </w:rPr>
        <w:t>’</w:t>
      </w:r>
      <w:r w:rsidRPr="00640F03" w:rsidR="000B6F69">
        <w:rPr>
          <w:lang w:val="fr-FR"/>
        </w:rPr>
        <w:t>importance au fait que, même si la Convention d</w:t>
      </w:r>
      <w:r w:rsidRPr="00640F03" w:rsidR="00640F03">
        <w:rPr>
          <w:lang w:val="fr-FR"/>
        </w:rPr>
        <w:t>’</w:t>
      </w:r>
      <w:r w:rsidRPr="00640F03" w:rsidR="000B6F69">
        <w:rPr>
          <w:lang w:val="fr-FR"/>
        </w:rPr>
        <w:t>Oviedo n</w:t>
      </w:r>
      <w:r w:rsidRPr="00640F03" w:rsidR="00640F03">
        <w:rPr>
          <w:lang w:val="fr-FR"/>
        </w:rPr>
        <w:t>’</w:t>
      </w:r>
      <w:r w:rsidRPr="00640F03" w:rsidR="000B6F69">
        <w:rPr>
          <w:lang w:val="fr-FR"/>
        </w:rPr>
        <w:t>a pas été ratifiée par les quarante-sept Parties contractantes à la Convention, elle a obtenu</w:t>
      </w:r>
      <w:r w:rsidRPr="00640F03" w:rsidR="002B200D">
        <w:rPr>
          <w:lang w:val="fr-FR"/>
        </w:rPr>
        <w:t>, en tant que traité du Conseil de l</w:t>
      </w:r>
      <w:r w:rsidRPr="00640F03" w:rsidR="00640F03">
        <w:rPr>
          <w:lang w:val="fr-FR"/>
        </w:rPr>
        <w:t>’</w:t>
      </w:r>
      <w:r w:rsidRPr="00640F03" w:rsidR="002B200D">
        <w:rPr>
          <w:lang w:val="fr-FR"/>
        </w:rPr>
        <w:t>Europe,</w:t>
      </w:r>
      <w:r w:rsidRPr="00640F03" w:rsidR="000B6F69">
        <w:rPr>
          <w:lang w:val="fr-FR"/>
        </w:rPr>
        <w:t xml:space="preserve"> l</w:t>
      </w:r>
      <w:r w:rsidRPr="00640F03" w:rsidR="00640F03">
        <w:rPr>
          <w:lang w:val="fr-FR"/>
        </w:rPr>
        <w:t>’</w:t>
      </w:r>
      <w:r w:rsidRPr="00640F03" w:rsidR="000B6F69">
        <w:rPr>
          <w:lang w:val="fr-FR"/>
        </w:rPr>
        <w:t>approbation du Comité des Ministres</w:t>
      </w:r>
      <w:r w:rsidRPr="00640F03" w:rsidR="002B200D">
        <w:rPr>
          <w:lang w:val="fr-FR"/>
        </w:rPr>
        <w:t xml:space="preserve"> </w:t>
      </w:r>
      <w:r w:rsidRPr="00640F03" w:rsidR="000B6F69">
        <w:rPr>
          <w:lang w:val="fr-FR"/>
        </w:rPr>
        <w:t>qui l</w:t>
      </w:r>
      <w:r w:rsidRPr="00640F03" w:rsidR="00640F03">
        <w:rPr>
          <w:lang w:val="fr-FR"/>
        </w:rPr>
        <w:t>’</w:t>
      </w:r>
      <w:r w:rsidRPr="00640F03" w:rsidR="000B6F69">
        <w:rPr>
          <w:lang w:val="fr-FR"/>
        </w:rPr>
        <w:t>a adoptée le 19</w:t>
      </w:r>
      <w:r w:rsidRPr="00640F03" w:rsidR="002B200D">
        <w:rPr>
          <w:lang w:val="fr-FR"/>
        </w:rPr>
        <w:t> </w:t>
      </w:r>
      <w:r w:rsidRPr="00640F03" w:rsidR="000B6F69">
        <w:rPr>
          <w:lang w:val="fr-FR"/>
        </w:rPr>
        <w:t>novembre 1996.</w:t>
      </w:r>
    </w:p>
    <w:p w:rsidRPr="00640F03" w:rsidR="009C0308" w:rsidP="00640F03" w:rsidRDefault="00F6518C" w14:paraId="01165C62" w14:textId="0299AB0D">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43</w:t>
      </w:r>
      <w:r w:rsidRPr="00640F03">
        <w:rPr>
          <w:lang w:val="fr-FR"/>
        </w:rPr>
        <w:fldChar w:fldCharType="end"/>
      </w:r>
      <w:r w:rsidRPr="00640F03">
        <w:rPr>
          <w:lang w:val="fr-FR"/>
        </w:rPr>
        <w:t>.  </w:t>
      </w:r>
      <w:r w:rsidRPr="00640F03" w:rsidR="002B200D">
        <w:rPr>
          <w:lang w:val="fr-FR"/>
        </w:rPr>
        <w:t>En outre, comme cela ressort de la genèse de l</w:t>
      </w:r>
      <w:r w:rsidRPr="00640F03" w:rsidR="00640F03">
        <w:rPr>
          <w:lang w:val="fr-FR"/>
        </w:rPr>
        <w:t>’</w:t>
      </w:r>
      <w:r w:rsidRPr="00640F03" w:rsidR="002B200D">
        <w:rPr>
          <w:lang w:val="fr-FR"/>
        </w:rPr>
        <w:t>article</w:t>
      </w:r>
      <w:r w:rsidRPr="00640F03" w:rsidR="00FE7DB4">
        <w:rPr>
          <w:lang w:val="fr-FR"/>
        </w:rPr>
        <w:t> </w:t>
      </w:r>
      <w:r w:rsidRPr="00640F03" w:rsidR="002B200D">
        <w:rPr>
          <w:lang w:val="fr-FR"/>
        </w:rPr>
        <w:t>29, les institutions compétentes partageaient l</w:t>
      </w:r>
      <w:r w:rsidRPr="00640F03" w:rsidR="00640F03">
        <w:rPr>
          <w:lang w:val="fr-FR"/>
        </w:rPr>
        <w:t>’</w:t>
      </w:r>
      <w:r w:rsidRPr="00640F03" w:rsidR="002B200D">
        <w:rPr>
          <w:lang w:val="fr-FR"/>
        </w:rPr>
        <w:t>idée que le rôle consultatif qu</w:t>
      </w:r>
      <w:r w:rsidRPr="00640F03" w:rsidR="00640F03">
        <w:rPr>
          <w:lang w:val="fr-FR"/>
        </w:rPr>
        <w:t>’</w:t>
      </w:r>
      <w:r w:rsidRPr="00640F03" w:rsidR="002B200D">
        <w:rPr>
          <w:lang w:val="fr-FR"/>
        </w:rPr>
        <w:t>il était envisagé de conférer à la Cour était à la fois légitime et justifié (paragraphe </w:t>
      </w:r>
      <w:r w:rsidRPr="00640F03" w:rsidR="00AD54F5">
        <w:rPr>
          <w:lang w:val="fr-FR"/>
        </w:rPr>
        <w:fldChar w:fldCharType="begin"/>
      </w:r>
      <w:r w:rsidRPr="00640F03" w:rsidR="00AD54F5">
        <w:rPr>
          <w:lang w:val="fr-FR"/>
        </w:rPr>
        <w:instrText xml:space="preserve"> REF P13 \h </w:instrText>
      </w:r>
      <w:r w:rsidRPr="00640F03" w:rsidR="00BC0B44">
        <w:rPr>
          <w:lang w:val="fr-FR"/>
        </w:rPr>
        <w:instrText xml:space="preserve"> \* MERGEFORMAT </w:instrText>
      </w:r>
      <w:r w:rsidRPr="00640F03" w:rsidR="00AD54F5">
        <w:rPr>
          <w:lang w:val="fr-FR"/>
        </w:rPr>
      </w:r>
      <w:r w:rsidRPr="00640F03" w:rsidR="00AD54F5">
        <w:rPr>
          <w:lang w:val="fr-FR"/>
        </w:rPr>
        <w:fldChar w:fldCharType="separate"/>
      </w:r>
      <w:r w:rsidRPr="00640F03" w:rsidR="00640F03">
        <w:rPr>
          <w:noProof/>
          <w:lang w:val="fr-FR"/>
        </w:rPr>
        <w:t>13</w:t>
      </w:r>
      <w:r w:rsidRPr="00640F03" w:rsidR="00AD54F5">
        <w:rPr>
          <w:lang w:val="fr-FR"/>
        </w:rPr>
        <w:fldChar w:fldCharType="end"/>
      </w:r>
      <w:r w:rsidRPr="00640F03" w:rsidR="002B200D">
        <w:rPr>
          <w:lang w:val="fr-FR"/>
        </w:rPr>
        <w:t xml:space="preserve"> ci-dessus).</w:t>
      </w:r>
    </w:p>
    <w:p w:rsidRPr="00640F03" w:rsidR="006E0F85" w:rsidP="00640F03" w:rsidRDefault="008714E0" w14:paraId="2CFB01FE" w14:textId="2756B91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44</w:t>
      </w:r>
      <w:r w:rsidRPr="00640F03">
        <w:rPr>
          <w:lang w:val="fr-FR"/>
        </w:rPr>
        <w:fldChar w:fldCharType="end"/>
      </w:r>
      <w:r w:rsidRPr="00640F03">
        <w:rPr>
          <w:lang w:val="fr-FR"/>
        </w:rPr>
        <w:t>.  </w:t>
      </w:r>
      <w:r w:rsidRPr="00640F03" w:rsidR="002B200D">
        <w:rPr>
          <w:lang w:val="fr-FR"/>
        </w:rPr>
        <w:t>La Cour elle-même a accueilli favorablement cette idée dans son avis de 1995 sur le projet de Convention d</w:t>
      </w:r>
      <w:r w:rsidRPr="00640F03" w:rsidR="00640F03">
        <w:rPr>
          <w:lang w:val="fr-FR"/>
        </w:rPr>
        <w:t>’</w:t>
      </w:r>
      <w:r w:rsidRPr="00640F03" w:rsidR="002B200D">
        <w:rPr>
          <w:lang w:val="fr-FR"/>
        </w:rPr>
        <w:t xml:space="preserve">Oviedo (paragraphe </w:t>
      </w:r>
      <w:r w:rsidRPr="00640F03" w:rsidR="00AD54F5">
        <w:rPr>
          <w:lang w:val="fr-FR"/>
        </w:rPr>
        <w:fldChar w:fldCharType="begin"/>
      </w:r>
      <w:r w:rsidRPr="00640F03" w:rsidR="00AD54F5">
        <w:rPr>
          <w:lang w:val="fr-FR"/>
        </w:rPr>
        <w:instrText xml:space="preserve"> REF P14 \h </w:instrText>
      </w:r>
      <w:r w:rsidRPr="00640F03" w:rsidR="00BC0B44">
        <w:rPr>
          <w:lang w:val="fr-FR"/>
        </w:rPr>
        <w:instrText xml:space="preserve"> \* MERGEFORMAT </w:instrText>
      </w:r>
      <w:r w:rsidRPr="00640F03" w:rsidR="00AD54F5">
        <w:rPr>
          <w:lang w:val="fr-FR"/>
        </w:rPr>
      </w:r>
      <w:r w:rsidRPr="00640F03" w:rsidR="00AD54F5">
        <w:rPr>
          <w:lang w:val="fr-FR"/>
        </w:rPr>
        <w:fldChar w:fldCharType="separate"/>
      </w:r>
      <w:r w:rsidRPr="00640F03" w:rsidR="00640F03">
        <w:rPr>
          <w:noProof/>
          <w:lang w:val="fr-FR"/>
        </w:rPr>
        <w:t>14</w:t>
      </w:r>
      <w:r w:rsidRPr="00640F03" w:rsidR="00AD54F5">
        <w:rPr>
          <w:lang w:val="fr-FR"/>
        </w:rPr>
        <w:fldChar w:fldCharType="end"/>
      </w:r>
      <w:r w:rsidRPr="00640F03" w:rsidR="002B200D">
        <w:rPr>
          <w:lang w:val="fr-FR"/>
        </w:rPr>
        <w:t xml:space="preserve"> ci-dessus), dans lequel elle a souligné le degré important de convergence entre cet instrument et la Convention. La Convention d</w:t>
      </w:r>
      <w:r w:rsidRPr="00640F03" w:rsidR="00640F03">
        <w:rPr>
          <w:lang w:val="fr-FR"/>
        </w:rPr>
        <w:t>’</w:t>
      </w:r>
      <w:r w:rsidRPr="00640F03" w:rsidR="002B200D">
        <w:rPr>
          <w:lang w:val="fr-FR"/>
        </w:rPr>
        <w:t>Oviedo compte parmi les traités relatifs aux droits de l</w:t>
      </w:r>
      <w:r w:rsidRPr="00640F03" w:rsidR="00640F03">
        <w:rPr>
          <w:lang w:val="fr-FR"/>
        </w:rPr>
        <w:t>’</w:t>
      </w:r>
      <w:r w:rsidRPr="00640F03" w:rsidR="002B200D">
        <w:rPr>
          <w:lang w:val="fr-FR"/>
        </w:rPr>
        <w:t>homme conclus dans le cadre du Conseil de l</w:t>
      </w:r>
      <w:r w:rsidRPr="00640F03" w:rsidR="00640F03">
        <w:rPr>
          <w:lang w:val="fr-FR"/>
        </w:rPr>
        <w:t>’</w:t>
      </w:r>
      <w:r w:rsidRPr="00640F03" w:rsidR="002B200D">
        <w:rPr>
          <w:lang w:val="fr-FR"/>
        </w:rPr>
        <w:t>Europe, dans le but de réaliser une union plus étroite entre ses membres par la sauvegarde et le développement des droits de l</w:t>
      </w:r>
      <w:r w:rsidRPr="00640F03" w:rsidR="00640F03">
        <w:rPr>
          <w:lang w:val="fr-FR"/>
        </w:rPr>
        <w:t>’</w:t>
      </w:r>
      <w:r w:rsidRPr="00640F03" w:rsidR="002B200D">
        <w:rPr>
          <w:lang w:val="fr-FR"/>
        </w:rPr>
        <w:t>homme et des libertés fondamentales. Il a été considéré à l</w:t>
      </w:r>
      <w:r w:rsidRPr="00640F03" w:rsidR="00640F03">
        <w:rPr>
          <w:lang w:val="fr-FR"/>
        </w:rPr>
        <w:t>’</w:t>
      </w:r>
      <w:r w:rsidRPr="00640F03" w:rsidR="002B200D">
        <w:rPr>
          <w:lang w:val="fr-FR"/>
        </w:rPr>
        <w:t>époque qu</w:t>
      </w:r>
      <w:r w:rsidRPr="00640F03" w:rsidR="00640F03">
        <w:rPr>
          <w:lang w:val="fr-FR"/>
        </w:rPr>
        <w:t>’</w:t>
      </w:r>
      <w:r w:rsidRPr="00640F03" w:rsidR="000E115B">
        <w:rPr>
          <w:lang w:val="fr-FR"/>
        </w:rPr>
        <w:t xml:space="preserve">eu </w:t>
      </w:r>
      <w:r w:rsidRPr="00640F03" w:rsidR="004A0AE8">
        <w:rPr>
          <w:lang w:val="fr-FR"/>
        </w:rPr>
        <w:t xml:space="preserve">égard au </w:t>
      </w:r>
      <w:r w:rsidRPr="00640F03" w:rsidR="0098267B">
        <w:rPr>
          <w:lang w:val="fr-FR"/>
        </w:rPr>
        <w:t>fait que ces deux instruments partageaient une série de notions</w:t>
      </w:r>
      <w:r w:rsidRPr="00640F03" w:rsidR="004A0AE8">
        <w:rPr>
          <w:lang w:val="fr-FR"/>
        </w:rPr>
        <w:t>,</w:t>
      </w:r>
      <w:r w:rsidRPr="00640F03" w:rsidR="002B200D">
        <w:rPr>
          <w:lang w:val="fr-FR"/>
        </w:rPr>
        <w:t xml:space="preserve"> l</w:t>
      </w:r>
      <w:r w:rsidRPr="00640F03" w:rsidR="00640F03">
        <w:rPr>
          <w:lang w:val="fr-FR"/>
        </w:rPr>
        <w:t>’</w:t>
      </w:r>
      <w:r w:rsidRPr="00640F03" w:rsidR="002B200D">
        <w:rPr>
          <w:lang w:val="fr-FR"/>
        </w:rPr>
        <w:t>exercice par la Cour d</w:t>
      </w:r>
      <w:r w:rsidRPr="00640F03" w:rsidR="00640F03">
        <w:rPr>
          <w:lang w:val="fr-FR"/>
        </w:rPr>
        <w:t>’</w:t>
      </w:r>
      <w:r w:rsidRPr="00640F03" w:rsidR="002B200D">
        <w:rPr>
          <w:lang w:val="fr-FR"/>
        </w:rPr>
        <w:t>une fonction interprétative à l</w:t>
      </w:r>
      <w:r w:rsidRPr="00640F03" w:rsidR="00640F03">
        <w:rPr>
          <w:lang w:val="fr-FR"/>
        </w:rPr>
        <w:t>’</w:t>
      </w:r>
      <w:r w:rsidRPr="00640F03" w:rsidR="002B200D">
        <w:rPr>
          <w:lang w:val="fr-FR"/>
        </w:rPr>
        <w:t>égard de la Convention d</w:t>
      </w:r>
      <w:r w:rsidRPr="00640F03" w:rsidR="00640F03">
        <w:rPr>
          <w:lang w:val="fr-FR"/>
        </w:rPr>
        <w:t>’</w:t>
      </w:r>
      <w:r w:rsidRPr="00640F03" w:rsidR="002B200D">
        <w:rPr>
          <w:lang w:val="fr-FR"/>
        </w:rPr>
        <w:t>Oviedo serait propre à garantir une interprétation uniforme de ces notions et à éviter qu</w:t>
      </w:r>
      <w:r w:rsidRPr="00640F03" w:rsidR="00640F03">
        <w:rPr>
          <w:lang w:val="fr-FR"/>
        </w:rPr>
        <w:t>’</w:t>
      </w:r>
      <w:r w:rsidRPr="00640F03" w:rsidR="002B200D">
        <w:rPr>
          <w:lang w:val="fr-FR"/>
        </w:rPr>
        <w:t>elles reçoivent des interprétations divergentes au titre de chacune de ces conventions.</w:t>
      </w:r>
    </w:p>
    <w:p w:rsidRPr="00640F03" w:rsidR="00841846" w:rsidP="00640F03" w:rsidRDefault="002B200D" w14:paraId="0015073D" w14:textId="3950DA9B">
      <w:pPr>
        <w:pStyle w:val="JuPara"/>
        <w:rPr>
          <w:lang w:val="fr-FR"/>
        </w:rPr>
      </w:pPr>
      <w:r w:rsidRPr="00640F03">
        <w:rPr>
          <w:lang w:val="fr-FR"/>
        </w:rPr>
        <w:fldChar w:fldCharType="begin"/>
      </w:r>
      <w:r w:rsidRPr="00640F03">
        <w:rPr>
          <w:lang w:val="fr-FR"/>
        </w:rPr>
        <w:instrText xml:space="preserve"> SEQ level0 \*arabic \* MERGEFORMAT </w:instrText>
      </w:r>
      <w:r w:rsidRPr="00640F03">
        <w:rPr>
          <w:lang w:val="fr-FR"/>
        </w:rPr>
        <w:fldChar w:fldCharType="separate"/>
      </w:r>
      <w:r w:rsidRPr="00640F03" w:rsidR="00640F03">
        <w:rPr>
          <w:noProof/>
          <w:lang w:val="fr-FR"/>
        </w:rPr>
        <w:t>45</w:t>
      </w:r>
      <w:r w:rsidRPr="00640F03">
        <w:rPr>
          <w:lang w:val="fr-FR"/>
        </w:rPr>
        <w:fldChar w:fldCharType="end"/>
      </w:r>
      <w:r w:rsidRPr="00640F03">
        <w:rPr>
          <w:lang w:val="fr-FR"/>
        </w:rPr>
        <w:t>.  </w:t>
      </w:r>
      <w:r w:rsidRPr="00640F03" w:rsidR="001A77AA">
        <w:rPr>
          <w:lang w:val="fr-FR"/>
        </w:rPr>
        <w:t>Quant à l</w:t>
      </w:r>
      <w:r w:rsidRPr="00640F03" w:rsidR="00640F03">
        <w:rPr>
          <w:lang w:val="fr-FR"/>
        </w:rPr>
        <w:t>’</w:t>
      </w:r>
      <w:r w:rsidRPr="00640F03" w:rsidR="001A77AA">
        <w:rPr>
          <w:lang w:val="fr-FR"/>
        </w:rPr>
        <w:t>argument qu</w:t>
      </w:r>
      <w:r w:rsidRPr="00640F03" w:rsidR="00640F03">
        <w:rPr>
          <w:lang w:val="fr-FR"/>
        </w:rPr>
        <w:t>’</w:t>
      </w:r>
      <w:r w:rsidRPr="00640F03" w:rsidR="001A77AA">
        <w:rPr>
          <w:lang w:val="fr-FR"/>
        </w:rPr>
        <w:t>un gouvernement tire de l</w:t>
      </w:r>
      <w:r w:rsidRPr="00640F03" w:rsidR="00640F03">
        <w:rPr>
          <w:lang w:val="fr-FR"/>
        </w:rPr>
        <w:t>’</w:t>
      </w:r>
      <w:r w:rsidRPr="00640F03" w:rsidR="001A77AA">
        <w:rPr>
          <w:lang w:val="fr-FR"/>
        </w:rPr>
        <w:t xml:space="preserve">absence dans le règlement de la Cour de règles procédurales spécifiques </w:t>
      </w:r>
      <w:r w:rsidRPr="00640F03" w:rsidR="00560B56">
        <w:rPr>
          <w:lang w:val="fr-FR"/>
        </w:rPr>
        <w:t xml:space="preserve">pour </w:t>
      </w:r>
      <w:r w:rsidRPr="00640F03" w:rsidR="001A77AA">
        <w:rPr>
          <w:lang w:val="fr-FR"/>
        </w:rPr>
        <w:t>la présente procédure (paragraphe</w:t>
      </w:r>
      <w:r w:rsidRPr="00640F03" w:rsidR="00FE7DB4">
        <w:rPr>
          <w:lang w:val="fr-FR"/>
        </w:rPr>
        <w:t> </w:t>
      </w:r>
      <w:r w:rsidRPr="00640F03" w:rsidR="001A77AA">
        <w:rPr>
          <w:lang w:val="fr-FR"/>
        </w:rPr>
        <w:fldChar w:fldCharType="begin"/>
      </w:r>
      <w:r w:rsidRPr="00640F03" w:rsidR="001A77AA">
        <w:rPr>
          <w:lang w:val="fr-FR"/>
        </w:rPr>
        <w:instrText xml:space="preserve"> REF P37 \h  \* MERGEFORMAT </w:instrText>
      </w:r>
      <w:r w:rsidRPr="00640F03" w:rsidR="001A77AA">
        <w:rPr>
          <w:lang w:val="fr-FR"/>
        </w:rPr>
      </w:r>
      <w:r w:rsidRPr="00640F03" w:rsidR="001A77AA">
        <w:rPr>
          <w:lang w:val="fr-FR"/>
        </w:rPr>
        <w:fldChar w:fldCharType="separate"/>
      </w:r>
      <w:r w:rsidRPr="00640F03" w:rsidR="00640F03">
        <w:rPr>
          <w:noProof/>
          <w:lang w:val="fr-FR"/>
        </w:rPr>
        <w:t>37</w:t>
      </w:r>
      <w:r w:rsidRPr="00640F03" w:rsidR="001A77AA">
        <w:rPr>
          <w:lang w:val="fr-FR"/>
        </w:rPr>
        <w:fldChar w:fldCharType="end"/>
      </w:r>
      <w:r w:rsidRPr="00640F03" w:rsidR="001A77AA">
        <w:rPr>
          <w:lang w:val="fr-FR"/>
        </w:rPr>
        <w:t xml:space="preserve"> ci-dessus), la Cour </w:t>
      </w:r>
      <w:r w:rsidRPr="00640F03" w:rsidR="0098267B">
        <w:rPr>
          <w:lang w:val="fr-FR"/>
        </w:rPr>
        <w:t xml:space="preserve">estime </w:t>
      </w:r>
      <w:r w:rsidRPr="00640F03" w:rsidR="001A77AA">
        <w:rPr>
          <w:lang w:val="fr-FR"/>
        </w:rPr>
        <w:t>que ce</w:t>
      </w:r>
      <w:r w:rsidRPr="00640F03" w:rsidR="006E1B9D">
        <w:rPr>
          <w:lang w:val="fr-FR"/>
        </w:rPr>
        <w:t xml:space="preserve"> point</w:t>
      </w:r>
      <w:r w:rsidRPr="00640F03" w:rsidR="001A77AA">
        <w:rPr>
          <w:lang w:val="fr-FR"/>
        </w:rPr>
        <w:t xml:space="preserve"> n</w:t>
      </w:r>
      <w:r w:rsidRPr="00640F03" w:rsidR="00640F03">
        <w:rPr>
          <w:lang w:val="fr-FR"/>
        </w:rPr>
        <w:t>’</w:t>
      </w:r>
      <w:r w:rsidRPr="00640F03" w:rsidR="001A77AA">
        <w:rPr>
          <w:lang w:val="fr-FR"/>
        </w:rPr>
        <w:t>est pas déterminant pour la question de sa compétence au titre de</w:t>
      </w:r>
      <w:r w:rsidRPr="00640F03">
        <w:rPr>
          <w:lang w:val="fr-FR"/>
        </w:rPr>
        <w:t xml:space="preserve"> l</w:t>
      </w:r>
      <w:r w:rsidRPr="00640F03" w:rsidR="00640F03">
        <w:rPr>
          <w:lang w:val="fr-FR"/>
        </w:rPr>
        <w:t>’</w:t>
      </w:r>
      <w:r w:rsidRPr="00640F03">
        <w:rPr>
          <w:lang w:val="fr-FR"/>
        </w:rPr>
        <w:t>article</w:t>
      </w:r>
      <w:r w:rsidRPr="00640F03" w:rsidR="000770D1">
        <w:rPr>
          <w:lang w:val="fr-FR"/>
        </w:rPr>
        <w:t> </w:t>
      </w:r>
      <w:r w:rsidRPr="00640F03">
        <w:rPr>
          <w:lang w:val="fr-FR"/>
        </w:rPr>
        <w:t>29 de la Convention d</w:t>
      </w:r>
      <w:r w:rsidRPr="00640F03" w:rsidR="00640F03">
        <w:rPr>
          <w:lang w:val="fr-FR"/>
        </w:rPr>
        <w:t>’</w:t>
      </w:r>
      <w:r w:rsidRPr="00640F03">
        <w:rPr>
          <w:lang w:val="fr-FR"/>
        </w:rPr>
        <w:t>Oviedo</w:t>
      </w:r>
      <w:r w:rsidRPr="00640F03" w:rsidR="0098267B">
        <w:rPr>
          <w:lang w:val="fr-FR"/>
        </w:rPr>
        <w:t xml:space="preserve"> et qu</w:t>
      </w:r>
      <w:r w:rsidRPr="00640F03" w:rsidR="00640F03">
        <w:rPr>
          <w:lang w:val="fr-FR"/>
        </w:rPr>
        <w:t>’</w:t>
      </w:r>
      <w:r w:rsidRPr="00640F03" w:rsidR="0098267B">
        <w:rPr>
          <w:lang w:val="fr-FR"/>
        </w:rPr>
        <w:t>il ne pose pas</w:t>
      </w:r>
      <w:r w:rsidRPr="00640F03" w:rsidR="001A77AA">
        <w:rPr>
          <w:lang w:val="fr-FR"/>
        </w:rPr>
        <w:t xml:space="preserve"> de difficulté particulière.</w:t>
      </w:r>
      <w:r w:rsidRPr="00640F03">
        <w:rPr>
          <w:lang w:val="fr-FR"/>
        </w:rPr>
        <w:t xml:space="preserve"> </w:t>
      </w:r>
      <w:r w:rsidRPr="00640F03" w:rsidR="0098267B">
        <w:rPr>
          <w:lang w:val="fr-FR"/>
        </w:rPr>
        <w:t>Elle considère en effet qu</w:t>
      </w:r>
      <w:r w:rsidRPr="00640F03" w:rsidR="00560B56">
        <w:rPr>
          <w:lang w:val="fr-FR"/>
        </w:rPr>
        <w:t>e c</w:t>
      </w:r>
      <w:r w:rsidRPr="00640F03" w:rsidR="001A77AA">
        <w:rPr>
          <w:lang w:val="fr-FR"/>
        </w:rPr>
        <w:t>ompte tenu du silence de la Convention d</w:t>
      </w:r>
      <w:r w:rsidRPr="00640F03" w:rsidR="00640F03">
        <w:rPr>
          <w:lang w:val="fr-FR"/>
        </w:rPr>
        <w:t>’</w:t>
      </w:r>
      <w:r w:rsidRPr="00640F03" w:rsidR="001A77AA">
        <w:rPr>
          <w:lang w:val="fr-FR"/>
        </w:rPr>
        <w:t xml:space="preserve">Oviedo à cet égard, il </w:t>
      </w:r>
      <w:r w:rsidRPr="00640F03" w:rsidR="00560B56">
        <w:rPr>
          <w:lang w:val="fr-FR"/>
        </w:rPr>
        <w:t xml:space="preserve">lui </w:t>
      </w:r>
      <w:r w:rsidRPr="00640F03" w:rsidR="001A77AA">
        <w:rPr>
          <w:lang w:val="fr-FR"/>
        </w:rPr>
        <w:t>appartient</w:t>
      </w:r>
      <w:r w:rsidRPr="00640F03" w:rsidR="00560B56">
        <w:rPr>
          <w:lang w:val="fr-FR"/>
        </w:rPr>
        <w:t>,</w:t>
      </w:r>
      <w:r w:rsidRPr="00640F03" w:rsidR="001A77AA">
        <w:rPr>
          <w:lang w:val="fr-FR"/>
        </w:rPr>
        <w:t xml:space="preserve"> par analogie avec l</w:t>
      </w:r>
      <w:r w:rsidRPr="00640F03" w:rsidR="00640F03">
        <w:rPr>
          <w:lang w:val="fr-FR"/>
        </w:rPr>
        <w:t>’</w:t>
      </w:r>
      <w:r w:rsidRPr="00640F03" w:rsidR="001A77AA">
        <w:rPr>
          <w:lang w:val="fr-FR"/>
        </w:rPr>
        <w:t>article</w:t>
      </w:r>
      <w:r w:rsidRPr="00640F03" w:rsidR="00FE7DB4">
        <w:rPr>
          <w:lang w:val="fr-FR"/>
        </w:rPr>
        <w:t> </w:t>
      </w:r>
      <w:r w:rsidRPr="00640F03" w:rsidR="001A77AA">
        <w:rPr>
          <w:lang w:val="fr-FR"/>
        </w:rPr>
        <w:t>25</w:t>
      </w:r>
      <w:r w:rsidRPr="00640F03" w:rsidR="00FE7DB4">
        <w:rPr>
          <w:lang w:val="fr-FR"/>
        </w:rPr>
        <w:t> </w:t>
      </w:r>
      <w:r w:rsidRPr="00640F03" w:rsidR="001A77AA">
        <w:rPr>
          <w:lang w:val="fr-FR"/>
        </w:rPr>
        <w:t xml:space="preserve">d) de la Convention, </w:t>
      </w:r>
      <w:r w:rsidRPr="00640F03" w:rsidR="00560B56">
        <w:rPr>
          <w:lang w:val="fr-FR"/>
        </w:rPr>
        <w:t>en vertu duquel elle est seule compétente pour adopter son règlement, de définir la procédure</w:t>
      </w:r>
      <w:r w:rsidRPr="00640F03" w:rsidR="004A0AE8">
        <w:rPr>
          <w:lang w:val="fr-FR"/>
        </w:rPr>
        <w:t xml:space="preserve"> à suivre</w:t>
      </w:r>
      <w:r w:rsidRPr="00640F03" w:rsidR="00560B56">
        <w:rPr>
          <w:lang w:val="fr-FR"/>
        </w:rPr>
        <w:t>.</w:t>
      </w:r>
    </w:p>
    <w:bookmarkStart w:name="P43" w:id="22"/>
    <w:bookmarkEnd w:id="21"/>
    <w:p w:rsidRPr="00640F03" w:rsidR="001A77AA" w:rsidP="00640F03" w:rsidRDefault="001002FC" w14:paraId="18353D82" w14:textId="64814B64">
      <w:pPr>
        <w:pStyle w:val="JuPara"/>
        <w:rPr>
          <w:rFonts w:ascii="Times New Roman" w:hAnsi="Times New Roman" w:cs="Times New Roman"/>
          <w:lang w:val="fr-FR"/>
        </w:rPr>
      </w:pPr>
      <w:r w:rsidRPr="00640F03">
        <w:rPr>
          <w:rFonts w:ascii="Times New Roman" w:hAnsi="Times New Roman" w:cs="Times New Roman"/>
          <w:lang w:val="fr-FR"/>
        </w:rPr>
        <w:fldChar w:fldCharType="begin"/>
      </w:r>
      <w:r w:rsidRPr="00640F03">
        <w:rPr>
          <w:rFonts w:ascii="Times New Roman" w:hAnsi="Times New Roman" w:cs="Times New Roman"/>
          <w:lang w:val="fr-FR"/>
        </w:rPr>
        <w:instrText xml:space="preserve"> SEQ level0 \*arabic </w:instrText>
      </w:r>
      <w:r w:rsidRPr="00640F03">
        <w:rPr>
          <w:rFonts w:ascii="Times New Roman" w:hAnsi="Times New Roman" w:cs="Times New Roman"/>
          <w:lang w:val="fr-FR"/>
        </w:rPr>
        <w:fldChar w:fldCharType="separate"/>
      </w:r>
      <w:r w:rsidRPr="00640F03" w:rsidR="00640F03">
        <w:rPr>
          <w:rFonts w:ascii="Times New Roman" w:hAnsi="Times New Roman" w:cs="Times New Roman"/>
          <w:noProof/>
          <w:lang w:val="fr-FR"/>
        </w:rPr>
        <w:t>46</w:t>
      </w:r>
      <w:r w:rsidRPr="00640F03">
        <w:rPr>
          <w:rFonts w:ascii="Times New Roman" w:hAnsi="Times New Roman" w:cs="Times New Roman"/>
          <w:lang w:val="fr-FR"/>
        </w:rPr>
        <w:fldChar w:fldCharType="end"/>
      </w:r>
      <w:bookmarkEnd w:id="22"/>
      <w:r w:rsidRPr="00640F03">
        <w:rPr>
          <w:rFonts w:ascii="Times New Roman" w:hAnsi="Times New Roman" w:cs="Times New Roman"/>
          <w:lang w:val="fr-FR"/>
        </w:rPr>
        <w:t>.  </w:t>
      </w:r>
      <w:r w:rsidRPr="00640F03" w:rsidR="001A77AA">
        <w:rPr>
          <w:rFonts w:ascii="Times New Roman" w:hAnsi="Times New Roman" w:cs="Times New Roman"/>
          <w:lang w:val="fr-FR"/>
        </w:rPr>
        <w:t xml:space="preserve">Pour conclure sur ce premier point, </w:t>
      </w:r>
      <w:r w:rsidRPr="00640F03" w:rsidR="00584A43">
        <w:rPr>
          <w:rFonts w:ascii="Times New Roman" w:hAnsi="Times New Roman" w:cs="Times New Roman"/>
          <w:lang w:val="fr-FR"/>
        </w:rPr>
        <w:t xml:space="preserve">la Cour, </w:t>
      </w:r>
      <w:r w:rsidRPr="00640F03" w:rsidR="00560B56">
        <w:rPr>
          <w:rFonts w:ascii="Times New Roman" w:hAnsi="Times New Roman" w:cs="Times New Roman"/>
          <w:lang w:val="fr-FR"/>
        </w:rPr>
        <w:t>eu égard</w:t>
      </w:r>
      <w:r w:rsidRPr="00640F03" w:rsidR="00C92C8F">
        <w:rPr>
          <w:rFonts w:ascii="Times New Roman" w:hAnsi="Times New Roman" w:cs="Times New Roman"/>
          <w:lang w:val="fr-FR"/>
        </w:rPr>
        <w:t>, d</w:t>
      </w:r>
      <w:r w:rsidRPr="00640F03" w:rsidR="00640F03">
        <w:rPr>
          <w:rFonts w:ascii="Times New Roman" w:hAnsi="Times New Roman" w:cs="Times New Roman"/>
          <w:lang w:val="fr-FR"/>
        </w:rPr>
        <w:t>’</w:t>
      </w:r>
      <w:r w:rsidRPr="00640F03" w:rsidR="00C92C8F">
        <w:rPr>
          <w:rFonts w:ascii="Times New Roman" w:hAnsi="Times New Roman" w:cs="Times New Roman"/>
          <w:lang w:val="fr-FR"/>
        </w:rPr>
        <w:t xml:space="preserve">une part, </w:t>
      </w:r>
      <w:r w:rsidRPr="00640F03" w:rsidR="00560B56">
        <w:rPr>
          <w:rFonts w:ascii="Times New Roman" w:hAnsi="Times New Roman" w:cs="Times New Roman"/>
          <w:lang w:val="fr-FR"/>
        </w:rPr>
        <w:t xml:space="preserve">à </w:t>
      </w:r>
      <w:r w:rsidRPr="00640F03" w:rsidR="00C92C8F">
        <w:rPr>
          <w:rFonts w:ascii="Times New Roman" w:hAnsi="Times New Roman" w:cs="Times New Roman"/>
          <w:lang w:val="fr-FR"/>
        </w:rPr>
        <w:t>l</w:t>
      </w:r>
      <w:r w:rsidRPr="00640F03" w:rsidR="00640F03">
        <w:rPr>
          <w:rFonts w:ascii="Times New Roman" w:hAnsi="Times New Roman" w:cs="Times New Roman"/>
          <w:lang w:val="fr-FR"/>
        </w:rPr>
        <w:t>’</w:t>
      </w:r>
      <w:r w:rsidRPr="00640F03" w:rsidR="00C92C8F">
        <w:rPr>
          <w:rFonts w:ascii="Times New Roman" w:hAnsi="Times New Roman" w:cs="Times New Roman"/>
          <w:lang w:val="fr-FR"/>
        </w:rPr>
        <w:t>absence en l</w:t>
      </w:r>
      <w:r w:rsidRPr="00640F03" w:rsidR="00640F03">
        <w:rPr>
          <w:rFonts w:ascii="Times New Roman" w:hAnsi="Times New Roman" w:cs="Times New Roman"/>
          <w:lang w:val="fr-FR"/>
        </w:rPr>
        <w:t>’</w:t>
      </w:r>
      <w:r w:rsidRPr="00640F03" w:rsidR="00C92C8F">
        <w:rPr>
          <w:rFonts w:ascii="Times New Roman" w:hAnsi="Times New Roman" w:cs="Times New Roman"/>
          <w:lang w:val="fr-FR"/>
        </w:rPr>
        <w:t>espèce de conflit entre les dispositions pertinentes de</w:t>
      </w:r>
      <w:r w:rsidRPr="00640F03" w:rsidR="00560B56">
        <w:rPr>
          <w:rFonts w:ascii="Times New Roman" w:hAnsi="Times New Roman" w:cs="Times New Roman"/>
          <w:lang w:val="fr-FR"/>
        </w:rPr>
        <w:t>s</w:t>
      </w:r>
      <w:r w:rsidRPr="00640F03" w:rsidR="00C92C8F">
        <w:rPr>
          <w:rFonts w:ascii="Times New Roman" w:hAnsi="Times New Roman" w:cs="Times New Roman"/>
          <w:lang w:val="fr-FR"/>
        </w:rPr>
        <w:t xml:space="preserve"> deux instruments</w:t>
      </w:r>
      <w:r w:rsidRPr="00640F03" w:rsidR="00560B56">
        <w:rPr>
          <w:rFonts w:ascii="Times New Roman" w:hAnsi="Times New Roman" w:cs="Times New Roman"/>
          <w:lang w:val="fr-FR"/>
        </w:rPr>
        <w:t xml:space="preserve"> en question</w:t>
      </w:r>
      <w:r w:rsidRPr="00640F03" w:rsidR="00C92C8F">
        <w:rPr>
          <w:rFonts w:ascii="Times New Roman" w:hAnsi="Times New Roman" w:cs="Times New Roman"/>
          <w:lang w:val="fr-FR"/>
        </w:rPr>
        <w:t>, et, d</w:t>
      </w:r>
      <w:r w:rsidRPr="00640F03" w:rsidR="00640F03">
        <w:rPr>
          <w:rFonts w:ascii="Times New Roman" w:hAnsi="Times New Roman" w:cs="Times New Roman"/>
          <w:lang w:val="fr-FR"/>
        </w:rPr>
        <w:t>’</w:t>
      </w:r>
      <w:r w:rsidRPr="00640F03" w:rsidR="00C92C8F">
        <w:rPr>
          <w:rFonts w:ascii="Times New Roman" w:hAnsi="Times New Roman" w:cs="Times New Roman"/>
          <w:lang w:val="fr-FR"/>
        </w:rPr>
        <w:t xml:space="preserve">autre part, </w:t>
      </w:r>
      <w:r w:rsidRPr="00640F03" w:rsidR="00584A43">
        <w:rPr>
          <w:rFonts w:ascii="Times New Roman" w:hAnsi="Times New Roman" w:cs="Times New Roman"/>
          <w:lang w:val="fr-FR"/>
        </w:rPr>
        <w:t xml:space="preserve">à </w:t>
      </w:r>
      <w:r w:rsidRPr="00640F03" w:rsidR="00C92C8F">
        <w:rPr>
          <w:rFonts w:ascii="Times New Roman" w:hAnsi="Times New Roman" w:cs="Times New Roman"/>
          <w:lang w:val="fr-FR"/>
        </w:rPr>
        <w:t>l</w:t>
      </w:r>
      <w:r w:rsidRPr="00640F03" w:rsidR="00640F03">
        <w:rPr>
          <w:rFonts w:ascii="Times New Roman" w:hAnsi="Times New Roman" w:cs="Times New Roman"/>
          <w:lang w:val="fr-FR"/>
        </w:rPr>
        <w:t>’</w:t>
      </w:r>
      <w:r w:rsidRPr="00640F03" w:rsidR="00C92C8F">
        <w:rPr>
          <w:rFonts w:ascii="Times New Roman" w:hAnsi="Times New Roman" w:cs="Times New Roman"/>
          <w:lang w:val="fr-FR"/>
        </w:rPr>
        <w:t>accord des États contractants tel qu</w:t>
      </w:r>
      <w:r w:rsidRPr="00640F03" w:rsidR="00640F03">
        <w:rPr>
          <w:rFonts w:ascii="Times New Roman" w:hAnsi="Times New Roman" w:cs="Times New Roman"/>
          <w:lang w:val="fr-FR"/>
        </w:rPr>
        <w:t>’</w:t>
      </w:r>
      <w:r w:rsidRPr="00640F03" w:rsidR="00C92C8F">
        <w:rPr>
          <w:rFonts w:ascii="Times New Roman" w:hAnsi="Times New Roman" w:cs="Times New Roman"/>
          <w:lang w:val="fr-FR"/>
        </w:rPr>
        <w:t>exprimé par le Comité des Ministres lors de l</w:t>
      </w:r>
      <w:r w:rsidRPr="00640F03" w:rsidR="00640F03">
        <w:rPr>
          <w:rFonts w:ascii="Times New Roman" w:hAnsi="Times New Roman" w:cs="Times New Roman"/>
          <w:lang w:val="fr-FR"/>
        </w:rPr>
        <w:t>’</w:t>
      </w:r>
      <w:r w:rsidRPr="00640F03" w:rsidR="00C92C8F">
        <w:rPr>
          <w:rFonts w:ascii="Times New Roman" w:hAnsi="Times New Roman" w:cs="Times New Roman"/>
          <w:lang w:val="fr-FR"/>
        </w:rPr>
        <w:t>adoption de la Convention d</w:t>
      </w:r>
      <w:r w:rsidRPr="00640F03" w:rsidR="00640F03">
        <w:rPr>
          <w:rFonts w:ascii="Times New Roman" w:hAnsi="Times New Roman" w:cs="Times New Roman"/>
          <w:lang w:val="fr-FR"/>
        </w:rPr>
        <w:t>’</w:t>
      </w:r>
      <w:r w:rsidRPr="00640F03" w:rsidR="00C92C8F">
        <w:rPr>
          <w:rFonts w:ascii="Times New Roman" w:hAnsi="Times New Roman" w:cs="Times New Roman"/>
          <w:lang w:val="fr-FR"/>
        </w:rPr>
        <w:t xml:space="preserve">Oviedo, </w:t>
      </w:r>
      <w:r w:rsidRPr="00640F03" w:rsidR="001A77AA">
        <w:rPr>
          <w:rFonts w:ascii="Times New Roman" w:hAnsi="Times New Roman" w:cs="Times New Roman"/>
          <w:lang w:val="fr-FR"/>
        </w:rPr>
        <w:t>considère que la Convention ne met pas obstacle à ce qu</w:t>
      </w:r>
      <w:r w:rsidRPr="00640F03" w:rsidR="00640F03">
        <w:rPr>
          <w:rFonts w:ascii="Times New Roman" w:hAnsi="Times New Roman" w:cs="Times New Roman"/>
          <w:lang w:val="fr-FR"/>
        </w:rPr>
        <w:t>’</w:t>
      </w:r>
      <w:r w:rsidRPr="00640F03" w:rsidR="001A77AA">
        <w:rPr>
          <w:rFonts w:ascii="Times New Roman" w:hAnsi="Times New Roman" w:cs="Times New Roman"/>
          <w:lang w:val="fr-FR"/>
        </w:rPr>
        <w:t xml:space="preserve">elle exerce une compétence à elle attribuée par </w:t>
      </w:r>
      <w:r w:rsidRPr="00640F03" w:rsidR="00C92C8F">
        <w:rPr>
          <w:rFonts w:ascii="Times New Roman" w:hAnsi="Times New Roman" w:cs="Times New Roman"/>
          <w:lang w:val="fr-FR"/>
        </w:rPr>
        <w:t>la Convention d</w:t>
      </w:r>
      <w:r w:rsidRPr="00640F03" w:rsidR="00640F03">
        <w:rPr>
          <w:rFonts w:ascii="Times New Roman" w:hAnsi="Times New Roman" w:cs="Times New Roman"/>
          <w:lang w:val="fr-FR"/>
        </w:rPr>
        <w:t>’</w:t>
      </w:r>
      <w:r w:rsidRPr="00640F03" w:rsidR="00C92C8F">
        <w:rPr>
          <w:rFonts w:ascii="Times New Roman" w:hAnsi="Times New Roman" w:cs="Times New Roman"/>
          <w:lang w:val="fr-FR"/>
        </w:rPr>
        <w:t>Oviedo</w:t>
      </w:r>
      <w:r w:rsidRPr="00640F03" w:rsidR="001A77AA">
        <w:rPr>
          <w:rFonts w:ascii="Times New Roman" w:hAnsi="Times New Roman" w:cs="Times New Roman"/>
          <w:lang w:val="fr-FR"/>
        </w:rPr>
        <w:t xml:space="preserve">. </w:t>
      </w:r>
      <w:r w:rsidRPr="00640F03" w:rsidR="00C92C8F">
        <w:rPr>
          <w:rFonts w:ascii="Times New Roman" w:hAnsi="Times New Roman" w:cs="Times New Roman"/>
          <w:lang w:val="fr-FR"/>
        </w:rPr>
        <w:t>E</w:t>
      </w:r>
      <w:r w:rsidRPr="00640F03" w:rsidR="001A77AA">
        <w:rPr>
          <w:rFonts w:ascii="Times New Roman" w:hAnsi="Times New Roman" w:cs="Times New Roman"/>
          <w:lang w:val="fr-FR"/>
        </w:rPr>
        <w:t xml:space="preserve">lle se reconnaît donc compétente </w:t>
      </w:r>
      <w:r w:rsidRPr="00640F03" w:rsidR="00C92C8F">
        <w:rPr>
          <w:rFonts w:ascii="Times New Roman" w:hAnsi="Times New Roman" w:cs="Times New Roman"/>
          <w:lang w:val="fr-FR"/>
        </w:rPr>
        <w:t xml:space="preserve">pour rendre des avis consultatifs </w:t>
      </w:r>
      <w:r w:rsidRPr="00640F03" w:rsidR="001A77AA">
        <w:rPr>
          <w:rFonts w:ascii="Times New Roman" w:hAnsi="Times New Roman" w:cs="Times New Roman"/>
          <w:lang w:val="fr-FR"/>
        </w:rPr>
        <w:t>au titre de l</w:t>
      </w:r>
      <w:r w:rsidRPr="00640F03" w:rsidR="00640F03">
        <w:rPr>
          <w:rFonts w:ascii="Times New Roman" w:hAnsi="Times New Roman" w:cs="Times New Roman"/>
          <w:lang w:val="fr-FR"/>
        </w:rPr>
        <w:t>’</w:t>
      </w:r>
      <w:r w:rsidRPr="00640F03" w:rsidR="001A77AA">
        <w:rPr>
          <w:rFonts w:ascii="Times New Roman" w:hAnsi="Times New Roman" w:cs="Times New Roman"/>
          <w:lang w:val="fr-FR"/>
        </w:rPr>
        <w:t>article</w:t>
      </w:r>
      <w:r w:rsidRPr="00640F03" w:rsidR="00FE7DB4">
        <w:rPr>
          <w:rFonts w:ascii="Times New Roman" w:hAnsi="Times New Roman" w:cs="Times New Roman"/>
          <w:lang w:val="fr-FR"/>
        </w:rPr>
        <w:t> </w:t>
      </w:r>
      <w:r w:rsidRPr="00640F03" w:rsidR="001A77AA">
        <w:rPr>
          <w:rFonts w:ascii="Times New Roman" w:hAnsi="Times New Roman" w:cs="Times New Roman"/>
          <w:lang w:val="fr-FR"/>
        </w:rPr>
        <w:t>29 de la Convention d</w:t>
      </w:r>
      <w:r w:rsidRPr="00640F03" w:rsidR="00640F03">
        <w:rPr>
          <w:rFonts w:ascii="Times New Roman" w:hAnsi="Times New Roman" w:cs="Times New Roman"/>
          <w:lang w:val="fr-FR"/>
        </w:rPr>
        <w:t>’</w:t>
      </w:r>
      <w:r w:rsidRPr="00640F03" w:rsidR="001A77AA">
        <w:rPr>
          <w:rFonts w:ascii="Times New Roman" w:hAnsi="Times New Roman" w:cs="Times New Roman"/>
          <w:lang w:val="fr-FR"/>
        </w:rPr>
        <w:t>Oviedo. Il lui appartient maintenant de déterminer la nature, l</w:t>
      </w:r>
      <w:r w:rsidRPr="00640F03" w:rsidR="00640F03">
        <w:rPr>
          <w:rFonts w:ascii="Times New Roman" w:hAnsi="Times New Roman" w:cs="Times New Roman"/>
          <w:lang w:val="fr-FR"/>
        </w:rPr>
        <w:t>’</w:t>
      </w:r>
      <w:r w:rsidRPr="00640F03" w:rsidR="001A77AA">
        <w:rPr>
          <w:rFonts w:ascii="Times New Roman" w:hAnsi="Times New Roman" w:cs="Times New Roman"/>
          <w:lang w:val="fr-FR"/>
        </w:rPr>
        <w:t>étendue et les limites de la compétence issue de ladite clause, tant au regard de la Convention d</w:t>
      </w:r>
      <w:r w:rsidRPr="00640F03" w:rsidR="00640F03">
        <w:rPr>
          <w:rFonts w:ascii="Times New Roman" w:hAnsi="Times New Roman" w:cs="Times New Roman"/>
          <w:lang w:val="fr-FR"/>
        </w:rPr>
        <w:t>’</w:t>
      </w:r>
      <w:r w:rsidRPr="00640F03" w:rsidR="001A77AA">
        <w:rPr>
          <w:rFonts w:ascii="Times New Roman" w:hAnsi="Times New Roman" w:cs="Times New Roman"/>
          <w:lang w:val="fr-FR"/>
        </w:rPr>
        <w:t>Oviedo elle-même que relativement à la compétence que lui confère la Convention.</w:t>
      </w:r>
    </w:p>
    <w:p w:rsidRPr="00640F03" w:rsidR="00F6518C" w:rsidP="00640F03" w:rsidRDefault="00C92C8F" w14:paraId="41A5783B" w14:textId="2A516D94">
      <w:pPr>
        <w:pStyle w:val="JuH1"/>
        <w:rPr>
          <w:rFonts w:eastAsia="MingLiU"/>
          <w:lang w:val="fr-FR"/>
        </w:rPr>
      </w:pPr>
      <w:r w:rsidRPr="00640F03">
        <w:rPr>
          <w:rFonts w:eastAsia="MingLiU"/>
          <w:lang w:val="fr-FR"/>
        </w:rPr>
        <w:t>La nature, l</w:t>
      </w:r>
      <w:r w:rsidRPr="00640F03" w:rsidR="00640F03">
        <w:rPr>
          <w:rFonts w:eastAsia="MingLiU"/>
          <w:lang w:val="fr-FR"/>
        </w:rPr>
        <w:t>’</w:t>
      </w:r>
      <w:r w:rsidRPr="00640F03">
        <w:rPr>
          <w:rFonts w:eastAsia="MingLiU"/>
          <w:lang w:val="fr-FR"/>
        </w:rPr>
        <w:t>étendue et les limites de la compétence consultative de la Cour au titre de l</w:t>
      </w:r>
      <w:r w:rsidRPr="00640F03" w:rsidR="00640F03">
        <w:rPr>
          <w:rFonts w:eastAsia="MingLiU"/>
          <w:lang w:val="fr-FR"/>
        </w:rPr>
        <w:t>’</w:t>
      </w:r>
      <w:r w:rsidRPr="00640F03">
        <w:rPr>
          <w:rFonts w:eastAsia="MingLiU"/>
          <w:lang w:val="fr-FR"/>
        </w:rPr>
        <w:t>article</w:t>
      </w:r>
      <w:r w:rsidRPr="00640F03" w:rsidR="00D92A54">
        <w:rPr>
          <w:rFonts w:eastAsia="MingLiU"/>
          <w:lang w:val="fr-FR"/>
        </w:rPr>
        <w:t> </w:t>
      </w:r>
      <w:r w:rsidRPr="00640F03">
        <w:rPr>
          <w:rFonts w:eastAsia="MingLiU"/>
          <w:lang w:val="fr-FR"/>
        </w:rPr>
        <w:t>29 de la Convention d</w:t>
      </w:r>
      <w:r w:rsidRPr="00640F03" w:rsidR="00640F03">
        <w:rPr>
          <w:rFonts w:eastAsia="MingLiU"/>
          <w:lang w:val="fr-FR"/>
        </w:rPr>
        <w:t>’</w:t>
      </w:r>
      <w:r w:rsidRPr="00640F03">
        <w:rPr>
          <w:rFonts w:eastAsia="MingLiU"/>
          <w:lang w:val="fr-FR"/>
        </w:rPr>
        <w:t>Oviedo</w:t>
      </w:r>
    </w:p>
    <w:bookmarkStart w:name="P44" w:id="23"/>
    <w:bookmarkStart w:name="P47" w:id="24"/>
    <w:p w:rsidRPr="00640F03" w:rsidR="00761C0F" w:rsidP="00640F03" w:rsidRDefault="008B7751" w14:paraId="6BC1CE05" w14:textId="7142051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47</w:t>
      </w:r>
      <w:r w:rsidRPr="00640F03">
        <w:rPr>
          <w:lang w:val="fr-FR"/>
        </w:rPr>
        <w:fldChar w:fldCharType="end"/>
      </w:r>
      <w:bookmarkEnd w:id="23"/>
      <w:bookmarkEnd w:id="24"/>
      <w:r w:rsidRPr="00640F03">
        <w:rPr>
          <w:lang w:val="fr-FR"/>
        </w:rPr>
        <w:t>.  </w:t>
      </w:r>
      <w:r w:rsidRPr="00640F03" w:rsidR="00C92C8F">
        <w:rPr>
          <w:lang w:val="fr-FR"/>
        </w:rPr>
        <w:t>L</w:t>
      </w:r>
      <w:r w:rsidRPr="00640F03" w:rsidR="00640F03">
        <w:rPr>
          <w:lang w:val="fr-FR"/>
        </w:rPr>
        <w:t>’</w:t>
      </w:r>
      <w:r w:rsidRPr="00640F03" w:rsidR="00C92C8F">
        <w:rPr>
          <w:lang w:val="fr-FR"/>
        </w:rPr>
        <w:t>article</w:t>
      </w:r>
      <w:r w:rsidRPr="00640F03" w:rsidR="00D92A54">
        <w:rPr>
          <w:lang w:val="fr-FR"/>
        </w:rPr>
        <w:t> </w:t>
      </w:r>
      <w:r w:rsidRPr="00640F03" w:rsidR="00C92C8F">
        <w:rPr>
          <w:lang w:val="fr-FR"/>
        </w:rPr>
        <w:t>29 de la Convention d</w:t>
      </w:r>
      <w:r w:rsidRPr="00640F03" w:rsidR="00640F03">
        <w:rPr>
          <w:lang w:val="fr-FR"/>
        </w:rPr>
        <w:t>’</w:t>
      </w:r>
      <w:r w:rsidRPr="00640F03" w:rsidR="00C92C8F">
        <w:rPr>
          <w:lang w:val="fr-FR"/>
        </w:rPr>
        <w:t>Oviedo prévoit que la Cour peut donner des avis consultatifs sur des « questions juridiques » qui concernent « l</w:t>
      </w:r>
      <w:r w:rsidRPr="00640F03" w:rsidR="00640F03">
        <w:rPr>
          <w:lang w:val="fr-FR"/>
        </w:rPr>
        <w:t>’</w:t>
      </w:r>
      <w:r w:rsidRPr="00640F03" w:rsidR="00C92C8F">
        <w:rPr>
          <w:lang w:val="fr-FR"/>
        </w:rPr>
        <w:t>interprétation » de la « présente Convention ». Il est nécessaire de déterminer le sens de ces termes dans le contexte dans lequel ils sont employés. À cet égard, la Cour juge approprié de se référer, une fois encore, à la genèse de cette disposition. Comme elle l</w:t>
      </w:r>
      <w:r w:rsidRPr="00640F03" w:rsidR="00640F03">
        <w:rPr>
          <w:lang w:val="fr-FR"/>
        </w:rPr>
        <w:t>’</w:t>
      </w:r>
      <w:r w:rsidRPr="00640F03" w:rsidR="00C92C8F">
        <w:rPr>
          <w:lang w:val="fr-FR"/>
        </w:rPr>
        <w:t>a exposé ci-dessus (paragraphe</w:t>
      </w:r>
      <w:r w:rsidRPr="00640F03" w:rsidR="009D15C5">
        <w:rPr>
          <w:lang w:val="fr-FR"/>
        </w:rPr>
        <w:t> </w:t>
      </w:r>
      <w:r w:rsidRPr="00640F03" w:rsidR="006B7FB9">
        <w:rPr>
          <w:lang w:val="fr-FR"/>
        </w:rPr>
        <w:fldChar w:fldCharType="begin"/>
      </w:r>
      <w:r w:rsidRPr="00640F03" w:rsidR="006B7FB9">
        <w:rPr>
          <w:lang w:val="fr-FR"/>
        </w:rPr>
        <w:instrText xml:space="preserve"> REF P15 \h </w:instrText>
      </w:r>
      <w:r w:rsidRPr="00640F03" w:rsidR="00BC0B44">
        <w:rPr>
          <w:lang w:val="fr-FR"/>
        </w:rPr>
        <w:instrText xml:space="preserve"> \* MERGEFORMAT </w:instrText>
      </w:r>
      <w:r w:rsidRPr="00640F03" w:rsidR="006B7FB9">
        <w:rPr>
          <w:lang w:val="fr-FR"/>
        </w:rPr>
      </w:r>
      <w:r w:rsidRPr="00640F03" w:rsidR="006B7FB9">
        <w:rPr>
          <w:lang w:val="fr-FR"/>
        </w:rPr>
        <w:fldChar w:fldCharType="separate"/>
      </w:r>
      <w:r w:rsidRPr="00640F03" w:rsidR="00640F03">
        <w:rPr>
          <w:iCs/>
          <w:noProof/>
          <w:lang w:val="fr-FR"/>
        </w:rPr>
        <w:t>15</w:t>
      </w:r>
      <w:r w:rsidRPr="00640F03" w:rsidR="006B7FB9">
        <w:rPr>
          <w:lang w:val="fr-FR"/>
        </w:rPr>
        <w:fldChar w:fldCharType="end"/>
      </w:r>
      <w:r w:rsidRPr="00640F03" w:rsidR="00C92C8F">
        <w:rPr>
          <w:lang w:val="fr-FR"/>
        </w:rPr>
        <w:t>), la terminologie employée à l</w:t>
      </w:r>
      <w:r w:rsidRPr="00640F03" w:rsidR="00640F03">
        <w:rPr>
          <w:lang w:val="fr-FR"/>
        </w:rPr>
        <w:t>’</w:t>
      </w:r>
      <w:r w:rsidRPr="00640F03" w:rsidR="00C92C8F">
        <w:rPr>
          <w:lang w:val="fr-FR"/>
        </w:rPr>
        <w:t>article</w:t>
      </w:r>
      <w:r w:rsidRPr="00640F03" w:rsidR="00D92A54">
        <w:rPr>
          <w:lang w:val="fr-FR"/>
        </w:rPr>
        <w:t> </w:t>
      </w:r>
      <w:r w:rsidRPr="00640F03" w:rsidR="00C92C8F">
        <w:rPr>
          <w:lang w:val="fr-FR"/>
        </w:rPr>
        <w:t>29 trouve manifestement son origine dans l</w:t>
      </w:r>
      <w:r w:rsidRPr="00640F03" w:rsidR="00640F03">
        <w:rPr>
          <w:lang w:val="fr-FR"/>
        </w:rPr>
        <w:t>’</w:t>
      </w:r>
      <w:r w:rsidRPr="00640F03" w:rsidR="00C92C8F">
        <w:rPr>
          <w:lang w:val="fr-FR"/>
        </w:rPr>
        <w:t>avis rendu par la Cour en 1995, dans lequel elle s</w:t>
      </w:r>
      <w:r w:rsidRPr="00640F03" w:rsidR="00640F03">
        <w:rPr>
          <w:lang w:val="fr-FR"/>
        </w:rPr>
        <w:t>’</w:t>
      </w:r>
      <w:r w:rsidRPr="00640F03" w:rsidR="00C92C8F">
        <w:rPr>
          <w:lang w:val="fr-FR"/>
        </w:rPr>
        <w:t>inspirait expressément du libellé qui est maintenant celui de l</w:t>
      </w:r>
      <w:r w:rsidRPr="00640F03" w:rsidR="00640F03">
        <w:rPr>
          <w:lang w:val="fr-FR"/>
        </w:rPr>
        <w:t>’</w:t>
      </w:r>
      <w:r w:rsidRPr="00640F03" w:rsidR="00C92C8F">
        <w:rPr>
          <w:lang w:val="fr-FR"/>
        </w:rPr>
        <w:t>article</w:t>
      </w:r>
      <w:r w:rsidRPr="00640F03" w:rsidR="00BC0B44">
        <w:rPr>
          <w:lang w:val="fr-FR"/>
        </w:rPr>
        <w:t> </w:t>
      </w:r>
      <w:r w:rsidRPr="00640F03" w:rsidR="00C92C8F">
        <w:rPr>
          <w:lang w:val="fr-FR"/>
        </w:rPr>
        <w:t>47 §</w:t>
      </w:r>
      <w:r w:rsidRPr="00640F03" w:rsidR="00BC0B44">
        <w:rPr>
          <w:lang w:val="fr-FR"/>
        </w:rPr>
        <w:t> </w:t>
      </w:r>
      <w:r w:rsidRPr="00640F03" w:rsidR="00C92C8F">
        <w:rPr>
          <w:lang w:val="fr-FR"/>
        </w:rPr>
        <w:t>1 de la Convention. Par conséquent, le sens des termes employés devrait être le même dans les deux contextes.</w:t>
      </w:r>
    </w:p>
    <w:p w:rsidRPr="00640F03" w:rsidR="00F6518C" w:rsidP="00640F03" w:rsidRDefault="001002FC" w14:paraId="6709B0DE" w14:textId="551F0DD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48</w:t>
      </w:r>
      <w:r w:rsidRPr="00640F03">
        <w:rPr>
          <w:lang w:val="fr-FR"/>
        </w:rPr>
        <w:fldChar w:fldCharType="end"/>
      </w:r>
      <w:r w:rsidRPr="00640F03">
        <w:rPr>
          <w:lang w:val="fr-FR"/>
        </w:rPr>
        <w:t>.  </w:t>
      </w:r>
      <w:r w:rsidRPr="00640F03" w:rsidR="00C92C8F">
        <w:rPr>
          <w:lang w:val="fr-FR"/>
        </w:rPr>
        <w:t>La Cour a déjà eu l</w:t>
      </w:r>
      <w:r w:rsidRPr="00640F03" w:rsidR="00640F03">
        <w:rPr>
          <w:lang w:val="fr-FR"/>
        </w:rPr>
        <w:t>’</w:t>
      </w:r>
      <w:r w:rsidRPr="00640F03" w:rsidR="00C92C8F">
        <w:rPr>
          <w:lang w:val="fr-FR"/>
        </w:rPr>
        <w:t>occasion de préciser la nature de la compétence consultative qui est la sienne au titre de la Convention. Elle a ainsi observé qu</w:t>
      </w:r>
      <w:r w:rsidRPr="00640F03" w:rsidR="00640F03">
        <w:rPr>
          <w:lang w:val="fr-FR"/>
        </w:rPr>
        <w:t>’</w:t>
      </w:r>
      <w:r w:rsidRPr="00640F03" w:rsidR="00C92C8F">
        <w:rPr>
          <w:lang w:val="fr-FR"/>
        </w:rPr>
        <w:t>il ressortait des travaux préparatoires pertinents que l</w:t>
      </w:r>
      <w:r w:rsidRPr="00640F03" w:rsidR="00640F03">
        <w:rPr>
          <w:lang w:val="fr-FR"/>
        </w:rPr>
        <w:t>’</w:t>
      </w:r>
      <w:r w:rsidRPr="00640F03" w:rsidR="00C92C8F">
        <w:rPr>
          <w:lang w:val="fr-FR"/>
        </w:rPr>
        <w:t>emploi de l</w:t>
      </w:r>
      <w:r w:rsidRPr="00640F03" w:rsidR="00640F03">
        <w:rPr>
          <w:lang w:val="fr-FR"/>
        </w:rPr>
        <w:t>’</w:t>
      </w:r>
      <w:r w:rsidRPr="00640F03" w:rsidR="00C92C8F">
        <w:rPr>
          <w:lang w:val="fr-FR"/>
        </w:rPr>
        <w:t>adjectif « juridique » à l</w:t>
      </w:r>
      <w:r w:rsidRPr="00640F03" w:rsidR="00640F03">
        <w:rPr>
          <w:lang w:val="fr-FR"/>
        </w:rPr>
        <w:t>’</w:t>
      </w:r>
      <w:r w:rsidRPr="00640F03" w:rsidR="00C92C8F">
        <w:rPr>
          <w:lang w:val="fr-FR"/>
        </w:rPr>
        <w:t>article</w:t>
      </w:r>
      <w:r w:rsidRPr="00640F03" w:rsidR="00676DA3">
        <w:rPr>
          <w:lang w:val="fr-FR"/>
        </w:rPr>
        <w:t> </w:t>
      </w:r>
      <w:r w:rsidRPr="00640F03" w:rsidR="00C92C8F">
        <w:rPr>
          <w:lang w:val="fr-FR"/>
        </w:rPr>
        <w:t>47 §</w:t>
      </w:r>
      <w:r w:rsidRPr="00640F03" w:rsidR="00676DA3">
        <w:rPr>
          <w:lang w:val="fr-FR"/>
        </w:rPr>
        <w:t> </w:t>
      </w:r>
      <w:r w:rsidRPr="00640F03" w:rsidR="00C92C8F">
        <w:rPr>
          <w:lang w:val="fr-FR"/>
        </w:rPr>
        <w:t>1 dénotait l</w:t>
      </w:r>
      <w:r w:rsidRPr="00640F03" w:rsidR="00640F03">
        <w:rPr>
          <w:lang w:val="fr-FR"/>
        </w:rPr>
        <w:t>’</w:t>
      </w:r>
      <w:r w:rsidRPr="00640F03" w:rsidR="00C92C8F">
        <w:rPr>
          <w:lang w:val="fr-FR"/>
        </w:rPr>
        <w:t>intention des rédacteurs d</w:t>
      </w:r>
      <w:r w:rsidRPr="00640F03" w:rsidR="00640F03">
        <w:rPr>
          <w:lang w:val="fr-FR"/>
        </w:rPr>
        <w:t>’</w:t>
      </w:r>
      <w:r w:rsidRPr="00640F03" w:rsidR="00C92C8F">
        <w:rPr>
          <w:lang w:val="fr-FR"/>
        </w:rPr>
        <w:t>exclure toute compétence de la Cour à l</w:t>
      </w:r>
      <w:r w:rsidRPr="00640F03" w:rsidR="00640F03">
        <w:rPr>
          <w:lang w:val="fr-FR"/>
        </w:rPr>
        <w:t>’</w:t>
      </w:r>
      <w:r w:rsidRPr="00640F03" w:rsidR="00C92C8F">
        <w:rPr>
          <w:lang w:val="fr-FR"/>
        </w:rPr>
        <w:t>égard de questions d</w:t>
      </w:r>
      <w:r w:rsidRPr="00640F03" w:rsidR="00640F03">
        <w:rPr>
          <w:lang w:val="fr-FR"/>
        </w:rPr>
        <w:t>’</w:t>
      </w:r>
      <w:r w:rsidRPr="00640F03" w:rsidR="00C92C8F">
        <w:rPr>
          <w:lang w:val="fr-FR"/>
        </w:rPr>
        <w:t>opportunité politique (</w:t>
      </w:r>
      <w:r w:rsidRPr="00640F03" w:rsidR="00C92C8F">
        <w:rPr>
          <w:i/>
          <w:iCs/>
          <w:lang w:val="fr-FR"/>
        </w:rPr>
        <w:t>Avis consultatif sur certaines questions juridiques relatives aux listes de candidats présentées en vue de l</w:t>
      </w:r>
      <w:r w:rsidRPr="00640F03" w:rsidR="00640F03">
        <w:rPr>
          <w:i/>
          <w:iCs/>
          <w:lang w:val="fr-FR"/>
        </w:rPr>
        <w:t>’</w:t>
      </w:r>
      <w:r w:rsidRPr="00640F03" w:rsidR="00C92C8F">
        <w:rPr>
          <w:i/>
          <w:iCs/>
          <w:lang w:val="fr-FR"/>
        </w:rPr>
        <w:t>élection des juges de la Cour européenne des droits de l</w:t>
      </w:r>
      <w:r w:rsidRPr="00640F03" w:rsidR="00640F03">
        <w:rPr>
          <w:i/>
          <w:iCs/>
          <w:lang w:val="fr-FR"/>
        </w:rPr>
        <w:t>’</w:t>
      </w:r>
      <w:r w:rsidRPr="00640F03" w:rsidR="00C92C8F">
        <w:rPr>
          <w:i/>
          <w:iCs/>
          <w:lang w:val="fr-FR"/>
        </w:rPr>
        <w:t>homme</w:t>
      </w:r>
      <w:r w:rsidRPr="00640F03" w:rsidR="00C92C8F">
        <w:rPr>
          <w:lang w:val="fr-FR"/>
        </w:rPr>
        <w:t xml:space="preserve"> [GC], §§ 19 et 36, 12 février 2008). Ce point est également exposé dans le rapport explicatif du Protocole </w:t>
      </w:r>
      <w:r w:rsidRPr="00640F03" w:rsidR="00FC4608">
        <w:rPr>
          <w:lang w:val="fr-FR"/>
        </w:rPr>
        <w:t>n</w:t>
      </w:r>
      <w:r w:rsidRPr="00640F03" w:rsidR="00FC4608">
        <w:rPr>
          <w:vertAlign w:val="superscript"/>
          <w:lang w:val="fr-FR"/>
        </w:rPr>
        <w:t>o</w:t>
      </w:r>
      <w:r w:rsidRPr="00640F03" w:rsidR="00FC4608">
        <w:rPr>
          <w:lang w:val="fr-FR"/>
        </w:rPr>
        <w:t xml:space="preserve"> </w:t>
      </w:r>
      <w:r w:rsidRPr="00640F03" w:rsidR="00C92C8F">
        <w:rPr>
          <w:lang w:val="fr-FR"/>
        </w:rPr>
        <w:t>2, selon lequel les termes « questions juridiques » excluent les questions qui iraient au</w:t>
      </w:r>
      <w:r w:rsidRPr="00640F03" w:rsidR="00C92C8F">
        <w:rPr>
          <w:lang w:val="fr-FR"/>
        </w:rPr>
        <w:noBreakHyphen/>
        <w:t>delà de la simple interprétation des textes et qui tendraient par des additions, des améliorations ou des correctifs, à en modifier la substance (paragraphe</w:t>
      </w:r>
      <w:r w:rsidRPr="00640F03" w:rsidR="00676DA3">
        <w:rPr>
          <w:lang w:val="fr-FR"/>
        </w:rPr>
        <w:t> </w:t>
      </w:r>
      <w:r w:rsidRPr="00640F03" w:rsidR="00C92C8F">
        <w:rPr>
          <w:lang w:val="fr-FR"/>
        </w:rPr>
        <w:t>6 du rapport explicatif). Compte tenu de l</w:t>
      </w:r>
      <w:r w:rsidRPr="00640F03" w:rsidR="00640F03">
        <w:rPr>
          <w:lang w:val="fr-FR"/>
        </w:rPr>
        <w:t>’</w:t>
      </w:r>
      <w:r w:rsidRPr="00640F03" w:rsidR="00C92C8F">
        <w:rPr>
          <w:lang w:val="fr-FR"/>
        </w:rPr>
        <w:t>origine de l</w:t>
      </w:r>
      <w:r w:rsidRPr="00640F03" w:rsidR="00640F03">
        <w:rPr>
          <w:lang w:val="fr-FR"/>
        </w:rPr>
        <w:t>’</w:t>
      </w:r>
      <w:r w:rsidRPr="00640F03" w:rsidR="00C92C8F">
        <w:rPr>
          <w:lang w:val="fr-FR"/>
        </w:rPr>
        <w:t>article</w:t>
      </w:r>
      <w:r w:rsidRPr="00640F03" w:rsidR="00676DA3">
        <w:rPr>
          <w:lang w:val="fr-FR"/>
        </w:rPr>
        <w:t> </w:t>
      </w:r>
      <w:r w:rsidRPr="00640F03" w:rsidR="00C92C8F">
        <w:rPr>
          <w:lang w:val="fr-FR"/>
        </w:rPr>
        <w:t>29 de la Convention d</w:t>
      </w:r>
      <w:r w:rsidRPr="00640F03" w:rsidR="00640F03">
        <w:rPr>
          <w:lang w:val="fr-FR"/>
        </w:rPr>
        <w:t>’</w:t>
      </w:r>
      <w:r w:rsidRPr="00640F03" w:rsidR="00C92C8F">
        <w:rPr>
          <w:lang w:val="fr-FR"/>
        </w:rPr>
        <w:t>Oviedo, la Cour considère que toute demande qui lui est adressée au titre de cette disposition doit être soumise à la même limitation. Toutes les questions posées en vertu de cette disposition doivent donc revêtir un caractère « juridique ».</w:t>
      </w:r>
    </w:p>
    <w:bookmarkStart w:name="P46" w:id="25"/>
    <w:bookmarkStart w:name="P49" w:id="26"/>
    <w:p w:rsidRPr="00640F03" w:rsidR="001C5249" w:rsidP="00640F03" w:rsidRDefault="001002FC" w14:paraId="1AE673E3" w14:textId="3836E428">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49</w:t>
      </w:r>
      <w:r w:rsidRPr="00640F03">
        <w:rPr>
          <w:lang w:val="fr-FR"/>
        </w:rPr>
        <w:fldChar w:fldCharType="end"/>
      </w:r>
      <w:bookmarkEnd w:id="25"/>
      <w:bookmarkEnd w:id="26"/>
      <w:r w:rsidRPr="00640F03">
        <w:rPr>
          <w:lang w:val="fr-FR"/>
        </w:rPr>
        <w:t>.</w:t>
      </w:r>
      <w:r w:rsidRPr="00640F03" w:rsidR="00FA7984">
        <w:rPr>
          <w:lang w:val="fr-FR"/>
        </w:rPr>
        <w:t>  </w:t>
      </w:r>
      <w:r w:rsidRPr="00640F03" w:rsidR="00C92C8F">
        <w:rPr>
          <w:lang w:val="fr-FR"/>
        </w:rPr>
        <w:t>Pour ce qui est des autres termes – « interprétation » et « présente Convention » – figurant à l</w:t>
      </w:r>
      <w:r w:rsidRPr="00640F03" w:rsidR="00640F03">
        <w:rPr>
          <w:lang w:val="fr-FR"/>
        </w:rPr>
        <w:t>’</w:t>
      </w:r>
      <w:r w:rsidRPr="00640F03" w:rsidR="00C92C8F">
        <w:rPr>
          <w:lang w:val="fr-FR"/>
        </w:rPr>
        <w:t>article</w:t>
      </w:r>
      <w:r w:rsidRPr="00640F03" w:rsidR="00D92A54">
        <w:rPr>
          <w:lang w:val="fr-FR"/>
        </w:rPr>
        <w:t> </w:t>
      </w:r>
      <w:r w:rsidRPr="00640F03" w:rsidR="00C92C8F">
        <w:rPr>
          <w:lang w:val="fr-FR"/>
        </w:rPr>
        <w:t>29, la Cour souhaite clarifier son approche méthodologique en précisant que cette procédure suppose un exercice d</w:t>
      </w:r>
      <w:r w:rsidRPr="00640F03" w:rsidR="00640F03">
        <w:rPr>
          <w:lang w:val="fr-FR"/>
        </w:rPr>
        <w:t>’</w:t>
      </w:r>
      <w:r w:rsidRPr="00640F03" w:rsidR="00C92C8F">
        <w:rPr>
          <w:lang w:val="fr-FR"/>
        </w:rPr>
        <w:t>interprétation des traités selon les méthodes énoncées aux articles</w:t>
      </w:r>
      <w:r w:rsidRPr="00640F03" w:rsidR="00D92A54">
        <w:rPr>
          <w:lang w:val="fr-FR"/>
        </w:rPr>
        <w:t> </w:t>
      </w:r>
      <w:r w:rsidRPr="00640F03" w:rsidR="00C92C8F">
        <w:rPr>
          <w:lang w:val="fr-FR"/>
        </w:rPr>
        <w:t>31 à</w:t>
      </w:r>
      <w:r w:rsidRPr="00640F03" w:rsidR="00D92A54">
        <w:rPr>
          <w:lang w:val="fr-FR"/>
        </w:rPr>
        <w:t> </w:t>
      </w:r>
      <w:r w:rsidRPr="00640F03" w:rsidR="00C92C8F">
        <w:rPr>
          <w:lang w:val="fr-FR"/>
        </w:rPr>
        <w:t>33 de la Convention de Vienne. Ce sont ces mêmes dispositions qui depuis longtemps guident la Cour lorsqu</w:t>
      </w:r>
      <w:r w:rsidRPr="00640F03" w:rsidR="00640F03">
        <w:rPr>
          <w:lang w:val="fr-FR"/>
        </w:rPr>
        <w:t>’</w:t>
      </w:r>
      <w:r w:rsidRPr="00640F03" w:rsidR="00C92C8F">
        <w:rPr>
          <w:lang w:val="fr-FR"/>
        </w:rPr>
        <w:t>il s</w:t>
      </w:r>
      <w:r w:rsidRPr="00640F03" w:rsidR="00640F03">
        <w:rPr>
          <w:lang w:val="fr-FR"/>
        </w:rPr>
        <w:t>’</w:t>
      </w:r>
      <w:r w:rsidRPr="00640F03" w:rsidR="00C92C8F">
        <w:rPr>
          <w:lang w:val="fr-FR"/>
        </w:rPr>
        <w:t>agit pour elle de clarifier le sens de la Convention à travers l</w:t>
      </w:r>
      <w:r w:rsidRPr="00640F03" w:rsidR="00640F03">
        <w:rPr>
          <w:lang w:val="fr-FR"/>
        </w:rPr>
        <w:t>’</w:t>
      </w:r>
      <w:r w:rsidRPr="00640F03" w:rsidR="00C92C8F">
        <w:rPr>
          <w:lang w:val="fr-FR"/>
        </w:rPr>
        <w:t>exercice de sa compétence contentieuse (voir, parmi beaucoup d</w:t>
      </w:r>
      <w:r w:rsidRPr="00640F03" w:rsidR="00640F03">
        <w:rPr>
          <w:lang w:val="fr-FR"/>
        </w:rPr>
        <w:t>’</w:t>
      </w:r>
      <w:r w:rsidRPr="00640F03" w:rsidR="00C92C8F">
        <w:rPr>
          <w:lang w:val="fr-FR"/>
        </w:rPr>
        <w:t xml:space="preserve">autres, </w:t>
      </w:r>
      <w:r w:rsidRPr="00640F03" w:rsidR="00C92C8F">
        <w:rPr>
          <w:i/>
          <w:iCs/>
          <w:lang w:val="fr-FR"/>
        </w:rPr>
        <w:t>Magyar Helsinki Bizottság c.</w:t>
      </w:r>
      <w:r w:rsidRPr="00640F03" w:rsidR="00D92A54">
        <w:rPr>
          <w:i/>
          <w:iCs/>
          <w:lang w:val="fr-FR"/>
        </w:rPr>
        <w:t> </w:t>
      </w:r>
      <w:r w:rsidRPr="00640F03" w:rsidR="00C92C8F">
        <w:rPr>
          <w:i/>
          <w:iCs/>
          <w:lang w:val="fr-FR"/>
        </w:rPr>
        <w:t>Hongrie</w:t>
      </w:r>
      <w:r w:rsidRPr="00640F03" w:rsidR="00C92C8F">
        <w:rPr>
          <w:lang w:val="fr-FR"/>
        </w:rPr>
        <w:t xml:space="preserve"> [GC], </w:t>
      </w:r>
      <w:r w:rsidRPr="00640F03" w:rsidR="00FC4608">
        <w:rPr>
          <w:lang w:val="fr-FR"/>
        </w:rPr>
        <w:t>n</w:t>
      </w:r>
      <w:r w:rsidRPr="00640F03" w:rsidR="00FC4608">
        <w:rPr>
          <w:vertAlign w:val="superscript"/>
          <w:lang w:val="fr-FR"/>
        </w:rPr>
        <w:t>o</w:t>
      </w:r>
      <w:r w:rsidRPr="00640F03" w:rsidR="00FC4608">
        <w:rPr>
          <w:lang w:val="fr-FR"/>
        </w:rPr>
        <w:t xml:space="preserve"> </w:t>
      </w:r>
      <w:r w:rsidRPr="00640F03" w:rsidR="00C92C8F">
        <w:rPr>
          <w:lang w:val="fr-FR"/>
        </w:rPr>
        <w:t>18030/11, §§ 118</w:t>
      </w:r>
      <w:r w:rsidRPr="00640F03" w:rsidR="00C92C8F">
        <w:rPr>
          <w:lang w:val="fr-FR"/>
        </w:rPr>
        <w:noBreakHyphen/>
        <w:t>125, 8</w:t>
      </w:r>
      <w:r w:rsidRPr="00640F03" w:rsidR="00880805">
        <w:rPr>
          <w:lang w:val="fr-FR"/>
        </w:rPr>
        <w:t> </w:t>
      </w:r>
      <w:r w:rsidRPr="00640F03" w:rsidR="00C92C8F">
        <w:rPr>
          <w:lang w:val="fr-FR"/>
        </w:rPr>
        <w:t>novembre 2016). À plusieurs reprises, la Cour a toutefois aussi mis l</w:t>
      </w:r>
      <w:r w:rsidRPr="00640F03" w:rsidR="00640F03">
        <w:rPr>
          <w:lang w:val="fr-FR"/>
        </w:rPr>
        <w:t>’</w:t>
      </w:r>
      <w:r w:rsidRPr="00640F03" w:rsidR="00C92C8F">
        <w:rPr>
          <w:lang w:val="fr-FR"/>
        </w:rPr>
        <w:t>accent sur la nature spécifique de la Convention, traité de garantie collective des droits de l</w:t>
      </w:r>
      <w:r w:rsidRPr="00640F03" w:rsidR="00640F03">
        <w:rPr>
          <w:lang w:val="fr-FR"/>
        </w:rPr>
        <w:t>’</w:t>
      </w:r>
      <w:r w:rsidRPr="00640F03" w:rsidR="00C92C8F">
        <w:rPr>
          <w:lang w:val="fr-FR"/>
        </w:rPr>
        <w:t xml:space="preserve">homme et des libertés </w:t>
      </w:r>
      <w:bookmarkStart w:name="_Hlk78383336" w:id="27"/>
      <w:r w:rsidRPr="00640F03" w:rsidR="00C92C8F">
        <w:rPr>
          <w:lang w:val="fr-FR"/>
        </w:rPr>
        <w:t>fondamentales (voir, parmi beaucoup d</w:t>
      </w:r>
      <w:r w:rsidRPr="00640F03" w:rsidR="00640F03">
        <w:rPr>
          <w:lang w:val="fr-FR"/>
        </w:rPr>
        <w:t>’</w:t>
      </w:r>
      <w:r w:rsidRPr="00640F03" w:rsidR="00C92C8F">
        <w:rPr>
          <w:lang w:val="fr-FR"/>
        </w:rPr>
        <w:t>autres</w:t>
      </w:r>
      <w:r w:rsidRPr="00640F03" w:rsidR="008F7110">
        <w:rPr>
          <w:lang w:val="fr-FR"/>
        </w:rPr>
        <w:t xml:space="preserve">, </w:t>
      </w:r>
      <w:r w:rsidRPr="00640F03" w:rsidR="008F7110">
        <w:rPr>
          <w:i/>
          <w:iCs/>
          <w:lang w:val="fr-FR"/>
        </w:rPr>
        <w:t>Soering c.</w:t>
      </w:r>
      <w:r w:rsidRPr="00640F03" w:rsidR="00D92A54">
        <w:rPr>
          <w:i/>
          <w:iCs/>
          <w:lang w:val="fr-FR"/>
        </w:rPr>
        <w:t> </w:t>
      </w:r>
      <w:r w:rsidRPr="00640F03" w:rsidR="008F7110">
        <w:rPr>
          <w:i/>
          <w:iCs/>
          <w:lang w:val="fr-FR"/>
        </w:rPr>
        <w:t>Royaume-Uni</w:t>
      </w:r>
      <w:r w:rsidRPr="00640F03" w:rsidR="008F7110">
        <w:rPr>
          <w:lang w:val="fr-FR"/>
        </w:rPr>
        <w:t>, 7</w:t>
      </w:r>
      <w:r w:rsidRPr="00640F03" w:rsidR="00880805">
        <w:rPr>
          <w:lang w:val="fr-FR"/>
        </w:rPr>
        <w:t> </w:t>
      </w:r>
      <w:r w:rsidRPr="00640F03" w:rsidR="008F7110">
        <w:rPr>
          <w:lang w:val="fr-FR"/>
        </w:rPr>
        <w:t>juillet 1989, §</w:t>
      </w:r>
      <w:r w:rsidRPr="00640F03" w:rsidR="00880805">
        <w:rPr>
          <w:lang w:val="fr-FR"/>
        </w:rPr>
        <w:t> </w:t>
      </w:r>
      <w:r w:rsidRPr="00640F03" w:rsidR="008F7110">
        <w:rPr>
          <w:lang w:val="fr-FR"/>
        </w:rPr>
        <w:t>87, série</w:t>
      </w:r>
      <w:r w:rsidRPr="00640F03" w:rsidR="00880805">
        <w:rPr>
          <w:lang w:val="fr-FR"/>
        </w:rPr>
        <w:t> </w:t>
      </w:r>
      <w:r w:rsidRPr="00640F03" w:rsidR="008F7110">
        <w:rPr>
          <w:lang w:val="fr-FR"/>
        </w:rPr>
        <w:t xml:space="preserve">A </w:t>
      </w:r>
      <w:r w:rsidRPr="00640F03" w:rsidR="00FC4608">
        <w:rPr>
          <w:lang w:val="fr-FR"/>
        </w:rPr>
        <w:t>n</w:t>
      </w:r>
      <w:r w:rsidRPr="00640F03" w:rsidR="00FC4608">
        <w:rPr>
          <w:vertAlign w:val="superscript"/>
          <w:lang w:val="fr-FR"/>
        </w:rPr>
        <w:t>o</w:t>
      </w:r>
      <w:r w:rsidRPr="00640F03" w:rsidR="00FC4608">
        <w:rPr>
          <w:lang w:val="fr-FR"/>
        </w:rPr>
        <w:t> </w:t>
      </w:r>
      <w:r w:rsidRPr="00640F03" w:rsidR="008F7110">
        <w:rPr>
          <w:lang w:val="fr-FR"/>
        </w:rPr>
        <w:t xml:space="preserve">161, et </w:t>
      </w:r>
      <w:r w:rsidRPr="00640F03" w:rsidR="00BF10C4">
        <w:rPr>
          <w:i/>
          <w:iCs/>
          <w:lang w:val="fr-FR"/>
        </w:rPr>
        <w:t>Slovénie c.</w:t>
      </w:r>
      <w:r w:rsidRPr="00640F03" w:rsidR="00D92A54">
        <w:rPr>
          <w:i/>
          <w:iCs/>
          <w:lang w:val="fr-FR"/>
        </w:rPr>
        <w:t> </w:t>
      </w:r>
      <w:r w:rsidRPr="00640F03" w:rsidR="00BF10C4">
        <w:rPr>
          <w:i/>
          <w:iCs/>
          <w:lang w:val="fr-FR"/>
        </w:rPr>
        <w:t>Croatie</w:t>
      </w:r>
      <w:r w:rsidRPr="00640F03" w:rsidR="00BF10C4">
        <w:rPr>
          <w:lang w:val="fr-FR"/>
        </w:rPr>
        <w:t xml:space="preserve"> (déc.) [GC], </w:t>
      </w:r>
      <w:r w:rsidRPr="00640F03" w:rsidR="00FC4608">
        <w:rPr>
          <w:lang w:val="fr-FR"/>
        </w:rPr>
        <w:t>n</w:t>
      </w:r>
      <w:r w:rsidRPr="00640F03" w:rsidR="00FC4608">
        <w:rPr>
          <w:vertAlign w:val="superscript"/>
          <w:lang w:val="fr-FR"/>
        </w:rPr>
        <w:t>o</w:t>
      </w:r>
      <w:r w:rsidRPr="00640F03" w:rsidR="00FC4608">
        <w:rPr>
          <w:lang w:val="fr-FR"/>
        </w:rPr>
        <w:t xml:space="preserve"> </w:t>
      </w:r>
      <w:r w:rsidRPr="00640F03" w:rsidR="00BF10C4">
        <w:rPr>
          <w:lang w:val="fr-FR"/>
        </w:rPr>
        <w:t>54155/16, §§</w:t>
      </w:r>
      <w:r w:rsidRPr="00640F03" w:rsidR="00880805">
        <w:rPr>
          <w:lang w:val="fr-FR"/>
        </w:rPr>
        <w:t> </w:t>
      </w:r>
      <w:r w:rsidRPr="00640F03" w:rsidR="00BF10C4">
        <w:rPr>
          <w:lang w:val="fr-FR"/>
        </w:rPr>
        <w:t>60 et</w:t>
      </w:r>
      <w:r w:rsidRPr="00640F03" w:rsidR="00EE08C4">
        <w:rPr>
          <w:lang w:val="fr-FR"/>
        </w:rPr>
        <w:t xml:space="preserve"> </w:t>
      </w:r>
      <w:r w:rsidRPr="00640F03" w:rsidR="00BF10C4">
        <w:rPr>
          <w:lang w:val="fr-FR"/>
        </w:rPr>
        <w:t>67, 18 novembre 2020)</w:t>
      </w:r>
      <w:r w:rsidRPr="00640F03" w:rsidR="00A93B0D">
        <w:rPr>
          <w:lang w:val="fr-FR"/>
        </w:rPr>
        <w:t>. Elle a notamment souligné le</w:t>
      </w:r>
      <w:r w:rsidRPr="00640F03" w:rsidR="00C92C8F">
        <w:rPr>
          <w:lang w:val="fr-FR"/>
        </w:rPr>
        <w:t xml:space="preserve"> caractère unique </w:t>
      </w:r>
      <w:r w:rsidRPr="00640F03" w:rsidR="00584A43">
        <w:rPr>
          <w:lang w:val="fr-FR"/>
        </w:rPr>
        <w:t xml:space="preserve">que </w:t>
      </w:r>
      <w:r w:rsidRPr="00640F03" w:rsidR="00A93B0D">
        <w:rPr>
          <w:lang w:val="fr-FR"/>
        </w:rPr>
        <w:t xml:space="preserve">la Convention </w:t>
      </w:r>
      <w:r w:rsidRPr="00640F03" w:rsidR="00584A43">
        <w:rPr>
          <w:lang w:val="fr-FR"/>
        </w:rPr>
        <w:t xml:space="preserve">revêt </w:t>
      </w:r>
      <w:r w:rsidRPr="00640F03" w:rsidR="00A93B0D">
        <w:rPr>
          <w:lang w:val="fr-FR"/>
        </w:rPr>
        <w:t>en tant qu</w:t>
      </w:r>
      <w:r w:rsidRPr="00640F03" w:rsidR="00640F03">
        <w:rPr>
          <w:lang w:val="fr-FR"/>
        </w:rPr>
        <w:t>’</w:t>
      </w:r>
      <w:r w:rsidRPr="00640F03" w:rsidR="00C92C8F">
        <w:rPr>
          <w:lang w:val="fr-FR"/>
        </w:rPr>
        <w:t>instrument constitutionnel de l</w:t>
      </w:r>
      <w:r w:rsidRPr="00640F03" w:rsidR="00640F03">
        <w:rPr>
          <w:lang w:val="fr-FR"/>
        </w:rPr>
        <w:t>’</w:t>
      </w:r>
      <w:r w:rsidRPr="00640F03" w:rsidR="00C92C8F">
        <w:rPr>
          <w:lang w:val="fr-FR"/>
        </w:rPr>
        <w:t>ordre public européen dans le domaine des droits de l</w:t>
      </w:r>
      <w:r w:rsidRPr="00640F03" w:rsidR="00640F03">
        <w:rPr>
          <w:lang w:val="fr-FR"/>
        </w:rPr>
        <w:t>’</w:t>
      </w:r>
      <w:r w:rsidRPr="00640F03" w:rsidR="00C92C8F">
        <w:rPr>
          <w:lang w:val="fr-FR"/>
        </w:rPr>
        <w:t>homme</w:t>
      </w:r>
      <w:r w:rsidRPr="00640F03" w:rsidR="00A93B0D">
        <w:rPr>
          <w:lang w:val="fr-FR"/>
        </w:rPr>
        <w:t xml:space="preserve"> (voir, parmi beaucoup d</w:t>
      </w:r>
      <w:r w:rsidRPr="00640F03" w:rsidR="00640F03">
        <w:rPr>
          <w:lang w:val="fr-FR"/>
        </w:rPr>
        <w:t>’</w:t>
      </w:r>
      <w:r w:rsidRPr="00640F03" w:rsidR="00A93B0D">
        <w:rPr>
          <w:lang w:val="fr-FR"/>
        </w:rPr>
        <w:t xml:space="preserve">autres, </w:t>
      </w:r>
      <w:r w:rsidRPr="00640F03" w:rsidR="00CA32DB">
        <w:rPr>
          <w:i/>
          <w:iCs/>
          <w:lang w:val="fr-FR"/>
        </w:rPr>
        <w:t>Bosphorus Hava Yolları Turizm ve Ticaret Anonim Şirketi c.</w:t>
      </w:r>
      <w:r w:rsidRPr="00640F03" w:rsidR="00D92A54">
        <w:rPr>
          <w:i/>
          <w:iCs/>
          <w:lang w:val="fr-FR"/>
        </w:rPr>
        <w:t> </w:t>
      </w:r>
      <w:r w:rsidRPr="00640F03" w:rsidR="00CA32DB">
        <w:rPr>
          <w:i/>
          <w:iCs/>
          <w:lang w:val="fr-FR"/>
        </w:rPr>
        <w:t>Irlande</w:t>
      </w:r>
      <w:r w:rsidRPr="00640F03" w:rsidR="00CA32DB">
        <w:rPr>
          <w:lang w:val="fr-FR"/>
        </w:rPr>
        <w:t xml:space="preserve"> [GC], </w:t>
      </w:r>
      <w:r w:rsidRPr="00640F03" w:rsidR="00FC4608">
        <w:rPr>
          <w:lang w:val="fr-FR"/>
        </w:rPr>
        <w:t>n</w:t>
      </w:r>
      <w:r w:rsidRPr="00640F03" w:rsidR="00FC4608">
        <w:rPr>
          <w:vertAlign w:val="superscript"/>
          <w:lang w:val="fr-FR"/>
        </w:rPr>
        <w:t>o</w:t>
      </w:r>
      <w:r w:rsidRPr="00640F03" w:rsidR="00880805">
        <w:rPr>
          <w:lang w:val="fr-FR"/>
        </w:rPr>
        <w:t> </w:t>
      </w:r>
      <w:r w:rsidRPr="00640F03" w:rsidR="00CA32DB">
        <w:rPr>
          <w:lang w:val="fr-FR"/>
        </w:rPr>
        <w:t>45036/98, §</w:t>
      </w:r>
      <w:r w:rsidRPr="00640F03" w:rsidR="00D92A54">
        <w:rPr>
          <w:lang w:val="fr-FR"/>
        </w:rPr>
        <w:t> </w:t>
      </w:r>
      <w:r w:rsidRPr="00640F03" w:rsidR="00CA32DB">
        <w:rPr>
          <w:lang w:val="fr-FR"/>
        </w:rPr>
        <w:t>156, CEDH 2005</w:t>
      </w:r>
      <w:r w:rsidRPr="00640F03" w:rsidR="00CA32DB">
        <w:rPr>
          <w:lang w:val="fr-FR"/>
        </w:rPr>
        <w:noBreakHyphen/>
        <w:t>VI)</w:t>
      </w:r>
      <w:r w:rsidRPr="00640F03" w:rsidR="00C92C8F">
        <w:rPr>
          <w:lang w:val="fr-FR"/>
        </w:rPr>
        <w:t xml:space="preserve">. </w:t>
      </w:r>
      <w:bookmarkEnd w:id="27"/>
      <w:r w:rsidRPr="00640F03" w:rsidR="00C92C8F">
        <w:rPr>
          <w:lang w:val="fr-FR"/>
        </w:rPr>
        <w:t>Cela amène la Cour à considérer la Convention, pour l</w:t>
      </w:r>
      <w:r w:rsidRPr="00640F03" w:rsidR="00640F03">
        <w:rPr>
          <w:lang w:val="fr-FR"/>
        </w:rPr>
        <w:t>’</w:t>
      </w:r>
      <w:r w:rsidRPr="00640F03" w:rsidR="00C92C8F">
        <w:rPr>
          <w:lang w:val="fr-FR"/>
        </w:rPr>
        <w:t>interprétation et l</w:t>
      </w:r>
      <w:r w:rsidRPr="00640F03" w:rsidR="00640F03">
        <w:rPr>
          <w:lang w:val="fr-FR"/>
        </w:rPr>
        <w:t>’</w:t>
      </w:r>
      <w:r w:rsidRPr="00640F03" w:rsidR="00C92C8F">
        <w:rPr>
          <w:lang w:val="fr-FR"/>
        </w:rPr>
        <w:t>application de laquelle elle a plénitude de juridiction en vertu de l</w:t>
      </w:r>
      <w:r w:rsidRPr="00640F03" w:rsidR="00640F03">
        <w:rPr>
          <w:lang w:val="fr-FR"/>
        </w:rPr>
        <w:t>’</w:t>
      </w:r>
      <w:r w:rsidRPr="00640F03" w:rsidR="00C92C8F">
        <w:rPr>
          <w:lang w:val="fr-FR"/>
        </w:rPr>
        <w:t>article</w:t>
      </w:r>
      <w:r w:rsidRPr="00640F03" w:rsidR="00880805">
        <w:rPr>
          <w:lang w:val="fr-FR"/>
        </w:rPr>
        <w:t> </w:t>
      </w:r>
      <w:r w:rsidRPr="00640F03" w:rsidR="00C92C8F">
        <w:rPr>
          <w:lang w:val="fr-FR"/>
        </w:rPr>
        <w:t>32, comme un instrument vivant qui doit être interprété selon les conditions actuelles de la société (voir, parmi beaucoup d</w:t>
      </w:r>
      <w:r w:rsidRPr="00640F03" w:rsidR="00640F03">
        <w:rPr>
          <w:lang w:val="fr-FR"/>
        </w:rPr>
        <w:t>’</w:t>
      </w:r>
      <w:r w:rsidRPr="00640F03" w:rsidR="00C92C8F">
        <w:rPr>
          <w:lang w:val="fr-FR"/>
        </w:rPr>
        <w:t xml:space="preserve">autres, </w:t>
      </w:r>
      <w:r w:rsidRPr="00640F03" w:rsidR="00C92C8F">
        <w:rPr>
          <w:i/>
          <w:iCs/>
          <w:lang w:val="fr-FR"/>
        </w:rPr>
        <w:t>Khamtokhu et Aksenchik c.</w:t>
      </w:r>
      <w:r w:rsidRPr="00640F03" w:rsidR="00D92A54">
        <w:rPr>
          <w:i/>
          <w:iCs/>
          <w:lang w:val="fr-FR"/>
        </w:rPr>
        <w:t> </w:t>
      </w:r>
      <w:r w:rsidRPr="00640F03" w:rsidR="00C92C8F">
        <w:rPr>
          <w:i/>
          <w:iCs/>
          <w:lang w:val="fr-FR"/>
        </w:rPr>
        <w:t>Russie</w:t>
      </w:r>
      <w:r w:rsidRPr="00640F03" w:rsidR="00C92C8F">
        <w:rPr>
          <w:lang w:val="fr-FR"/>
        </w:rPr>
        <w:t xml:space="preserve"> [GC], </w:t>
      </w:r>
      <w:r w:rsidRPr="00640F03" w:rsidR="00FC4608">
        <w:rPr>
          <w:lang w:val="fr-FR"/>
        </w:rPr>
        <w:t>n</w:t>
      </w:r>
      <w:r w:rsidRPr="00640F03" w:rsidR="00FC4608">
        <w:rPr>
          <w:vertAlign w:val="superscript"/>
          <w:lang w:val="fr-FR"/>
        </w:rPr>
        <w:t>o</w:t>
      </w:r>
      <w:r w:rsidRPr="00640F03" w:rsidR="00880805">
        <w:rPr>
          <w:vertAlign w:val="superscript"/>
          <w:lang w:val="fr-FR"/>
        </w:rPr>
        <w:t>s</w:t>
      </w:r>
      <w:r w:rsidRPr="00640F03" w:rsidR="00C92C8F">
        <w:rPr>
          <w:lang w:val="fr-FR"/>
        </w:rPr>
        <w:t xml:space="preserve"> 60367/08 et 961/11, §</w:t>
      </w:r>
      <w:r w:rsidRPr="00640F03" w:rsidR="00D92A54">
        <w:rPr>
          <w:lang w:val="fr-FR"/>
        </w:rPr>
        <w:t> </w:t>
      </w:r>
      <w:r w:rsidRPr="00640F03" w:rsidR="00C92C8F">
        <w:rPr>
          <w:lang w:val="fr-FR"/>
        </w:rPr>
        <w:t>73, 24</w:t>
      </w:r>
      <w:r w:rsidRPr="00640F03" w:rsidR="00D92A54">
        <w:rPr>
          <w:lang w:val="fr-FR"/>
        </w:rPr>
        <w:t> </w:t>
      </w:r>
      <w:r w:rsidRPr="00640F03" w:rsidR="00C92C8F">
        <w:rPr>
          <w:lang w:val="fr-FR"/>
        </w:rPr>
        <w:t>janvier 2017). La Cour souligne que cette méthode d</w:t>
      </w:r>
      <w:r w:rsidRPr="00640F03" w:rsidR="00640F03">
        <w:rPr>
          <w:lang w:val="fr-FR"/>
        </w:rPr>
        <w:t>’</w:t>
      </w:r>
      <w:r w:rsidRPr="00640F03" w:rsidR="00C92C8F">
        <w:rPr>
          <w:lang w:val="fr-FR"/>
        </w:rPr>
        <w:t xml:space="preserve">interprétation particulière, qui fait partie intégrante de sa compétence contentieuse, doit être considérée comme étant spécifique à la Convention et à ses </w:t>
      </w:r>
      <w:r w:rsidRPr="00640F03" w:rsidR="00EE08C4">
        <w:rPr>
          <w:lang w:val="fr-FR"/>
        </w:rPr>
        <w:t>P</w:t>
      </w:r>
      <w:r w:rsidRPr="00640F03" w:rsidR="00C92C8F">
        <w:rPr>
          <w:lang w:val="fr-FR"/>
        </w:rPr>
        <w:t>rotocoles. L</w:t>
      </w:r>
      <w:r w:rsidRPr="00640F03" w:rsidR="00640F03">
        <w:rPr>
          <w:lang w:val="fr-FR"/>
        </w:rPr>
        <w:t>’</w:t>
      </w:r>
      <w:r w:rsidRPr="00640F03" w:rsidR="00C92C8F">
        <w:rPr>
          <w:lang w:val="fr-FR"/>
        </w:rPr>
        <w:t>article</w:t>
      </w:r>
      <w:r w:rsidRPr="00640F03" w:rsidR="00D92A54">
        <w:rPr>
          <w:lang w:val="fr-FR"/>
        </w:rPr>
        <w:t> </w:t>
      </w:r>
      <w:r w:rsidRPr="00640F03" w:rsidR="00C92C8F">
        <w:rPr>
          <w:lang w:val="fr-FR"/>
        </w:rPr>
        <w:t>29 n</w:t>
      </w:r>
      <w:r w:rsidRPr="00640F03" w:rsidR="00640F03">
        <w:rPr>
          <w:lang w:val="fr-FR"/>
        </w:rPr>
        <w:t>’</w:t>
      </w:r>
      <w:r w:rsidRPr="00640F03" w:rsidR="00C92C8F">
        <w:rPr>
          <w:lang w:val="fr-FR"/>
        </w:rPr>
        <w:t>offre aucun fondement similaire pour adopter la même méthode relativement à l</w:t>
      </w:r>
      <w:r w:rsidRPr="00640F03" w:rsidR="00640F03">
        <w:rPr>
          <w:lang w:val="fr-FR"/>
        </w:rPr>
        <w:t>’</w:t>
      </w:r>
      <w:r w:rsidRPr="00640F03" w:rsidR="00C92C8F">
        <w:rPr>
          <w:lang w:val="fr-FR"/>
        </w:rPr>
        <w:t>interprétation de la Convention d</w:t>
      </w:r>
      <w:r w:rsidRPr="00640F03" w:rsidR="00640F03">
        <w:rPr>
          <w:lang w:val="fr-FR"/>
        </w:rPr>
        <w:t>’</w:t>
      </w:r>
      <w:r w:rsidRPr="00640F03" w:rsidR="00C92C8F">
        <w:rPr>
          <w:lang w:val="fr-FR"/>
        </w:rPr>
        <w:t>Oviedo, alors même que cette méthode était déjà bien connue au moment où a été rédigé cet instrument. C</w:t>
      </w:r>
      <w:r w:rsidRPr="00640F03" w:rsidR="00640F03">
        <w:rPr>
          <w:lang w:val="fr-FR"/>
        </w:rPr>
        <w:t>’</w:t>
      </w:r>
      <w:r w:rsidRPr="00640F03" w:rsidR="00C92C8F">
        <w:rPr>
          <w:lang w:val="fr-FR"/>
        </w:rPr>
        <w:t>est donc bien la « présente Convention » que la Cour peut être appelée à interpréter. La Cour observe à cet égard que la Convention d</w:t>
      </w:r>
      <w:r w:rsidRPr="00640F03" w:rsidR="00640F03">
        <w:rPr>
          <w:lang w:val="fr-FR"/>
        </w:rPr>
        <w:t>’</w:t>
      </w:r>
      <w:r w:rsidRPr="00640F03" w:rsidR="00C92C8F">
        <w:rPr>
          <w:lang w:val="fr-FR"/>
        </w:rPr>
        <w:t>Oviedo représente un modèle normatif différent de la Convention, puisqu</w:t>
      </w:r>
      <w:r w:rsidRPr="00640F03" w:rsidR="00640F03">
        <w:rPr>
          <w:lang w:val="fr-FR"/>
        </w:rPr>
        <w:t>’</w:t>
      </w:r>
      <w:r w:rsidRPr="00640F03" w:rsidR="00C92C8F">
        <w:rPr>
          <w:lang w:val="fr-FR"/>
        </w:rPr>
        <w:t>il s</w:t>
      </w:r>
      <w:r w:rsidRPr="00640F03" w:rsidR="00640F03">
        <w:rPr>
          <w:lang w:val="fr-FR"/>
        </w:rPr>
        <w:t>’</w:t>
      </w:r>
      <w:r w:rsidRPr="00640F03" w:rsidR="00C92C8F">
        <w:rPr>
          <w:lang w:val="fr-FR"/>
        </w:rPr>
        <w:t>agit d</w:t>
      </w:r>
      <w:r w:rsidRPr="00640F03" w:rsidR="00640F03">
        <w:rPr>
          <w:lang w:val="fr-FR"/>
        </w:rPr>
        <w:t>’</w:t>
      </w:r>
      <w:r w:rsidRPr="00640F03" w:rsidR="00C92C8F">
        <w:rPr>
          <w:lang w:val="fr-FR"/>
        </w:rPr>
        <w:t xml:space="preserve">un instrument cadre qui définit </w:t>
      </w:r>
      <w:r w:rsidRPr="00640F03" w:rsidR="009216E0">
        <w:rPr>
          <w:lang w:val="fr-FR"/>
        </w:rPr>
        <w:t>une série de grands principes</w:t>
      </w:r>
      <w:r w:rsidRPr="00640F03" w:rsidR="00E41DC1">
        <w:rPr>
          <w:lang w:val="fr-FR"/>
        </w:rPr>
        <w:t>,</w:t>
      </w:r>
      <w:r w:rsidRPr="00640F03" w:rsidR="009216E0">
        <w:rPr>
          <w:lang w:val="fr-FR"/>
        </w:rPr>
        <w:t xml:space="preserve"> </w:t>
      </w:r>
      <w:r w:rsidRPr="00640F03" w:rsidR="00C92C8F">
        <w:rPr>
          <w:lang w:val="fr-FR"/>
        </w:rPr>
        <w:t xml:space="preserve">destinés à être </w:t>
      </w:r>
      <w:r w:rsidRPr="00640F03" w:rsidR="00CA32DB">
        <w:rPr>
          <w:lang w:val="fr-FR"/>
        </w:rPr>
        <w:t xml:space="preserve">développés, dans des domaines spécifiques, </w:t>
      </w:r>
      <w:r w:rsidRPr="00640F03" w:rsidR="00E41DC1">
        <w:rPr>
          <w:lang w:val="fr-FR"/>
        </w:rPr>
        <w:t xml:space="preserve">au travers </w:t>
      </w:r>
      <w:r w:rsidRPr="00640F03" w:rsidR="00CA32DB">
        <w:rPr>
          <w:lang w:val="fr-FR"/>
        </w:rPr>
        <w:t xml:space="preserve">de </w:t>
      </w:r>
      <w:r w:rsidRPr="00640F03" w:rsidR="00C92C8F">
        <w:rPr>
          <w:lang w:val="fr-FR"/>
        </w:rPr>
        <w:t>protocoles (voir l</w:t>
      </w:r>
      <w:r w:rsidRPr="00640F03" w:rsidR="00640F03">
        <w:rPr>
          <w:lang w:val="fr-FR"/>
        </w:rPr>
        <w:t>’</w:t>
      </w:r>
      <w:r w:rsidRPr="00640F03" w:rsidR="00C92C8F">
        <w:rPr>
          <w:lang w:val="fr-FR"/>
        </w:rPr>
        <w:t>article</w:t>
      </w:r>
      <w:r w:rsidRPr="00640F03" w:rsidR="00D92A54">
        <w:rPr>
          <w:lang w:val="fr-FR"/>
        </w:rPr>
        <w:t> </w:t>
      </w:r>
      <w:r w:rsidRPr="00640F03" w:rsidR="00C92C8F">
        <w:rPr>
          <w:lang w:val="fr-FR"/>
        </w:rPr>
        <w:t>31 de la Convention d</w:t>
      </w:r>
      <w:r w:rsidRPr="00640F03" w:rsidR="00640F03">
        <w:rPr>
          <w:lang w:val="fr-FR"/>
        </w:rPr>
        <w:t>’</w:t>
      </w:r>
      <w:r w:rsidRPr="00640F03" w:rsidR="00C92C8F">
        <w:rPr>
          <w:lang w:val="fr-FR"/>
        </w:rPr>
        <w:t>Oviedo cité au paragraphe</w:t>
      </w:r>
      <w:r w:rsidRPr="00640F03" w:rsidR="00CA32DB">
        <w:rPr>
          <w:lang w:val="fr-FR"/>
        </w:rPr>
        <w:t> </w:t>
      </w:r>
      <w:r w:rsidRPr="00640F03" w:rsidR="00CA32DB">
        <w:rPr>
          <w:lang w:val="fr-FR"/>
        </w:rPr>
        <w:fldChar w:fldCharType="begin"/>
      </w:r>
      <w:r w:rsidRPr="00640F03" w:rsidR="00CA32DB">
        <w:rPr>
          <w:lang w:val="fr-FR"/>
        </w:rPr>
        <w:instrText xml:space="preserve"> REF P10 \h </w:instrText>
      </w:r>
      <w:r w:rsidRPr="00640F03" w:rsidR="000C2B9F">
        <w:rPr>
          <w:lang w:val="fr-FR"/>
        </w:rPr>
        <w:instrText xml:space="preserve"> \* MERGEFORMAT </w:instrText>
      </w:r>
      <w:r w:rsidRPr="00640F03" w:rsidR="00CA32DB">
        <w:rPr>
          <w:lang w:val="fr-FR"/>
        </w:rPr>
      </w:r>
      <w:r w:rsidRPr="00640F03" w:rsidR="00CA32DB">
        <w:rPr>
          <w:lang w:val="fr-FR"/>
        </w:rPr>
        <w:fldChar w:fldCharType="separate"/>
      </w:r>
      <w:r w:rsidRPr="00640F03" w:rsidR="00640F03">
        <w:rPr>
          <w:lang w:val="fr-FR"/>
        </w:rPr>
        <w:t>10</w:t>
      </w:r>
      <w:r w:rsidRPr="00640F03" w:rsidR="00CA32DB">
        <w:rPr>
          <w:lang w:val="fr-FR"/>
        </w:rPr>
        <w:fldChar w:fldCharType="end"/>
      </w:r>
      <w:r w:rsidRPr="00640F03" w:rsidR="00C92C8F">
        <w:rPr>
          <w:lang w:val="fr-FR"/>
        </w:rPr>
        <w:t xml:space="preserve"> ci-dessus).</w:t>
      </w:r>
    </w:p>
    <w:bookmarkStart w:name="P50" w:id="28"/>
    <w:p w:rsidRPr="00640F03" w:rsidR="001C5249" w:rsidP="00640F03" w:rsidRDefault="001002FC" w14:paraId="2DD9613E" w14:textId="44898C6F">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50</w:t>
      </w:r>
      <w:r w:rsidRPr="00640F03">
        <w:rPr>
          <w:lang w:val="fr-FR"/>
        </w:rPr>
        <w:fldChar w:fldCharType="end"/>
      </w:r>
      <w:bookmarkEnd w:id="28"/>
      <w:r w:rsidRPr="00640F03">
        <w:rPr>
          <w:lang w:val="fr-FR"/>
        </w:rPr>
        <w:t>.  </w:t>
      </w:r>
      <w:r w:rsidRPr="00640F03" w:rsidR="00FA3C95">
        <w:rPr>
          <w:lang w:val="fr-FR"/>
        </w:rPr>
        <w:t>La Cour juge approprié de saisir l</w:t>
      </w:r>
      <w:r w:rsidRPr="00640F03" w:rsidR="00640F03">
        <w:rPr>
          <w:lang w:val="fr-FR"/>
        </w:rPr>
        <w:t>’</w:t>
      </w:r>
      <w:r w:rsidRPr="00640F03" w:rsidR="00FA3C95">
        <w:rPr>
          <w:lang w:val="fr-FR"/>
        </w:rPr>
        <w:t>occasion d</w:t>
      </w:r>
      <w:r w:rsidRPr="00640F03" w:rsidR="00640F03">
        <w:rPr>
          <w:lang w:val="fr-FR"/>
        </w:rPr>
        <w:t>’</w:t>
      </w:r>
      <w:r w:rsidRPr="00640F03" w:rsidR="00FA3C95">
        <w:rPr>
          <w:lang w:val="fr-FR"/>
        </w:rPr>
        <w:t xml:space="preserve">apporter des précisions sur la relation entre </w:t>
      </w:r>
      <w:r w:rsidRPr="00640F03" w:rsidR="004A0AE8">
        <w:rPr>
          <w:lang w:val="fr-FR"/>
        </w:rPr>
        <w:t>l</w:t>
      </w:r>
      <w:r w:rsidRPr="00640F03" w:rsidR="00FA3C95">
        <w:rPr>
          <w:lang w:val="fr-FR"/>
        </w:rPr>
        <w:t xml:space="preserve">a compétence consultative </w:t>
      </w:r>
      <w:r w:rsidRPr="00640F03" w:rsidR="004A0AE8">
        <w:rPr>
          <w:lang w:val="fr-FR"/>
        </w:rPr>
        <w:t xml:space="preserve">que lui attribue </w:t>
      </w:r>
      <w:r w:rsidRPr="00640F03" w:rsidR="00FA3C95">
        <w:rPr>
          <w:lang w:val="fr-FR"/>
        </w:rPr>
        <w:t>la Convention d</w:t>
      </w:r>
      <w:r w:rsidRPr="00640F03" w:rsidR="00640F03">
        <w:rPr>
          <w:lang w:val="fr-FR"/>
        </w:rPr>
        <w:t>’</w:t>
      </w:r>
      <w:r w:rsidRPr="00640F03" w:rsidR="00FA3C95">
        <w:rPr>
          <w:lang w:val="fr-FR"/>
        </w:rPr>
        <w:t xml:space="preserve">Oviedo et </w:t>
      </w:r>
      <w:r w:rsidRPr="00640F03" w:rsidR="00B72822">
        <w:rPr>
          <w:lang w:val="fr-FR"/>
        </w:rPr>
        <w:t>la compétence</w:t>
      </w:r>
      <w:r w:rsidRPr="00640F03" w:rsidR="00FA3C95">
        <w:rPr>
          <w:lang w:val="fr-FR"/>
        </w:rPr>
        <w:t xml:space="preserve"> contentieuse et consultative qu</w:t>
      </w:r>
      <w:r w:rsidRPr="00640F03" w:rsidR="00640F03">
        <w:rPr>
          <w:lang w:val="fr-FR"/>
        </w:rPr>
        <w:t>’</w:t>
      </w:r>
      <w:r w:rsidRPr="00640F03" w:rsidR="00FA3C95">
        <w:rPr>
          <w:lang w:val="fr-FR"/>
        </w:rPr>
        <w:t>elle exerce au titre de la Convention. Elle souligne tout d</w:t>
      </w:r>
      <w:r w:rsidRPr="00640F03" w:rsidR="00640F03">
        <w:rPr>
          <w:lang w:val="fr-FR"/>
        </w:rPr>
        <w:t>’</w:t>
      </w:r>
      <w:r w:rsidRPr="00640F03" w:rsidR="00FA3C95">
        <w:rPr>
          <w:lang w:val="fr-FR"/>
        </w:rPr>
        <w:t>abord que, dans la Convention, la relation entre la compétence contentieuse et la compétence consultative de la Cour est régie par l</w:t>
      </w:r>
      <w:r w:rsidRPr="00640F03" w:rsidR="00640F03">
        <w:rPr>
          <w:lang w:val="fr-FR"/>
        </w:rPr>
        <w:t>’</w:t>
      </w:r>
      <w:r w:rsidRPr="00640F03" w:rsidR="00FA3C95">
        <w:rPr>
          <w:lang w:val="fr-FR"/>
        </w:rPr>
        <w:t>article 47 §</w:t>
      </w:r>
      <w:r w:rsidRPr="00640F03" w:rsidR="00D92A54">
        <w:rPr>
          <w:lang w:val="fr-FR"/>
        </w:rPr>
        <w:t> </w:t>
      </w:r>
      <w:r w:rsidRPr="00640F03" w:rsidR="00FA3C95">
        <w:rPr>
          <w:lang w:val="fr-FR"/>
        </w:rPr>
        <w:t>2, qui, de deux manières connexes, limite significativement la seconde par rapport à la première. Ainsi, un avis consultatif ne peut porter ni sur les questions ayant trait au contenu ou à l</w:t>
      </w:r>
      <w:r w:rsidRPr="00640F03" w:rsidR="00640F03">
        <w:rPr>
          <w:lang w:val="fr-FR"/>
        </w:rPr>
        <w:t>’</w:t>
      </w:r>
      <w:r w:rsidRPr="00640F03" w:rsidR="00FA3C95">
        <w:rPr>
          <w:lang w:val="fr-FR"/>
        </w:rPr>
        <w:t>étendue des droits et libertés définis au titre I de la Convention (articles 2</w:t>
      </w:r>
      <w:r w:rsidRPr="00640F03" w:rsidR="00FA3C95">
        <w:rPr>
          <w:lang w:val="fr-FR"/>
        </w:rPr>
        <w:noBreakHyphen/>
        <w:t>18) et dans les protocoles ni sur les autres questions dont la Cour ou le Comité des Ministres pourraient avoir à connaître par suite de l</w:t>
      </w:r>
      <w:r w:rsidRPr="00640F03" w:rsidR="00640F03">
        <w:rPr>
          <w:lang w:val="fr-FR"/>
        </w:rPr>
        <w:t>’</w:t>
      </w:r>
      <w:r w:rsidRPr="00640F03" w:rsidR="00FA3C95">
        <w:rPr>
          <w:lang w:val="fr-FR"/>
        </w:rPr>
        <w:t>introduction d</w:t>
      </w:r>
      <w:r w:rsidRPr="00640F03" w:rsidR="00640F03">
        <w:rPr>
          <w:lang w:val="fr-FR"/>
        </w:rPr>
        <w:t>’</w:t>
      </w:r>
      <w:r w:rsidRPr="00640F03" w:rsidR="00FA3C95">
        <w:rPr>
          <w:lang w:val="fr-FR"/>
        </w:rPr>
        <w:t>un recours prévu par la Convention.</w:t>
      </w:r>
    </w:p>
    <w:p w:rsidRPr="00640F03" w:rsidR="001C5249" w:rsidP="00640F03" w:rsidRDefault="001002FC" w14:paraId="7F2A97FB" w14:textId="7B538943">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51</w:t>
      </w:r>
      <w:r w:rsidRPr="00640F03">
        <w:rPr>
          <w:lang w:val="fr-FR"/>
        </w:rPr>
        <w:fldChar w:fldCharType="end"/>
      </w:r>
      <w:r w:rsidRPr="00640F03">
        <w:rPr>
          <w:lang w:val="fr-FR"/>
        </w:rPr>
        <w:t>.  </w:t>
      </w:r>
      <w:r w:rsidRPr="00640F03" w:rsidR="00FA3C95">
        <w:rPr>
          <w:lang w:val="fr-FR"/>
        </w:rPr>
        <w:t>Concernant la seconde limitation, la Cour a précisé sa finalité comme suit :</w:t>
      </w:r>
    </w:p>
    <w:p w:rsidRPr="00640F03" w:rsidR="001C5249" w:rsidP="00640F03" w:rsidRDefault="00FA3C95" w14:paraId="2015777D" w14:textId="0178AE4E">
      <w:pPr>
        <w:pStyle w:val="JuQuot"/>
        <w:rPr>
          <w:lang w:val="fr-FR"/>
        </w:rPr>
      </w:pPr>
      <w:r w:rsidRPr="00640F03">
        <w:rPr>
          <w:lang w:val="fr-FR"/>
        </w:rPr>
        <w:t>« La Cour estime que les dispositions excluant sa compétence consultative ont pour but d</w:t>
      </w:r>
      <w:r w:rsidRPr="00640F03" w:rsidR="00640F03">
        <w:rPr>
          <w:lang w:val="fr-FR"/>
        </w:rPr>
        <w:t>’</w:t>
      </w:r>
      <w:r w:rsidRPr="00640F03">
        <w:rPr>
          <w:lang w:val="fr-FR"/>
        </w:rPr>
        <w:t>éviter une situation dans laquelle elle adopterait dans son avis consultatif une position de nature à préjuger l</w:t>
      </w:r>
      <w:r w:rsidRPr="00640F03" w:rsidR="00640F03">
        <w:rPr>
          <w:lang w:val="fr-FR"/>
        </w:rPr>
        <w:t>’</w:t>
      </w:r>
      <w:r w:rsidRPr="00640F03">
        <w:rPr>
          <w:lang w:val="fr-FR"/>
        </w:rPr>
        <w:t>examen ultérieur par elle d</w:t>
      </w:r>
      <w:r w:rsidRPr="00640F03" w:rsidR="00640F03">
        <w:rPr>
          <w:lang w:val="fr-FR"/>
        </w:rPr>
        <w:t>’</w:t>
      </w:r>
      <w:r w:rsidRPr="00640F03">
        <w:rPr>
          <w:lang w:val="fr-FR"/>
        </w:rPr>
        <w:t>une requête introduite en vertu des articles 33 ou 34 de la Convention, le fait qu</w:t>
      </w:r>
      <w:r w:rsidRPr="00640F03" w:rsidR="00640F03">
        <w:rPr>
          <w:lang w:val="fr-FR"/>
        </w:rPr>
        <w:t>’</w:t>
      </w:r>
      <w:r w:rsidRPr="00640F03">
        <w:rPr>
          <w:lang w:val="fr-FR"/>
        </w:rPr>
        <w:t>une telle requête n</w:t>
      </w:r>
      <w:r w:rsidRPr="00640F03" w:rsidR="00640F03">
        <w:rPr>
          <w:lang w:val="fr-FR"/>
        </w:rPr>
        <w:t>’</w:t>
      </w:r>
      <w:r w:rsidRPr="00640F03">
        <w:rPr>
          <w:lang w:val="fr-FR"/>
        </w:rPr>
        <w:t>ait pas été introduite ou ne le soit jamais n</w:t>
      </w:r>
      <w:r w:rsidRPr="00640F03" w:rsidR="00640F03">
        <w:rPr>
          <w:lang w:val="fr-FR"/>
        </w:rPr>
        <w:t>’</w:t>
      </w:r>
      <w:r w:rsidRPr="00640F03">
        <w:rPr>
          <w:lang w:val="fr-FR"/>
        </w:rPr>
        <w:t>étant nullement déterminant. À cet égard, elle renvoie une fois de plus aux travaux préparatoires, dans lesquels il est précisé qu</w:t>
      </w:r>
      <w:r w:rsidRPr="00640F03" w:rsidR="00640F03">
        <w:rPr>
          <w:lang w:val="fr-FR"/>
        </w:rPr>
        <w:t>’</w:t>
      </w:r>
      <w:r w:rsidRPr="00640F03">
        <w:rPr>
          <w:lang w:val="fr-FR"/>
        </w:rPr>
        <w:t>il importe « que la Cour ne soit jamais mise dans la difficulté d</w:t>
      </w:r>
      <w:r w:rsidRPr="00640F03" w:rsidR="00640F03">
        <w:rPr>
          <w:lang w:val="fr-FR"/>
        </w:rPr>
        <w:t>’</w:t>
      </w:r>
      <w:r w:rsidRPr="00640F03">
        <w:rPr>
          <w:lang w:val="fr-FR"/>
        </w:rPr>
        <w:t>avoir, en présence d</w:t>
      </w:r>
      <w:r w:rsidRPr="00640F03" w:rsidR="00640F03">
        <w:rPr>
          <w:lang w:val="fr-FR"/>
        </w:rPr>
        <w:t>’</w:t>
      </w:r>
      <w:r w:rsidRPr="00640F03">
        <w:rPr>
          <w:lang w:val="fr-FR"/>
        </w:rPr>
        <w:t>une demande d</w:t>
      </w:r>
      <w:r w:rsidRPr="00640F03" w:rsidR="00640F03">
        <w:rPr>
          <w:lang w:val="fr-FR"/>
        </w:rPr>
        <w:t>’</w:t>
      </w:r>
      <w:r w:rsidRPr="00640F03">
        <w:rPr>
          <w:lang w:val="fr-FR"/>
        </w:rPr>
        <w:t>avis, à se prononcer directement ou indirectement sur une question de droit dont elle pourrait éventuellement avoir à connaître à titre principal, à l</w:t>
      </w:r>
      <w:r w:rsidRPr="00640F03" w:rsidR="00640F03">
        <w:rPr>
          <w:lang w:val="fr-FR"/>
        </w:rPr>
        <w:t>’</w:t>
      </w:r>
      <w:r w:rsidRPr="00640F03">
        <w:rPr>
          <w:lang w:val="fr-FR"/>
        </w:rPr>
        <w:t>occasion d</w:t>
      </w:r>
      <w:r w:rsidRPr="00640F03" w:rsidR="00640F03">
        <w:rPr>
          <w:lang w:val="fr-FR"/>
        </w:rPr>
        <w:t>’</w:t>
      </w:r>
      <w:r w:rsidRPr="00640F03">
        <w:rPr>
          <w:lang w:val="fr-FR"/>
        </w:rPr>
        <w:t>une affaire susceptible d</w:t>
      </w:r>
      <w:r w:rsidRPr="00640F03" w:rsidR="00640F03">
        <w:rPr>
          <w:lang w:val="fr-FR"/>
        </w:rPr>
        <w:t>’</w:t>
      </w:r>
      <w:r w:rsidRPr="00640F03">
        <w:rPr>
          <w:lang w:val="fr-FR"/>
        </w:rPr>
        <w:t>être portée devant elle » (CM(61)91). La Cour considère donc qu</w:t>
      </w:r>
      <w:r w:rsidRPr="00640F03" w:rsidR="00640F03">
        <w:rPr>
          <w:lang w:val="fr-FR"/>
        </w:rPr>
        <w:t>’</w:t>
      </w:r>
      <w:r w:rsidRPr="00640F03">
        <w:rPr>
          <w:lang w:val="fr-FR"/>
        </w:rPr>
        <w:t>il suffit, pour exclure sa compétence consultative, qu</w:t>
      </w:r>
      <w:r w:rsidRPr="00640F03" w:rsidR="00640F03">
        <w:rPr>
          <w:lang w:val="fr-FR"/>
        </w:rPr>
        <w:t>’</w:t>
      </w:r>
      <w:r w:rsidRPr="00640F03">
        <w:rPr>
          <w:lang w:val="fr-FR"/>
        </w:rPr>
        <w:t>elle soit saisie d</w:t>
      </w:r>
      <w:r w:rsidRPr="00640F03" w:rsidR="00640F03">
        <w:rPr>
          <w:lang w:val="fr-FR"/>
        </w:rPr>
        <w:t>’</w:t>
      </w:r>
      <w:r w:rsidRPr="00640F03">
        <w:rPr>
          <w:lang w:val="fr-FR"/>
        </w:rPr>
        <w:t>une question juridique dont elle pourrait avoir à connaître à l</w:t>
      </w:r>
      <w:r w:rsidRPr="00640F03" w:rsidR="00640F03">
        <w:rPr>
          <w:lang w:val="fr-FR"/>
        </w:rPr>
        <w:t>’</w:t>
      </w:r>
      <w:r w:rsidRPr="00640F03">
        <w:rPr>
          <w:lang w:val="fr-FR"/>
        </w:rPr>
        <w:t>avenir dans l</w:t>
      </w:r>
      <w:r w:rsidRPr="00640F03" w:rsidR="00640F03">
        <w:rPr>
          <w:lang w:val="fr-FR"/>
        </w:rPr>
        <w:t>’</w:t>
      </w:r>
      <w:r w:rsidRPr="00640F03">
        <w:rPr>
          <w:lang w:val="fr-FR"/>
        </w:rPr>
        <w:t>exercice de sa fonction judiciaire première, à savoir l</w:t>
      </w:r>
      <w:r w:rsidRPr="00640F03" w:rsidR="00640F03">
        <w:rPr>
          <w:lang w:val="fr-FR"/>
        </w:rPr>
        <w:t>’</w:t>
      </w:r>
      <w:r w:rsidRPr="00640F03">
        <w:rPr>
          <w:lang w:val="fr-FR"/>
        </w:rPr>
        <w:t>examen de la recevabilité ou du fond d</w:t>
      </w:r>
      <w:r w:rsidRPr="00640F03" w:rsidR="00640F03">
        <w:rPr>
          <w:lang w:val="fr-FR"/>
        </w:rPr>
        <w:t>’</w:t>
      </w:r>
      <w:r w:rsidRPr="00640F03">
        <w:rPr>
          <w:lang w:val="fr-FR"/>
        </w:rPr>
        <w:t>une affaire concrète » (</w:t>
      </w:r>
      <w:r w:rsidRPr="00640F03">
        <w:rPr>
          <w:i/>
          <w:lang w:val="fr-FR"/>
        </w:rPr>
        <w:t>Décision sur la compétence de la Cour pour rendre un avis consultatif</w:t>
      </w:r>
      <w:r w:rsidRPr="00640F03" w:rsidR="00EE08C4">
        <w:rPr>
          <w:i/>
          <w:lang w:val="fr-FR"/>
        </w:rPr>
        <w:t xml:space="preserve"> </w:t>
      </w:r>
      <w:r w:rsidRPr="00640F03" w:rsidR="00EE08C4">
        <w:rPr>
          <w:lang w:val="fr-FR"/>
        </w:rPr>
        <w:t>[GC], § 33, CEDH 2004</w:t>
      </w:r>
      <w:r w:rsidRPr="00640F03" w:rsidR="00EE08C4">
        <w:rPr>
          <w:lang w:val="fr-FR"/>
        </w:rPr>
        <w:noBreakHyphen/>
        <w:t>VI</w:t>
      </w:r>
      <w:r w:rsidRPr="00640F03">
        <w:rPr>
          <w:lang w:val="fr-FR"/>
        </w:rPr>
        <w:t>, 2 juin 2004).</w:t>
      </w:r>
    </w:p>
    <w:bookmarkStart w:name="P52" w:id="29"/>
    <w:p w:rsidRPr="00640F03" w:rsidR="006E0F85" w:rsidP="00640F03" w:rsidRDefault="00F6518C" w14:paraId="63C9598F" w14:textId="1285B281">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52</w:t>
      </w:r>
      <w:r w:rsidRPr="00640F03">
        <w:rPr>
          <w:lang w:val="fr-FR"/>
        </w:rPr>
        <w:fldChar w:fldCharType="end"/>
      </w:r>
      <w:bookmarkEnd w:id="29"/>
      <w:r w:rsidRPr="00640F03">
        <w:rPr>
          <w:lang w:val="fr-FR"/>
        </w:rPr>
        <w:t>.  </w:t>
      </w:r>
      <w:r w:rsidRPr="00640F03" w:rsidR="00FA3C95">
        <w:rPr>
          <w:lang w:val="fr-FR"/>
        </w:rPr>
        <w:t>Cette finalité de l</w:t>
      </w:r>
      <w:r w:rsidRPr="00640F03" w:rsidR="00640F03">
        <w:rPr>
          <w:lang w:val="fr-FR"/>
        </w:rPr>
        <w:t>’</w:t>
      </w:r>
      <w:r w:rsidRPr="00640F03" w:rsidR="00FA3C95">
        <w:rPr>
          <w:lang w:val="fr-FR"/>
        </w:rPr>
        <w:t>article</w:t>
      </w:r>
      <w:r w:rsidRPr="00640F03" w:rsidR="00D92A54">
        <w:rPr>
          <w:lang w:val="fr-FR"/>
        </w:rPr>
        <w:t> </w:t>
      </w:r>
      <w:r w:rsidRPr="00640F03" w:rsidR="00FA3C95">
        <w:rPr>
          <w:lang w:val="fr-FR"/>
        </w:rPr>
        <w:t>47 §</w:t>
      </w:r>
      <w:r w:rsidRPr="00640F03" w:rsidR="00D92A54">
        <w:rPr>
          <w:lang w:val="fr-FR"/>
        </w:rPr>
        <w:t> </w:t>
      </w:r>
      <w:r w:rsidRPr="00640F03" w:rsidR="00FA3C95">
        <w:rPr>
          <w:lang w:val="fr-FR"/>
        </w:rPr>
        <w:t>2 est formulée en des termes très généraux, et elle se reflète également dans la genèse de la Convention d</w:t>
      </w:r>
      <w:r w:rsidRPr="00640F03" w:rsidR="00640F03">
        <w:rPr>
          <w:lang w:val="fr-FR"/>
        </w:rPr>
        <w:t>’</w:t>
      </w:r>
      <w:r w:rsidRPr="00640F03" w:rsidR="00FA3C95">
        <w:rPr>
          <w:lang w:val="fr-FR"/>
        </w:rPr>
        <w:t>Oviedo. Comme cela a été décrit ci-dessus (paragraphe</w:t>
      </w:r>
      <w:r w:rsidRPr="00640F03" w:rsidR="00FE7DB4">
        <w:rPr>
          <w:lang w:val="fr-FR"/>
        </w:rPr>
        <w:t> </w:t>
      </w:r>
      <w:r w:rsidRPr="00640F03" w:rsidR="006B7FB9">
        <w:rPr>
          <w:lang w:val="fr-FR"/>
        </w:rPr>
        <w:fldChar w:fldCharType="begin"/>
      </w:r>
      <w:r w:rsidRPr="00640F03" w:rsidR="006B7FB9">
        <w:rPr>
          <w:lang w:val="fr-FR"/>
        </w:rPr>
        <w:instrText xml:space="preserve"> REF P14 \h </w:instrText>
      </w:r>
      <w:r w:rsidRPr="00640F03" w:rsidR="00BC0B44">
        <w:rPr>
          <w:lang w:val="fr-FR"/>
        </w:rPr>
        <w:instrText xml:space="preserve"> \* MERGEFORMAT </w:instrText>
      </w:r>
      <w:r w:rsidRPr="00640F03" w:rsidR="006B7FB9">
        <w:rPr>
          <w:lang w:val="fr-FR"/>
        </w:rPr>
      </w:r>
      <w:r w:rsidRPr="00640F03" w:rsidR="006B7FB9">
        <w:rPr>
          <w:lang w:val="fr-FR"/>
        </w:rPr>
        <w:fldChar w:fldCharType="separate"/>
      </w:r>
      <w:r w:rsidRPr="00640F03" w:rsidR="00640F03">
        <w:rPr>
          <w:noProof/>
          <w:lang w:val="fr-FR"/>
        </w:rPr>
        <w:t>14</w:t>
      </w:r>
      <w:r w:rsidRPr="00640F03" w:rsidR="006B7FB9">
        <w:rPr>
          <w:lang w:val="fr-FR"/>
        </w:rPr>
        <w:fldChar w:fldCharType="end"/>
      </w:r>
      <w:r w:rsidRPr="00640F03" w:rsidR="00FA3C95">
        <w:rPr>
          <w:lang w:val="fr-FR"/>
        </w:rPr>
        <w:t>), la proposition initiale présentée à la Cour envisageait une procédure de renvoi préjudiciel. La Cour rejeta cette idée et expliqua dans son avis sur le projet de convention qu</w:t>
      </w:r>
      <w:r w:rsidRPr="00640F03" w:rsidR="00640F03">
        <w:rPr>
          <w:lang w:val="fr-FR"/>
        </w:rPr>
        <w:t>’</w:t>
      </w:r>
      <w:r w:rsidRPr="00640F03" w:rsidR="00FA3C95">
        <w:rPr>
          <w:lang w:val="fr-FR"/>
        </w:rPr>
        <w:t>un tel rôle au titre de la (future) Convention d</w:t>
      </w:r>
      <w:r w:rsidRPr="00640F03" w:rsidR="00640F03">
        <w:rPr>
          <w:lang w:val="fr-FR"/>
        </w:rPr>
        <w:t>’</w:t>
      </w:r>
      <w:r w:rsidRPr="00640F03" w:rsidR="00FA3C95">
        <w:rPr>
          <w:lang w:val="fr-FR"/>
        </w:rPr>
        <w:t>Oviedo pourrait avoir une influence sur l</w:t>
      </w:r>
      <w:r w:rsidRPr="00640F03" w:rsidR="00640F03">
        <w:rPr>
          <w:lang w:val="fr-FR"/>
        </w:rPr>
        <w:t>’</w:t>
      </w:r>
      <w:r w:rsidRPr="00640F03" w:rsidR="00FA3C95">
        <w:rPr>
          <w:lang w:val="fr-FR"/>
        </w:rPr>
        <w:t>exercice de sa compétence contentieuse au titre de la Convention, en ce qu</w:t>
      </w:r>
      <w:r w:rsidRPr="00640F03" w:rsidR="00640F03">
        <w:rPr>
          <w:lang w:val="fr-FR"/>
        </w:rPr>
        <w:t>’</w:t>
      </w:r>
      <w:r w:rsidRPr="00640F03" w:rsidR="00FA3C95">
        <w:rPr>
          <w:lang w:val="fr-FR"/>
        </w:rPr>
        <w:t>elle risquerait d</w:t>
      </w:r>
      <w:r w:rsidRPr="00640F03" w:rsidR="00640F03">
        <w:rPr>
          <w:lang w:val="fr-FR"/>
        </w:rPr>
        <w:t>’</w:t>
      </w:r>
      <w:r w:rsidRPr="00640F03" w:rsidR="00FA3C95">
        <w:rPr>
          <w:lang w:val="fr-FR"/>
        </w:rPr>
        <w:t>être gênée dans l</w:t>
      </w:r>
      <w:r w:rsidRPr="00640F03" w:rsidR="00640F03">
        <w:rPr>
          <w:lang w:val="fr-FR"/>
        </w:rPr>
        <w:t>’</w:t>
      </w:r>
      <w:r w:rsidRPr="00640F03" w:rsidR="00FA3C95">
        <w:rPr>
          <w:lang w:val="fr-FR"/>
        </w:rPr>
        <w:t>examen d</w:t>
      </w:r>
      <w:r w:rsidRPr="00640F03" w:rsidR="00640F03">
        <w:rPr>
          <w:lang w:val="fr-FR"/>
        </w:rPr>
        <w:t>’</w:t>
      </w:r>
      <w:r w:rsidRPr="00640F03" w:rsidR="00FA3C95">
        <w:rPr>
          <w:lang w:val="fr-FR"/>
        </w:rPr>
        <w:t>une cause à propos de laquelle elle aurait déjà rendu une décision préjudicielle à la demande de la juridiction interne saisie de l</w:t>
      </w:r>
      <w:r w:rsidRPr="00640F03" w:rsidR="00640F03">
        <w:rPr>
          <w:lang w:val="fr-FR"/>
        </w:rPr>
        <w:t>’</w:t>
      </w:r>
      <w:r w:rsidRPr="00640F03" w:rsidR="00FA3C95">
        <w:rPr>
          <w:lang w:val="fr-FR"/>
        </w:rPr>
        <w:t xml:space="preserve">affaire. </w:t>
      </w:r>
      <w:r w:rsidRPr="00640F03" w:rsidR="00FA3C95">
        <w:rPr>
          <w:iCs/>
          <w:lang w:val="fr-FR"/>
        </w:rPr>
        <w:t>Cette particularité a par la suite été omise. Les rédacteurs précisèrent également dans le texte du futur article</w:t>
      </w:r>
      <w:r w:rsidRPr="00640F03" w:rsidR="00D92A54">
        <w:rPr>
          <w:iCs/>
          <w:lang w:val="fr-FR"/>
        </w:rPr>
        <w:t> </w:t>
      </w:r>
      <w:r w:rsidRPr="00640F03" w:rsidR="00FA3C95">
        <w:rPr>
          <w:iCs/>
          <w:lang w:val="fr-FR"/>
        </w:rPr>
        <w:t>29 qu</w:t>
      </w:r>
      <w:r w:rsidRPr="00640F03" w:rsidR="00640F03">
        <w:rPr>
          <w:iCs/>
          <w:lang w:val="fr-FR"/>
        </w:rPr>
        <w:t>’</w:t>
      </w:r>
      <w:r w:rsidRPr="00640F03" w:rsidR="00FA3C95">
        <w:rPr>
          <w:iCs/>
          <w:lang w:val="fr-FR"/>
        </w:rPr>
        <w:t>une demande d</w:t>
      </w:r>
      <w:r w:rsidRPr="00640F03" w:rsidR="00640F03">
        <w:rPr>
          <w:iCs/>
          <w:lang w:val="fr-FR"/>
        </w:rPr>
        <w:t>’</w:t>
      </w:r>
      <w:r w:rsidRPr="00640F03" w:rsidR="00FA3C95">
        <w:rPr>
          <w:iCs/>
          <w:lang w:val="fr-FR"/>
        </w:rPr>
        <w:t>avis consultatif ne devait comporter aucune référence directe à un litige concret se déroulant devant une juridiction. Cette précision fut également suggérée par la Cour, qui entendait réduire le risque d</w:t>
      </w:r>
      <w:r w:rsidRPr="00640F03" w:rsidR="00640F03">
        <w:rPr>
          <w:iCs/>
          <w:lang w:val="fr-FR"/>
        </w:rPr>
        <w:t>’</w:t>
      </w:r>
      <w:r w:rsidRPr="00640F03" w:rsidR="00FA3C95">
        <w:rPr>
          <w:iCs/>
          <w:lang w:val="fr-FR"/>
        </w:rPr>
        <w:t>une interprétation susceptible de la gêner à un stade ultérieur dans l</w:t>
      </w:r>
      <w:r w:rsidRPr="00640F03" w:rsidR="00640F03">
        <w:rPr>
          <w:iCs/>
          <w:lang w:val="fr-FR"/>
        </w:rPr>
        <w:t>’</w:t>
      </w:r>
      <w:r w:rsidRPr="00640F03" w:rsidR="00FA3C95">
        <w:rPr>
          <w:iCs/>
          <w:lang w:val="fr-FR"/>
        </w:rPr>
        <w:t xml:space="preserve">hypothèse où une demande trouvant son origine dans une procédure interne déboucherait ensuite sur une requête au titre de la Convention. </w:t>
      </w:r>
      <w:r w:rsidRPr="00640F03" w:rsidR="00FA3C95">
        <w:rPr>
          <w:lang w:val="fr-FR"/>
        </w:rPr>
        <w:t>Elle estima qu</w:t>
      </w:r>
      <w:r w:rsidRPr="00640F03" w:rsidR="00640F03">
        <w:rPr>
          <w:lang w:val="fr-FR"/>
        </w:rPr>
        <w:t>’</w:t>
      </w:r>
      <w:r w:rsidRPr="00640F03" w:rsidR="00FA3C95">
        <w:rPr>
          <w:lang w:val="fr-FR"/>
        </w:rPr>
        <w:t>une fonction purement consultative répondant à des questions juridiques d</w:t>
      </w:r>
      <w:r w:rsidRPr="00640F03" w:rsidR="00640F03">
        <w:rPr>
          <w:lang w:val="fr-FR"/>
        </w:rPr>
        <w:t>’</w:t>
      </w:r>
      <w:r w:rsidRPr="00640F03" w:rsidR="00FA3C95">
        <w:rPr>
          <w:lang w:val="fr-FR"/>
        </w:rPr>
        <w:t>interprétation permettrait d</w:t>
      </w:r>
      <w:r w:rsidRPr="00640F03" w:rsidR="00640F03">
        <w:rPr>
          <w:lang w:val="fr-FR"/>
        </w:rPr>
        <w:t>’</w:t>
      </w:r>
      <w:r w:rsidRPr="00640F03" w:rsidR="00FA3C95">
        <w:rPr>
          <w:lang w:val="fr-FR"/>
        </w:rPr>
        <w:t>éviter cet écueil. Cette préoccupation demeure pertinente. La Cour souligne donc qu</w:t>
      </w:r>
      <w:r w:rsidRPr="00640F03" w:rsidR="00640F03">
        <w:rPr>
          <w:lang w:val="fr-FR"/>
        </w:rPr>
        <w:t>’</w:t>
      </w:r>
      <w:r w:rsidRPr="00640F03" w:rsidR="00FA3C95">
        <w:rPr>
          <w:lang w:val="fr-FR"/>
        </w:rPr>
        <w:t>elle doit exercer la compétence consultative que lui attribue la Convention d</w:t>
      </w:r>
      <w:r w:rsidRPr="00640F03" w:rsidR="00640F03">
        <w:rPr>
          <w:lang w:val="fr-FR"/>
        </w:rPr>
        <w:t>’</w:t>
      </w:r>
      <w:r w:rsidRPr="00640F03" w:rsidR="00FA3C95">
        <w:rPr>
          <w:lang w:val="fr-FR"/>
        </w:rPr>
        <w:t>Oviedo de manière à ce qu</w:t>
      </w:r>
      <w:r w:rsidRPr="00640F03" w:rsidR="00640F03">
        <w:rPr>
          <w:lang w:val="fr-FR"/>
        </w:rPr>
        <w:t>’</w:t>
      </w:r>
      <w:r w:rsidRPr="00640F03" w:rsidR="00FA3C95">
        <w:rPr>
          <w:lang w:val="fr-FR"/>
        </w:rPr>
        <w:t>elle puisse s</w:t>
      </w:r>
      <w:r w:rsidRPr="00640F03" w:rsidR="00640F03">
        <w:rPr>
          <w:lang w:val="fr-FR"/>
        </w:rPr>
        <w:t>’</w:t>
      </w:r>
      <w:r w:rsidRPr="00640F03" w:rsidR="00FA3C95">
        <w:rPr>
          <w:lang w:val="fr-FR"/>
        </w:rPr>
        <w:t>harmoniser avec la compétence qui est la sienne au titre de la Convention, en particulier avec sa compétence contentieuse, qui constitue sa fonction prééminente et doit être soigneusement préservée.</w:t>
      </w:r>
    </w:p>
    <w:p w:rsidRPr="00640F03" w:rsidR="009B3E19" w:rsidP="00640F03" w:rsidRDefault="00AA1DCB" w14:paraId="6F288F0F" w14:textId="3EF9D758">
      <w:pPr>
        <w:pStyle w:val="JuPara"/>
        <w:rPr>
          <w:lang w:val="fr-FR"/>
        </w:rPr>
      </w:pPr>
      <w:r w:rsidRPr="00640F03">
        <w:rPr>
          <w:lang w:val="fr-FR"/>
        </w:rPr>
        <w:fldChar w:fldCharType="begin"/>
      </w:r>
      <w:r w:rsidRPr="00640F03">
        <w:rPr>
          <w:lang w:val="fr-FR"/>
        </w:rPr>
        <w:instrText xml:space="preserve"> SEQ level0 \*arabic \* MERGEFORMAT </w:instrText>
      </w:r>
      <w:r w:rsidRPr="00640F03">
        <w:rPr>
          <w:lang w:val="fr-FR"/>
        </w:rPr>
        <w:fldChar w:fldCharType="separate"/>
      </w:r>
      <w:r w:rsidRPr="00640F03" w:rsidR="00640F03">
        <w:rPr>
          <w:noProof/>
          <w:lang w:val="fr-FR"/>
        </w:rPr>
        <w:t>53</w:t>
      </w:r>
      <w:r w:rsidRPr="00640F03">
        <w:rPr>
          <w:lang w:val="fr-FR"/>
        </w:rPr>
        <w:fldChar w:fldCharType="end"/>
      </w:r>
      <w:r w:rsidRPr="00640F03">
        <w:rPr>
          <w:lang w:val="fr-FR"/>
        </w:rPr>
        <w:t>.  </w:t>
      </w:r>
      <w:bookmarkStart w:name="_Hlk78383382" w:id="30"/>
      <w:r w:rsidRPr="00640F03">
        <w:rPr>
          <w:lang w:val="fr-FR"/>
        </w:rPr>
        <w:t xml:space="preserve">La compétence consultative </w:t>
      </w:r>
      <w:r w:rsidRPr="00640F03" w:rsidR="00730B27">
        <w:rPr>
          <w:lang w:val="fr-FR"/>
        </w:rPr>
        <w:t>que la Cour s</w:t>
      </w:r>
      <w:r w:rsidRPr="00640F03" w:rsidR="00640F03">
        <w:rPr>
          <w:lang w:val="fr-FR"/>
        </w:rPr>
        <w:t>’</w:t>
      </w:r>
      <w:r w:rsidRPr="00640F03" w:rsidR="00730B27">
        <w:rPr>
          <w:lang w:val="fr-FR"/>
        </w:rPr>
        <w:t>est ultérieurement vu attribuer</w:t>
      </w:r>
      <w:r w:rsidRPr="00640F03">
        <w:rPr>
          <w:lang w:val="fr-FR"/>
        </w:rPr>
        <w:t xml:space="preserve"> par le Protocole n</w:t>
      </w:r>
      <w:r w:rsidRPr="00640F03">
        <w:rPr>
          <w:vertAlign w:val="superscript"/>
          <w:lang w:val="fr-FR"/>
        </w:rPr>
        <w:t>o</w:t>
      </w:r>
      <w:r w:rsidRPr="00640F03" w:rsidR="00D92A54">
        <w:rPr>
          <w:lang w:val="fr-FR"/>
        </w:rPr>
        <w:t> </w:t>
      </w:r>
      <w:r w:rsidRPr="00640F03">
        <w:rPr>
          <w:lang w:val="fr-FR"/>
        </w:rPr>
        <w:t>16 (paragraphe</w:t>
      </w:r>
      <w:r w:rsidRPr="00640F03" w:rsidR="009D15C5">
        <w:rPr>
          <w:lang w:val="fr-FR"/>
        </w:rPr>
        <w:t> </w:t>
      </w:r>
      <w:r w:rsidRPr="00640F03">
        <w:rPr>
          <w:lang w:val="fr-FR"/>
        </w:rPr>
        <w:fldChar w:fldCharType="begin"/>
      </w:r>
      <w:r w:rsidRPr="00640F03">
        <w:rPr>
          <w:lang w:val="fr-FR"/>
        </w:rPr>
        <w:instrText xml:space="preserve"> REF P36 \h  \* MERGEFORMAT </w:instrText>
      </w:r>
      <w:r w:rsidRPr="00640F03">
        <w:rPr>
          <w:lang w:val="fr-FR"/>
        </w:rPr>
      </w:r>
      <w:r w:rsidRPr="00640F03">
        <w:rPr>
          <w:lang w:val="fr-FR"/>
        </w:rPr>
        <w:fldChar w:fldCharType="separate"/>
      </w:r>
      <w:r w:rsidRPr="00640F03" w:rsidR="00640F03">
        <w:rPr>
          <w:noProof/>
          <w:lang w:val="fr-FR"/>
        </w:rPr>
        <w:t>36</w:t>
      </w:r>
      <w:r w:rsidRPr="00640F03">
        <w:rPr>
          <w:lang w:val="fr-FR"/>
        </w:rPr>
        <w:fldChar w:fldCharType="end"/>
      </w:r>
      <w:r w:rsidRPr="00640F03">
        <w:rPr>
          <w:lang w:val="fr-FR"/>
        </w:rPr>
        <w:t xml:space="preserve"> ci-dessus) doit être clairement distinguée de celle qu</w:t>
      </w:r>
      <w:r w:rsidRPr="00640F03" w:rsidR="004A0AE8">
        <w:rPr>
          <w:lang w:val="fr-FR"/>
        </w:rPr>
        <w:t xml:space="preserve">e lui confère </w:t>
      </w:r>
      <w:r w:rsidRPr="00640F03">
        <w:rPr>
          <w:lang w:val="fr-FR"/>
        </w:rPr>
        <w:t>la Convention d</w:t>
      </w:r>
      <w:r w:rsidRPr="00640F03" w:rsidR="00640F03">
        <w:rPr>
          <w:lang w:val="fr-FR"/>
        </w:rPr>
        <w:t>’</w:t>
      </w:r>
      <w:r w:rsidRPr="00640F03">
        <w:rPr>
          <w:lang w:val="fr-FR"/>
        </w:rPr>
        <w:t xml:space="preserve">Oviedo. Au-delà de la différence </w:t>
      </w:r>
      <w:r w:rsidRPr="00640F03" w:rsidR="00A33393">
        <w:rPr>
          <w:lang w:val="fr-FR"/>
        </w:rPr>
        <w:t xml:space="preserve">de forme </w:t>
      </w:r>
      <w:r w:rsidRPr="00640F03">
        <w:rPr>
          <w:lang w:val="fr-FR"/>
        </w:rPr>
        <w:t>évidente</w:t>
      </w:r>
      <w:r w:rsidRPr="00640F03" w:rsidR="00A33393">
        <w:rPr>
          <w:lang w:val="fr-FR"/>
        </w:rPr>
        <w:t>,</w:t>
      </w:r>
      <w:r w:rsidRPr="00640F03">
        <w:rPr>
          <w:lang w:val="fr-FR"/>
        </w:rPr>
        <w:t xml:space="preserve"> le Protocole n</w:t>
      </w:r>
      <w:r w:rsidRPr="00640F03">
        <w:rPr>
          <w:vertAlign w:val="superscript"/>
          <w:lang w:val="fr-FR"/>
        </w:rPr>
        <w:t>o</w:t>
      </w:r>
      <w:r w:rsidRPr="00640F03" w:rsidR="00880805">
        <w:rPr>
          <w:lang w:val="fr-FR"/>
        </w:rPr>
        <w:t> </w:t>
      </w:r>
      <w:r w:rsidRPr="00640F03">
        <w:rPr>
          <w:lang w:val="fr-FR"/>
        </w:rPr>
        <w:t xml:space="preserve">16 faisant partie de la série de traités internationaux constitutifs du système de la Convention, la procédure introduite par </w:t>
      </w:r>
      <w:r w:rsidRPr="00640F03" w:rsidR="000770D1">
        <w:rPr>
          <w:lang w:val="fr-FR"/>
        </w:rPr>
        <w:t xml:space="preserve">ce </w:t>
      </w:r>
      <w:r w:rsidRPr="00640F03">
        <w:rPr>
          <w:lang w:val="fr-FR"/>
        </w:rPr>
        <w:t>protocole a pour objet d</w:t>
      </w:r>
      <w:r w:rsidRPr="00640F03" w:rsidR="00640F03">
        <w:rPr>
          <w:lang w:val="fr-FR"/>
        </w:rPr>
        <w:t>’</w:t>
      </w:r>
      <w:r w:rsidRPr="00640F03">
        <w:rPr>
          <w:lang w:val="fr-FR"/>
        </w:rPr>
        <w:t xml:space="preserve">améliorer la mise en œuvre de la Convention dans </w:t>
      </w:r>
      <w:r w:rsidRPr="00640F03" w:rsidR="006E1B9D">
        <w:rPr>
          <w:lang w:val="fr-FR"/>
        </w:rPr>
        <w:t>d</w:t>
      </w:r>
      <w:r w:rsidRPr="00640F03">
        <w:rPr>
          <w:lang w:val="fr-FR"/>
        </w:rPr>
        <w:t xml:space="preserve">es affaires </w:t>
      </w:r>
      <w:r w:rsidRPr="00640F03" w:rsidR="006E1B9D">
        <w:rPr>
          <w:lang w:val="fr-FR"/>
        </w:rPr>
        <w:t xml:space="preserve">concrètes </w:t>
      </w:r>
      <w:r w:rsidRPr="00640F03">
        <w:rPr>
          <w:lang w:val="fr-FR"/>
        </w:rPr>
        <w:t xml:space="preserve">pendantes devant les juridictions nationales, </w:t>
      </w:r>
      <w:r w:rsidRPr="00640F03" w:rsidR="006E1B9D">
        <w:rPr>
          <w:lang w:val="fr-FR"/>
        </w:rPr>
        <w:t>en tenant compte des</w:t>
      </w:r>
      <w:r w:rsidRPr="00640F03">
        <w:rPr>
          <w:lang w:val="fr-FR"/>
        </w:rPr>
        <w:t xml:space="preserve"> circonstances </w:t>
      </w:r>
      <w:r w:rsidRPr="00640F03" w:rsidR="00A76242">
        <w:rPr>
          <w:lang w:val="fr-FR"/>
        </w:rPr>
        <w:t xml:space="preserve">factuelles et juridiques propres à ces affaires, </w:t>
      </w:r>
      <w:r w:rsidRPr="00640F03" w:rsidR="006E1B9D">
        <w:rPr>
          <w:lang w:val="fr-FR"/>
        </w:rPr>
        <w:t xml:space="preserve">afin de </w:t>
      </w:r>
      <w:r w:rsidRPr="00640F03" w:rsidR="00A76242">
        <w:rPr>
          <w:lang w:val="fr-FR"/>
        </w:rPr>
        <w:t>renfor</w:t>
      </w:r>
      <w:r w:rsidRPr="00640F03" w:rsidR="006E1B9D">
        <w:rPr>
          <w:lang w:val="fr-FR"/>
        </w:rPr>
        <w:t>cer</w:t>
      </w:r>
      <w:r w:rsidRPr="00640F03" w:rsidR="00A76242">
        <w:rPr>
          <w:lang w:val="fr-FR"/>
        </w:rPr>
        <w:t xml:space="preserve"> la mise en œuvre du principe de subsidiarité désormais expressément énoncé dans le préambule de la Convention. </w:t>
      </w:r>
      <w:r w:rsidRPr="00640F03" w:rsidR="00A33393">
        <w:rPr>
          <w:lang w:val="fr-FR"/>
        </w:rPr>
        <w:t xml:space="preserve">Eu égard à </w:t>
      </w:r>
      <w:r w:rsidRPr="00640F03" w:rsidR="00A76242">
        <w:rPr>
          <w:lang w:val="fr-FR"/>
        </w:rPr>
        <w:t xml:space="preserve">cette différence fondamentale </w:t>
      </w:r>
      <w:r w:rsidRPr="00640F03" w:rsidR="00281A29">
        <w:rPr>
          <w:lang w:val="fr-FR"/>
        </w:rPr>
        <w:t>entre le Protocole n</w:t>
      </w:r>
      <w:r w:rsidRPr="00640F03" w:rsidR="00281A29">
        <w:rPr>
          <w:vertAlign w:val="superscript"/>
          <w:lang w:val="fr-FR"/>
        </w:rPr>
        <w:t>o</w:t>
      </w:r>
      <w:r w:rsidRPr="00640F03" w:rsidR="009D15C5">
        <w:rPr>
          <w:lang w:val="fr-FR"/>
        </w:rPr>
        <w:t> </w:t>
      </w:r>
      <w:r w:rsidRPr="00640F03" w:rsidR="00281A29">
        <w:rPr>
          <w:lang w:val="fr-FR"/>
        </w:rPr>
        <w:t xml:space="preserve">16 et </w:t>
      </w:r>
      <w:r w:rsidRPr="00640F03" w:rsidR="00A33393">
        <w:rPr>
          <w:lang w:val="fr-FR"/>
        </w:rPr>
        <w:t>les deux autres textes</w:t>
      </w:r>
      <w:r w:rsidRPr="00640F03" w:rsidR="00281A29">
        <w:rPr>
          <w:lang w:val="fr-FR"/>
        </w:rPr>
        <w:t xml:space="preserve"> </w:t>
      </w:r>
      <w:r w:rsidRPr="00640F03" w:rsidR="00A33393">
        <w:rPr>
          <w:lang w:val="fr-FR"/>
        </w:rPr>
        <w:t xml:space="preserve">conférant une </w:t>
      </w:r>
      <w:r w:rsidRPr="00640F03" w:rsidR="00A76242">
        <w:rPr>
          <w:lang w:val="fr-FR"/>
        </w:rPr>
        <w:t xml:space="preserve">compétence consultative </w:t>
      </w:r>
      <w:r w:rsidRPr="00640F03" w:rsidR="00A33393">
        <w:rPr>
          <w:lang w:val="fr-FR"/>
        </w:rPr>
        <w:t xml:space="preserve">à </w:t>
      </w:r>
      <w:r w:rsidRPr="00640F03" w:rsidR="00A76242">
        <w:rPr>
          <w:lang w:val="fr-FR"/>
        </w:rPr>
        <w:t>la Cour</w:t>
      </w:r>
      <w:r w:rsidRPr="00640F03" w:rsidR="00A33393">
        <w:rPr>
          <w:lang w:val="fr-FR"/>
        </w:rPr>
        <w:t>, à savoir</w:t>
      </w:r>
      <w:r w:rsidRPr="00640F03" w:rsidR="00533060">
        <w:rPr>
          <w:lang w:val="fr-FR"/>
        </w:rPr>
        <w:t xml:space="preserve"> </w:t>
      </w:r>
      <w:r w:rsidRPr="00640F03" w:rsidR="00A76242">
        <w:rPr>
          <w:lang w:val="fr-FR"/>
        </w:rPr>
        <w:t>l</w:t>
      </w:r>
      <w:r w:rsidRPr="00640F03" w:rsidR="00640F03">
        <w:rPr>
          <w:lang w:val="fr-FR"/>
        </w:rPr>
        <w:t>’</w:t>
      </w:r>
      <w:r w:rsidRPr="00640F03" w:rsidR="00A76242">
        <w:rPr>
          <w:lang w:val="fr-FR"/>
        </w:rPr>
        <w:t>article</w:t>
      </w:r>
      <w:r w:rsidRPr="00640F03" w:rsidR="00880805">
        <w:rPr>
          <w:lang w:val="fr-FR"/>
        </w:rPr>
        <w:t> </w:t>
      </w:r>
      <w:r w:rsidRPr="00640F03" w:rsidR="00A76242">
        <w:rPr>
          <w:lang w:val="fr-FR"/>
        </w:rPr>
        <w:t>47 de la Convention et l</w:t>
      </w:r>
      <w:r w:rsidRPr="00640F03" w:rsidR="00640F03">
        <w:rPr>
          <w:lang w:val="fr-FR"/>
        </w:rPr>
        <w:t>’</w:t>
      </w:r>
      <w:r w:rsidRPr="00640F03" w:rsidR="00A76242">
        <w:rPr>
          <w:lang w:val="fr-FR"/>
        </w:rPr>
        <w:t>article</w:t>
      </w:r>
      <w:r w:rsidRPr="00640F03" w:rsidR="00D92A54">
        <w:rPr>
          <w:lang w:val="fr-FR"/>
        </w:rPr>
        <w:t> </w:t>
      </w:r>
      <w:r w:rsidRPr="00640F03" w:rsidR="00A76242">
        <w:rPr>
          <w:lang w:val="fr-FR"/>
        </w:rPr>
        <w:t>29 de la Convention d</w:t>
      </w:r>
      <w:r w:rsidRPr="00640F03" w:rsidR="00640F03">
        <w:rPr>
          <w:lang w:val="fr-FR"/>
        </w:rPr>
        <w:t>’</w:t>
      </w:r>
      <w:r w:rsidRPr="00640F03" w:rsidR="00A76242">
        <w:rPr>
          <w:lang w:val="fr-FR"/>
        </w:rPr>
        <w:t>Oviedo</w:t>
      </w:r>
      <w:r w:rsidRPr="00640F03" w:rsidR="00A33393">
        <w:rPr>
          <w:lang w:val="fr-FR"/>
        </w:rPr>
        <w:t>,</w:t>
      </w:r>
      <w:r w:rsidRPr="00640F03" w:rsidR="00A76242">
        <w:rPr>
          <w:lang w:val="fr-FR"/>
        </w:rPr>
        <w:t xml:space="preserve"> les limites qui s</w:t>
      </w:r>
      <w:r w:rsidRPr="00640F03" w:rsidR="00640F03">
        <w:rPr>
          <w:lang w:val="fr-FR"/>
        </w:rPr>
        <w:t>’</w:t>
      </w:r>
      <w:r w:rsidRPr="00640F03" w:rsidR="00A76242">
        <w:rPr>
          <w:lang w:val="fr-FR"/>
        </w:rPr>
        <w:t xml:space="preserve">appliquent à la compétence </w:t>
      </w:r>
      <w:r w:rsidRPr="00640F03" w:rsidR="00533060">
        <w:rPr>
          <w:lang w:val="fr-FR"/>
        </w:rPr>
        <w:t>que</w:t>
      </w:r>
      <w:r w:rsidRPr="00640F03" w:rsidR="00A76242">
        <w:rPr>
          <w:lang w:val="fr-FR"/>
        </w:rPr>
        <w:t xml:space="preserve"> cette dernière disposition</w:t>
      </w:r>
      <w:r w:rsidRPr="00640F03" w:rsidR="005E7A4A">
        <w:rPr>
          <w:lang w:val="fr-FR"/>
        </w:rPr>
        <w:t xml:space="preserve"> attribue à la Cour</w:t>
      </w:r>
      <w:r w:rsidRPr="00640F03" w:rsidR="00281A29">
        <w:rPr>
          <w:lang w:val="fr-FR"/>
        </w:rPr>
        <w:t>,</w:t>
      </w:r>
      <w:r w:rsidRPr="00640F03" w:rsidR="00A76242">
        <w:rPr>
          <w:lang w:val="fr-FR"/>
        </w:rPr>
        <w:t xml:space="preserve"> </w:t>
      </w:r>
      <w:r w:rsidRPr="00640F03" w:rsidR="00281A29">
        <w:rPr>
          <w:lang w:val="fr-FR"/>
        </w:rPr>
        <w:t>lesquelles</w:t>
      </w:r>
      <w:r w:rsidRPr="00640F03" w:rsidR="00A76242">
        <w:rPr>
          <w:lang w:val="fr-FR"/>
        </w:rPr>
        <w:t xml:space="preserve"> </w:t>
      </w:r>
      <w:r w:rsidRPr="00640F03" w:rsidR="00A33393">
        <w:rPr>
          <w:lang w:val="fr-FR"/>
        </w:rPr>
        <w:t xml:space="preserve">visent à </w:t>
      </w:r>
      <w:r w:rsidRPr="00640F03" w:rsidR="00A76242">
        <w:rPr>
          <w:lang w:val="fr-FR"/>
        </w:rPr>
        <w:t xml:space="preserve">préserver la fonction judiciaire de </w:t>
      </w:r>
      <w:r w:rsidRPr="00640F03" w:rsidR="005E7A4A">
        <w:rPr>
          <w:lang w:val="fr-FR"/>
        </w:rPr>
        <w:t>la Cour</w:t>
      </w:r>
      <w:r w:rsidRPr="00640F03" w:rsidR="00A76242">
        <w:rPr>
          <w:lang w:val="fr-FR"/>
        </w:rPr>
        <w:t>, ne sauraient s</w:t>
      </w:r>
      <w:r w:rsidRPr="00640F03" w:rsidR="00640F03">
        <w:rPr>
          <w:lang w:val="fr-FR"/>
        </w:rPr>
        <w:t>’</w:t>
      </w:r>
      <w:r w:rsidRPr="00640F03" w:rsidR="00A76242">
        <w:rPr>
          <w:lang w:val="fr-FR"/>
        </w:rPr>
        <w:t xml:space="preserve">appliquer de la même manière à la compétence </w:t>
      </w:r>
      <w:r w:rsidRPr="00640F03" w:rsidR="00A33393">
        <w:rPr>
          <w:lang w:val="fr-FR"/>
        </w:rPr>
        <w:t xml:space="preserve">que </w:t>
      </w:r>
      <w:r w:rsidRPr="00640F03" w:rsidR="00A76242">
        <w:rPr>
          <w:lang w:val="fr-FR"/>
        </w:rPr>
        <w:t>le Protocole n</w:t>
      </w:r>
      <w:r w:rsidRPr="00640F03" w:rsidR="00A76242">
        <w:rPr>
          <w:vertAlign w:val="superscript"/>
          <w:lang w:val="fr-FR"/>
        </w:rPr>
        <w:t>o</w:t>
      </w:r>
      <w:r w:rsidRPr="00640F03" w:rsidR="00880805">
        <w:rPr>
          <w:lang w:val="fr-FR"/>
        </w:rPr>
        <w:t> </w:t>
      </w:r>
      <w:r w:rsidRPr="00640F03" w:rsidR="00A76242">
        <w:rPr>
          <w:lang w:val="fr-FR"/>
        </w:rPr>
        <w:t>16</w:t>
      </w:r>
      <w:r w:rsidRPr="00640F03" w:rsidR="00A33393">
        <w:rPr>
          <w:lang w:val="fr-FR"/>
        </w:rPr>
        <w:t xml:space="preserve"> </w:t>
      </w:r>
      <w:r w:rsidRPr="00640F03" w:rsidR="005E7A4A">
        <w:rPr>
          <w:lang w:val="fr-FR"/>
        </w:rPr>
        <w:t xml:space="preserve">confère </w:t>
      </w:r>
      <w:r w:rsidRPr="00640F03" w:rsidR="00A33393">
        <w:rPr>
          <w:lang w:val="fr-FR"/>
        </w:rPr>
        <w:t>à la Cour</w:t>
      </w:r>
      <w:r w:rsidRPr="00640F03" w:rsidR="00A76242">
        <w:rPr>
          <w:lang w:val="fr-FR"/>
        </w:rPr>
        <w:t>.</w:t>
      </w:r>
      <w:bookmarkEnd w:id="30"/>
    </w:p>
    <w:p w:rsidRPr="00640F03" w:rsidR="009B3E19" w:rsidP="00640F03" w:rsidRDefault="009B3E19" w14:paraId="6EA20D87" w14:textId="49C3A6E1">
      <w:pPr>
        <w:pStyle w:val="JuPara"/>
        <w:rPr>
          <w:iCs/>
          <w:lang w:val="fr-FR"/>
        </w:rPr>
      </w:pPr>
      <w:r w:rsidRPr="00640F03">
        <w:rPr>
          <w:iCs/>
          <w:lang w:val="fr-FR"/>
        </w:rPr>
        <w:fldChar w:fldCharType="begin"/>
      </w:r>
      <w:r w:rsidRPr="00640F03">
        <w:rPr>
          <w:iCs/>
          <w:lang w:val="fr-FR"/>
        </w:rPr>
        <w:instrText xml:space="preserve"> SEQ level0 \*arabic \* MERGEFORMAT </w:instrText>
      </w:r>
      <w:r w:rsidRPr="00640F03">
        <w:rPr>
          <w:iCs/>
          <w:lang w:val="fr-FR"/>
        </w:rPr>
        <w:fldChar w:fldCharType="separate"/>
      </w:r>
      <w:r w:rsidRPr="00640F03" w:rsidR="00640F03">
        <w:rPr>
          <w:iCs/>
          <w:noProof/>
          <w:lang w:val="fr-FR"/>
        </w:rPr>
        <w:t>54</w:t>
      </w:r>
      <w:r w:rsidRPr="00640F03">
        <w:rPr>
          <w:iCs/>
          <w:lang w:val="fr-FR"/>
        </w:rPr>
        <w:fldChar w:fldCharType="end"/>
      </w:r>
      <w:r w:rsidRPr="00640F03">
        <w:rPr>
          <w:iCs/>
          <w:lang w:val="fr-FR"/>
        </w:rPr>
        <w:t>.  </w:t>
      </w:r>
      <w:r w:rsidRPr="00640F03" w:rsidR="00A76242">
        <w:rPr>
          <w:lang w:val="fr-FR"/>
        </w:rPr>
        <w:t>Les dispositions pertinentes de la Convention n</w:t>
      </w:r>
      <w:r w:rsidRPr="00640F03" w:rsidR="00640F03">
        <w:rPr>
          <w:lang w:val="fr-FR"/>
        </w:rPr>
        <w:t>’</w:t>
      </w:r>
      <w:r w:rsidRPr="00640F03" w:rsidR="00A76242">
        <w:rPr>
          <w:lang w:val="fr-FR"/>
        </w:rPr>
        <w:t>excluent donc pas entièrement que la Cour puisse se voir conférer une fonction judiciaire à l</w:t>
      </w:r>
      <w:r w:rsidRPr="00640F03" w:rsidR="00640F03">
        <w:rPr>
          <w:lang w:val="fr-FR"/>
        </w:rPr>
        <w:t>’</w:t>
      </w:r>
      <w:r w:rsidRPr="00640F03" w:rsidR="00A76242">
        <w:rPr>
          <w:lang w:val="fr-FR"/>
        </w:rPr>
        <w:t>égard d</w:t>
      </w:r>
      <w:r w:rsidRPr="00640F03" w:rsidR="00640F03">
        <w:rPr>
          <w:lang w:val="fr-FR"/>
        </w:rPr>
        <w:t>’</w:t>
      </w:r>
      <w:r w:rsidRPr="00640F03" w:rsidR="00A76242">
        <w:rPr>
          <w:lang w:val="fr-FR"/>
        </w:rPr>
        <w:t>autres traités en matière de droits de l</w:t>
      </w:r>
      <w:r w:rsidRPr="00640F03" w:rsidR="00640F03">
        <w:rPr>
          <w:lang w:val="fr-FR"/>
        </w:rPr>
        <w:t>’</w:t>
      </w:r>
      <w:r w:rsidRPr="00640F03" w:rsidR="00A76242">
        <w:rPr>
          <w:lang w:val="fr-FR"/>
        </w:rPr>
        <w:t>homme conclus dans le cadre du Conseil de l</w:t>
      </w:r>
      <w:r w:rsidRPr="00640F03" w:rsidR="00640F03">
        <w:rPr>
          <w:lang w:val="fr-FR"/>
        </w:rPr>
        <w:t>’</w:t>
      </w:r>
      <w:r w:rsidRPr="00640F03" w:rsidR="00A76242">
        <w:rPr>
          <w:lang w:val="fr-FR"/>
        </w:rPr>
        <w:t>Europe. Encore faut-il que l</w:t>
      </w:r>
      <w:r w:rsidRPr="00640F03" w:rsidR="00640F03">
        <w:rPr>
          <w:lang w:val="fr-FR"/>
        </w:rPr>
        <w:t>’</w:t>
      </w:r>
      <w:r w:rsidRPr="00640F03" w:rsidR="00A76242">
        <w:rPr>
          <w:lang w:val="fr-FR"/>
        </w:rPr>
        <w:t>exercice par la Cour de la compétence qu</w:t>
      </w:r>
      <w:r w:rsidRPr="00640F03" w:rsidR="00640F03">
        <w:rPr>
          <w:lang w:val="fr-FR"/>
        </w:rPr>
        <w:t>’</w:t>
      </w:r>
      <w:r w:rsidRPr="00640F03" w:rsidR="00A76242">
        <w:rPr>
          <w:lang w:val="fr-FR"/>
        </w:rPr>
        <w:t>elle tient de son instrument constitutif ne s</w:t>
      </w:r>
      <w:r w:rsidRPr="00640F03" w:rsidR="00640F03">
        <w:rPr>
          <w:lang w:val="fr-FR"/>
        </w:rPr>
        <w:t>’</w:t>
      </w:r>
      <w:r w:rsidRPr="00640F03" w:rsidR="00A76242">
        <w:rPr>
          <w:lang w:val="fr-FR"/>
        </w:rPr>
        <w:t>en trouve pas affecté. Sans qu</w:t>
      </w:r>
      <w:r w:rsidRPr="00640F03" w:rsidR="00640F03">
        <w:rPr>
          <w:lang w:val="fr-FR"/>
        </w:rPr>
        <w:t>’</w:t>
      </w:r>
      <w:r w:rsidRPr="00640F03" w:rsidR="00A76242">
        <w:rPr>
          <w:lang w:val="fr-FR"/>
        </w:rPr>
        <w:t>il soit nécessaire pour elle de prendre une position définitive sur certains des arguments formulés devant elle sur le fondement de la Convention de Vienne, la Cour souligne qu</w:t>
      </w:r>
      <w:r w:rsidRPr="00640F03" w:rsidR="00640F03">
        <w:rPr>
          <w:lang w:val="fr-FR"/>
        </w:rPr>
        <w:t>’</w:t>
      </w:r>
      <w:r w:rsidRPr="00640F03" w:rsidR="00A76242">
        <w:rPr>
          <w:lang w:val="fr-FR"/>
        </w:rPr>
        <w:t>elle ne saurait exercer ses fonctions dans le cadre de la procédure prévue par l</w:t>
      </w:r>
      <w:r w:rsidRPr="00640F03" w:rsidR="00640F03">
        <w:rPr>
          <w:lang w:val="fr-FR"/>
        </w:rPr>
        <w:t>’</w:t>
      </w:r>
      <w:r w:rsidRPr="00640F03" w:rsidR="00A76242">
        <w:rPr>
          <w:lang w:val="fr-FR"/>
        </w:rPr>
        <w:t>article 29 de la Convention d</w:t>
      </w:r>
      <w:r w:rsidRPr="00640F03" w:rsidR="00640F03">
        <w:rPr>
          <w:lang w:val="fr-FR"/>
        </w:rPr>
        <w:t>’</w:t>
      </w:r>
      <w:r w:rsidRPr="00640F03" w:rsidR="00A76242">
        <w:rPr>
          <w:lang w:val="fr-FR"/>
        </w:rPr>
        <w:t>Oviedo d</w:t>
      </w:r>
      <w:r w:rsidRPr="00640F03" w:rsidR="00640F03">
        <w:rPr>
          <w:lang w:val="fr-FR"/>
        </w:rPr>
        <w:t>’</w:t>
      </w:r>
      <w:r w:rsidRPr="00640F03" w:rsidR="00A76242">
        <w:rPr>
          <w:lang w:val="fr-FR"/>
        </w:rPr>
        <w:t>une manière incompatible avec la finalité de l</w:t>
      </w:r>
      <w:r w:rsidRPr="00640F03" w:rsidR="00640F03">
        <w:rPr>
          <w:lang w:val="fr-FR"/>
        </w:rPr>
        <w:t>’</w:t>
      </w:r>
      <w:r w:rsidRPr="00640F03" w:rsidR="00A76242">
        <w:rPr>
          <w:lang w:val="fr-FR"/>
        </w:rPr>
        <w:t>article 47 § 2 de la Convention (que l</w:t>
      </w:r>
      <w:r w:rsidRPr="00640F03" w:rsidR="00640F03">
        <w:rPr>
          <w:lang w:val="fr-FR"/>
        </w:rPr>
        <w:t>’</w:t>
      </w:r>
      <w:r w:rsidRPr="00640F03" w:rsidR="00A76242">
        <w:rPr>
          <w:lang w:val="fr-FR"/>
        </w:rPr>
        <w:t>on retrouve également dans la genèse de l</w:t>
      </w:r>
      <w:r w:rsidRPr="00640F03" w:rsidR="00640F03">
        <w:rPr>
          <w:lang w:val="fr-FR"/>
        </w:rPr>
        <w:t>’</w:t>
      </w:r>
      <w:r w:rsidRPr="00640F03" w:rsidR="00A76242">
        <w:rPr>
          <w:lang w:val="fr-FR"/>
        </w:rPr>
        <w:t>article</w:t>
      </w:r>
      <w:r w:rsidRPr="00640F03" w:rsidR="00E41685">
        <w:rPr>
          <w:lang w:val="fr-FR"/>
        </w:rPr>
        <w:t> </w:t>
      </w:r>
      <w:r w:rsidRPr="00640F03" w:rsidR="00A76242">
        <w:rPr>
          <w:lang w:val="fr-FR"/>
        </w:rPr>
        <w:t>29), qui est de préserver sa fonction judiciaire première de juridiction internationale administrant la justice au titre de la Convention.</w:t>
      </w:r>
    </w:p>
    <w:p w:rsidRPr="00640F03" w:rsidR="00F6518C" w:rsidP="00640F03" w:rsidRDefault="00601F1D" w14:paraId="66DC9B57" w14:textId="1C00F3F5">
      <w:pPr>
        <w:pStyle w:val="JuH1"/>
        <w:rPr>
          <w:rFonts w:eastAsia="MingLiU"/>
          <w:lang w:val="fr-FR"/>
        </w:rPr>
      </w:pPr>
      <w:r w:rsidRPr="00640F03">
        <w:rPr>
          <w:rFonts w:eastAsia="MingLiU"/>
          <w:lang w:val="fr-FR"/>
        </w:rPr>
        <w:t>La compétence de la Cour à l</w:t>
      </w:r>
      <w:r w:rsidRPr="00640F03" w:rsidR="00640F03">
        <w:rPr>
          <w:rFonts w:eastAsia="MingLiU"/>
          <w:lang w:val="fr-FR"/>
        </w:rPr>
        <w:t>’</w:t>
      </w:r>
      <w:r w:rsidRPr="00640F03">
        <w:rPr>
          <w:rFonts w:eastAsia="MingLiU"/>
          <w:lang w:val="fr-FR"/>
        </w:rPr>
        <w:t>égard de la présente demande</w:t>
      </w:r>
    </w:p>
    <w:p w:rsidRPr="00640F03" w:rsidR="00F6518C" w:rsidP="00640F03" w:rsidRDefault="00F6518C" w14:paraId="38403DD6" w14:textId="76EA096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55</w:t>
      </w:r>
      <w:r w:rsidRPr="00640F03">
        <w:rPr>
          <w:lang w:val="fr-FR"/>
        </w:rPr>
        <w:fldChar w:fldCharType="end"/>
      </w:r>
      <w:r w:rsidRPr="00640F03">
        <w:rPr>
          <w:lang w:val="fr-FR"/>
        </w:rPr>
        <w:t>.  </w:t>
      </w:r>
      <w:r w:rsidRPr="00640F03" w:rsidR="00CE4F31">
        <w:rPr>
          <w:lang w:val="fr-FR"/>
        </w:rPr>
        <w:t>Après avoir affirmé, d</w:t>
      </w:r>
      <w:r w:rsidRPr="00640F03" w:rsidR="00640F03">
        <w:rPr>
          <w:lang w:val="fr-FR"/>
        </w:rPr>
        <w:t>’</w:t>
      </w:r>
      <w:r w:rsidRPr="00640F03" w:rsidR="00CE4F31">
        <w:rPr>
          <w:lang w:val="fr-FR"/>
        </w:rPr>
        <w:t>une manière générale, sa compétence consultative au titre de l</w:t>
      </w:r>
      <w:r w:rsidRPr="00640F03" w:rsidR="00640F03">
        <w:rPr>
          <w:lang w:val="fr-FR"/>
        </w:rPr>
        <w:t>’</w:t>
      </w:r>
      <w:r w:rsidRPr="00640F03" w:rsidR="00CE4F31">
        <w:rPr>
          <w:lang w:val="fr-FR"/>
        </w:rPr>
        <w:t>article</w:t>
      </w:r>
      <w:r w:rsidRPr="00640F03" w:rsidR="00E41685">
        <w:rPr>
          <w:lang w:val="fr-FR"/>
        </w:rPr>
        <w:t> </w:t>
      </w:r>
      <w:r w:rsidRPr="00640F03" w:rsidR="00CE4F31">
        <w:rPr>
          <w:lang w:val="fr-FR"/>
        </w:rPr>
        <w:t>29 de la Convention d</w:t>
      </w:r>
      <w:r w:rsidRPr="00640F03" w:rsidR="00640F03">
        <w:rPr>
          <w:lang w:val="fr-FR"/>
        </w:rPr>
        <w:t>’</w:t>
      </w:r>
      <w:r w:rsidRPr="00640F03" w:rsidR="00CE4F31">
        <w:rPr>
          <w:lang w:val="fr-FR"/>
        </w:rPr>
        <w:t>Oviedo et précisé sa nature, son étendue et les limites qui doivent nécessairement s</w:t>
      </w:r>
      <w:r w:rsidRPr="00640F03" w:rsidR="00640F03">
        <w:rPr>
          <w:lang w:val="fr-FR"/>
        </w:rPr>
        <w:t>’</w:t>
      </w:r>
      <w:r w:rsidRPr="00640F03" w:rsidR="00CE4F31">
        <w:rPr>
          <w:lang w:val="fr-FR"/>
        </w:rPr>
        <w:t>y appliquer, la Cour doit maintenant déterminer si elle a compétence pour accepter la demande qui lui est soumise, en examinant l</w:t>
      </w:r>
      <w:r w:rsidRPr="00640F03" w:rsidR="00640F03">
        <w:rPr>
          <w:lang w:val="fr-FR"/>
        </w:rPr>
        <w:t>’</w:t>
      </w:r>
      <w:r w:rsidRPr="00640F03" w:rsidR="00CE4F31">
        <w:rPr>
          <w:lang w:val="fr-FR"/>
        </w:rPr>
        <w:t>une après l</w:t>
      </w:r>
      <w:r w:rsidRPr="00640F03" w:rsidR="00640F03">
        <w:rPr>
          <w:lang w:val="fr-FR"/>
        </w:rPr>
        <w:t>’</w:t>
      </w:r>
      <w:r w:rsidRPr="00640F03" w:rsidR="00CE4F31">
        <w:rPr>
          <w:lang w:val="fr-FR"/>
        </w:rPr>
        <w:t>autre les questions qui lui sont posées.</w:t>
      </w:r>
    </w:p>
    <w:p w:rsidRPr="00640F03" w:rsidR="00F6518C" w:rsidP="00640F03" w:rsidRDefault="00F6518C" w14:paraId="1390FD6E" w14:textId="0863E3B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56</w:t>
      </w:r>
      <w:r w:rsidRPr="00640F03">
        <w:rPr>
          <w:lang w:val="fr-FR"/>
        </w:rPr>
        <w:fldChar w:fldCharType="end"/>
      </w:r>
      <w:r w:rsidRPr="00640F03">
        <w:rPr>
          <w:lang w:val="fr-FR"/>
        </w:rPr>
        <w:t>.  </w:t>
      </w:r>
      <w:r w:rsidRPr="00640F03" w:rsidR="00CE4F31">
        <w:rPr>
          <w:lang w:val="fr-FR"/>
        </w:rPr>
        <w:t>Pour commencer, la Cour observe que la demande a été présentée par le comité – le DH-BIO – désigné au titre de l</w:t>
      </w:r>
      <w:r w:rsidRPr="00640F03" w:rsidR="00640F03">
        <w:rPr>
          <w:lang w:val="fr-FR"/>
        </w:rPr>
        <w:t>’</w:t>
      </w:r>
      <w:r w:rsidRPr="00640F03" w:rsidR="00CE4F31">
        <w:rPr>
          <w:lang w:val="fr-FR"/>
        </w:rPr>
        <w:t>article</w:t>
      </w:r>
      <w:r w:rsidRPr="00640F03" w:rsidR="00FD4F26">
        <w:rPr>
          <w:lang w:val="fr-FR"/>
        </w:rPr>
        <w:t> </w:t>
      </w:r>
      <w:r w:rsidRPr="00640F03" w:rsidR="00CE4F31">
        <w:rPr>
          <w:lang w:val="fr-FR"/>
        </w:rPr>
        <w:t>32 de la Convention d</w:t>
      </w:r>
      <w:r w:rsidRPr="00640F03" w:rsidR="00640F03">
        <w:rPr>
          <w:lang w:val="fr-FR"/>
        </w:rPr>
        <w:t>’</w:t>
      </w:r>
      <w:r w:rsidRPr="00640F03" w:rsidR="00CE4F31">
        <w:rPr>
          <w:lang w:val="fr-FR"/>
        </w:rPr>
        <w:t>Oviedo. Selon les informations fournies, la demande a été adoptée par le DH-BIO dans sa composition restreinte aux représentants des Parties à la Convention d</w:t>
      </w:r>
      <w:r w:rsidRPr="00640F03" w:rsidR="00640F03">
        <w:rPr>
          <w:lang w:val="fr-FR"/>
        </w:rPr>
        <w:t>’</w:t>
      </w:r>
      <w:r w:rsidRPr="00640F03" w:rsidR="00CE4F31">
        <w:rPr>
          <w:lang w:val="fr-FR"/>
        </w:rPr>
        <w:t>Oviedo. En l</w:t>
      </w:r>
      <w:r w:rsidRPr="00640F03" w:rsidR="00640F03">
        <w:rPr>
          <w:lang w:val="fr-FR"/>
        </w:rPr>
        <w:t>’</w:t>
      </w:r>
      <w:r w:rsidRPr="00640F03" w:rsidR="00CE4F31">
        <w:rPr>
          <w:lang w:val="fr-FR"/>
        </w:rPr>
        <w:t>absence de toute mention du nombre de suffrages exprimés pour l</w:t>
      </w:r>
      <w:r w:rsidRPr="00640F03" w:rsidR="00640F03">
        <w:rPr>
          <w:lang w:val="fr-FR"/>
        </w:rPr>
        <w:t>’</w:t>
      </w:r>
      <w:r w:rsidRPr="00640F03" w:rsidR="00CE4F31">
        <w:rPr>
          <w:lang w:val="fr-FR"/>
        </w:rPr>
        <w:t>adoption de la demande, la Cour présume que la majorité requise (les deux tiers des voix exprimées) a été obtenue.</w:t>
      </w:r>
    </w:p>
    <w:p w:rsidRPr="00640F03" w:rsidR="00CE4F31" w:rsidP="00640F03" w:rsidRDefault="00F6518C" w14:paraId="7D66CB35" w14:textId="3F1B7955">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57</w:t>
      </w:r>
      <w:r w:rsidRPr="00640F03">
        <w:rPr>
          <w:lang w:val="fr-FR"/>
        </w:rPr>
        <w:fldChar w:fldCharType="end"/>
      </w:r>
      <w:r w:rsidRPr="00640F03">
        <w:rPr>
          <w:lang w:val="fr-FR"/>
        </w:rPr>
        <w:t>.  </w:t>
      </w:r>
      <w:r w:rsidRPr="00640F03" w:rsidR="00CE4F31">
        <w:rPr>
          <w:lang w:val="fr-FR"/>
        </w:rPr>
        <w:t>Conformément à l</w:t>
      </w:r>
      <w:r w:rsidRPr="00640F03" w:rsidR="00640F03">
        <w:rPr>
          <w:lang w:val="fr-FR"/>
        </w:rPr>
        <w:t>’</w:t>
      </w:r>
      <w:r w:rsidRPr="00640F03" w:rsidR="00CE4F31">
        <w:rPr>
          <w:lang w:val="fr-FR"/>
        </w:rPr>
        <w:t>article</w:t>
      </w:r>
      <w:r w:rsidRPr="00640F03" w:rsidR="00FD4F26">
        <w:rPr>
          <w:lang w:val="fr-FR"/>
        </w:rPr>
        <w:t> </w:t>
      </w:r>
      <w:r w:rsidRPr="00640F03" w:rsidR="00CE4F31">
        <w:rPr>
          <w:lang w:val="fr-FR"/>
        </w:rPr>
        <w:t>29, la demande ne fait aucune référence directe à une quelconque procédure dont une juridiction aurait été saisie.</w:t>
      </w:r>
    </w:p>
    <w:p w:rsidRPr="00640F03" w:rsidR="00F6518C" w:rsidP="00640F03" w:rsidRDefault="00CE4F31" w14:paraId="781CE6A5" w14:textId="4EAA4253">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58</w:t>
      </w:r>
      <w:r w:rsidRPr="00640F03">
        <w:rPr>
          <w:lang w:val="fr-FR"/>
        </w:rPr>
        <w:fldChar w:fldCharType="end"/>
      </w:r>
      <w:r w:rsidRPr="00640F03">
        <w:rPr>
          <w:lang w:val="fr-FR"/>
        </w:rPr>
        <w:t>.  Il reste à déterminer si la demande respecte la nature, l</w:t>
      </w:r>
      <w:r w:rsidRPr="00640F03" w:rsidR="00640F03">
        <w:rPr>
          <w:lang w:val="fr-FR"/>
        </w:rPr>
        <w:t>’</w:t>
      </w:r>
      <w:r w:rsidRPr="00640F03">
        <w:rPr>
          <w:lang w:val="fr-FR"/>
        </w:rPr>
        <w:t>étendue et les limites de la compétence consultative de la Cour. La Cour observe que l</w:t>
      </w:r>
      <w:r w:rsidRPr="00640F03" w:rsidR="00640F03">
        <w:rPr>
          <w:lang w:val="fr-FR"/>
        </w:rPr>
        <w:t>’</w:t>
      </w:r>
      <w:r w:rsidRPr="00640F03">
        <w:rPr>
          <w:lang w:val="fr-FR"/>
        </w:rPr>
        <w:t>article</w:t>
      </w:r>
      <w:r w:rsidRPr="00640F03" w:rsidR="00E41685">
        <w:rPr>
          <w:lang w:val="fr-FR"/>
        </w:rPr>
        <w:t> </w:t>
      </w:r>
      <w:r w:rsidRPr="00640F03">
        <w:rPr>
          <w:lang w:val="fr-FR"/>
        </w:rPr>
        <w:t>29 de la Convention d</w:t>
      </w:r>
      <w:r w:rsidRPr="00640F03" w:rsidR="00640F03">
        <w:rPr>
          <w:lang w:val="fr-FR"/>
        </w:rPr>
        <w:t>’</w:t>
      </w:r>
      <w:r w:rsidRPr="00640F03">
        <w:rPr>
          <w:lang w:val="fr-FR"/>
        </w:rPr>
        <w:t>Oviedo n</w:t>
      </w:r>
      <w:r w:rsidRPr="00640F03" w:rsidR="00640F03">
        <w:rPr>
          <w:lang w:val="fr-FR"/>
        </w:rPr>
        <w:t>’</w:t>
      </w:r>
      <w:r w:rsidRPr="00640F03">
        <w:rPr>
          <w:lang w:val="fr-FR"/>
        </w:rPr>
        <w:t>exige pas que les demandes d</w:t>
      </w:r>
      <w:r w:rsidRPr="00640F03" w:rsidR="00640F03">
        <w:rPr>
          <w:lang w:val="fr-FR"/>
        </w:rPr>
        <w:t>’</w:t>
      </w:r>
      <w:r w:rsidRPr="00640F03">
        <w:rPr>
          <w:lang w:val="fr-FR"/>
        </w:rPr>
        <w:t>avis consultatifs soient assorties de motifs ou d</w:t>
      </w:r>
      <w:r w:rsidRPr="00640F03" w:rsidR="00640F03">
        <w:rPr>
          <w:lang w:val="fr-FR"/>
        </w:rPr>
        <w:t>’</w:t>
      </w:r>
      <w:r w:rsidRPr="00640F03">
        <w:rPr>
          <w:lang w:val="fr-FR"/>
        </w:rPr>
        <w:t>explications. Pour pouvoir se convaincre qu</w:t>
      </w:r>
      <w:r w:rsidRPr="00640F03" w:rsidR="00640F03">
        <w:rPr>
          <w:lang w:val="fr-FR"/>
        </w:rPr>
        <w:t>’</w:t>
      </w:r>
      <w:r w:rsidRPr="00640F03">
        <w:rPr>
          <w:lang w:val="fr-FR"/>
        </w:rPr>
        <w:t>elle a effectivement compétence pour accepter la demande, elle doit toutefois prendre en compte non seulement le libellé de cette demande et l</w:t>
      </w:r>
      <w:r w:rsidRPr="00640F03" w:rsidR="00640F03">
        <w:rPr>
          <w:lang w:val="fr-FR"/>
        </w:rPr>
        <w:t>’</w:t>
      </w:r>
      <w:r w:rsidRPr="00640F03">
        <w:rPr>
          <w:lang w:val="fr-FR"/>
        </w:rPr>
        <w:t>explication qui l</w:t>
      </w:r>
      <w:r w:rsidRPr="00640F03" w:rsidR="00640F03">
        <w:rPr>
          <w:lang w:val="fr-FR"/>
        </w:rPr>
        <w:t>’</w:t>
      </w:r>
      <w:r w:rsidRPr="00640F03">
        <w:rPr>
          <w:lang w:val="fr-FR"/>
        </w:rPr>
        <w:t>accompagne, mais aussi sa genèse et le contexte dans lequel elle s</w:t>
      </w:r>
      <w:r w:rsidRPr="00640F03" w:rsidR="00640F03">
        <w:rPr>
          <w:lang w:val="fr-FR"/>
        </w:rPr>
        <w:t>’</w:t>
      </w:r>
      <w:r w:rsidRPr="00640F03">
        <w:rPr>
          <w:lang w:val="fr-FR"/>
        </w:rPr>
        <w:t>inscrit.</w:t>
      </w:r>
    </w:p>
    <w:p w:rsidRPr="00640F03" w:rsidR="00A840D5" w:rsidP="00640F03" w:rsidRDefault="00F6518C" w14:paraId="6CA552C9" w14:textId="1BC99AE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59</w:t>
      </w:r>
      <w:r w:rsidRPr="00640F03">
        <w:rPr>
          <w:lang w:val="fr-FR"/>
        </w:rPr>
        <w:fldChar w:fldCharType="end"/>
      </w:r>
      <w:r w:rsidRPr="00640F03">
        <w:rPr>
          <w:lang w:val="fr-FR"/>
        </w:rPr>
        <w:t>.  </w:t>
      </w:r>
      <w:r w:rsidRPr="00640F03" w:rsidR="00CE4F31">
        <w:rPr>
          <w:lang w:val="fr-FR"/>
        </w:rPr>
        <w:t>À cet égard, la Cour note le libellé de la première question (« (</w:t>
      </w:r>
      <w:r w:rsidRPr="00640F03" w:rsidR="006E0F85">
        <w:rPr>
          <w:lang w:val="fr-FR"/>
        </w:rPr>
        <w:t>...</w:t>
      </w:r>
      <w:r w:rsidRPr="00640F03" w:rsidR="00CE4F31">
        <w:rPr>
          <w:lang w:val="fr-FR"/>
        </w:rPr>
        <w:t>) quelles sont les « conditions de protection » (</w:t>
      </w:r>
      <w:r w:rsidRPr="00640F03" w:rsidR="006E0F85">
        <w:rPr>
          <w:lang w:val="fr-FR"/>
        </w:rPr>
        <w:t>...</w:t>
      </w:r>
      <w:r w:rsidRPr="00640F03" w:rsidR="00CE4F31">
        <w:rPr>
          <w:lang w:val="fr-FR"/>
        </w:rPr>
        <w:t>) qui doivent être prévues par la loi dans les États membres (</w:t>
      </w:r>
      <w:r w:rsidRPr="00640F03" w:rsidR="006E0F85">
        <w:rPr>
          <w:lang w:val="fr-FR"/>
        </w:rPr>
        <w:t>...</w:t>
      </w:r>
      <w:r w:rsidRPr="00640F03" w:rsidR="00CE4F31">
        <w:rPr>
          <w:lang w:val="fr-FR"/>
        </w:rPr>
        <w:t>) »), ainsi que l</w:t>
      </w:r>
      <w:r w:rsidRPr="00640F03" w:rsidR="00640F03">
        <w:rPr>
          <w:lang w:val="fr-FR"/>
        </w:rPr>
        <w:t>’</w:t>
      </w:r>
      <w:r w:rsidRPr="00640F03" w:rsidR="00CE4F31">
        <w:rPr>
          <w:lang w:val="fr-FR"/>
        </w:rPr>
        <w:t>explication générale du DH</w:t>
      </w:r>
      <w:r w:rsidRPr="00640F03" w:rsidR="00CE4F31">
        <w:rPr>
          <w:lang w:val="fr-FR"/>
        </w:rPr>
        <w:noBreakHyphen/>
        <w:t>BIO selon laquelle il souhaite, par cette question, clarifier « certains aspects de l</w:t>
      </w:r>
      <w:r w:rsidRPr="00640F03" w:rsidR="00640F03">
        <w:rPr>
          <w:lang w:val="fr-FR"/>
        </w:rPr>
        <w:t>’</w:t>
      </w:r>
      <w:r w:rsidRPr="00640F03" w:rsidR="00CE4F31">
        <w:rPr>
          <w:lang w:val="fr-FR"/>
        </w:rPr>
        <w:t>interprétation juridique de l</w:t>
      </w:r>
      <w:r w:rsidRPr="00640F03" w:rsidR="00640F03">
        <w:rPr>
          <w:lang w:val="fr-FR"/>
        </w:rPr>
        <w:t>’</w:t>
      </w:r>
      <w:r w:rsidRPr="00640F03" w:rsidR="00CE4F31">
        <w:rPr>
          <w:lang w:val="fr-FR"/>
        </w:rPr>
        <w:t>article 7 de la Convention d</w:t>
      </w:r>
      <w:r w:rsidRPr="00640F03" w:rsidR="00640F03">
        <w:rPr>
          <w:lang w:val="fr-FR"/>
        </w:rPr>
        <w:t>’</w:t>
      </w:r>
      <w:r w:rsidRPr="00640F03" w:rsidR="00CE4F31">
        <w:rPr>
          <w:lang w:val="fr-FR"/>
        </w:rPr>
        <w:t>Oviedo, dans le but d</w:t>
      </w:r>
      <w:r w:rsidRPr="00640F03" w:rsidR="00640F03">
        <w:rPr>
          <w:lang w:val="fr-FR"/>
        </w:rPr>
        <w:t>’</w:t>
      </w:r>
      <w:r w:rsidRPr="00640F03" w:rsidR="00CE4F31">
        <w:rPr>
          <w:lang w:val="fr-FR"/>
        </w:rPr>
        <w:t>éclairer [s]es actuels et futurs travaux (</w:t>
      </w:r>
      <w:r w:rsidRPr="00640F03" w:rsidR="006E0F85">
        <w:rPr>
          <w:lang w:val="fr-FR"/>
        </w:rPr>
        <w:t>...</w:t>
      </w:r>
      <w:r w:rsidRPr="00640F03" w:rsidR="00CE4F31">
        <w:rPr>
          <w:lang w:val="fr-FR"/>
        </w:rPr>
        <w:t>) en la matière ». Si la demande ne fait pas référence au débat international qui s</w:t>
      </w:r>
      <w:r w:rsidRPr="00640F03" w:rsidR="00640F03">
        <w:rPr>
          <w:lang w:val="fr-FR"/>
        </w:rPr>
        <w:t>’</w:t>
      </w:r>
      <w:r w:rsidRPr="00640F03" w:rsidR="00CE4F31">
        <w:rPr>
          <w:lang w:val="fr-FR"/>
        </w:rPr>
        <w:t>est ouvert relativement au projet de Protocole additionnel relatif à la protection des droits de l</w:t>
      </w:r>
      <w:r w:rsidRPr="00640F03" w:rsidR="00640F03">
        <w:rPr>
          <w:lang w:val="fr-FR"/>
        </w:rPr>
        <w:t>’</w:t>
      </w:r>
      <w:r w:rsidRPr="00640F03" w:rsidR="00CE4F31">
        <w:rPr>
          <w:lang w:val="fr-FR"/>
        </w:rPr>
        <w:t>homme et de la dignité des personnes atteintes de troubles mentaux à l</w:t>
      </w:r>
      <w:r w:rsidRPr="00640F03" w:rsidR="00640F03">
        <w:rPr>
          <w:lang w:val="fr-FR"/>
        </w:rPr>
        <w:t>’</w:t>
      </w:r>
      <w:r w:rsidRPr="00640F03" w:rsidR="00CE4F31">
        <w:rPr>
          <w:lang w:val="fr-FR"/>
        </w:rPr>
        <w:t>égard du placement et du traitement involontaires, il s</w:t>
      </w:r>
      <w:r w:rsidRPr="00640F03" w:rsidR="00640F03">
        <w:rPr>
          <w:lang w:val="fr-FR"/>
        </w:rPr>
        <w:t>’</w:t>
      </w:r>
      <w:r w:rsidRPr="00640F03" w:rsidR="00CE4F31">
        <w:rPr>
          <w:lang w:val="fr-FR"/>
        </w:rPr>
        <w:t>agit d</w:t>
      </w:r>
      <w:r w:rsidRPr="00640F03" w:rsidR="00640F03">
        <w:rPr>
          <w:lang w:val="fr-FR"/>
        </w:rPr>
        <w:t>’</w:t>
      </w:r>
      <w:r w:rsidRPr="00640F03" w:rsidR="00CE4F31">
        <w:rPr>
          <w:lang w:val="fr-FR"/>
        </w:rPr>
        <w:t>une question publique.</w:t>
      </w:r>
    </w:p>
    <w:p w:rsidRPr="00640F03" w:rsidR="000838D1" w:rsidP="00640F03" w:rsidRDefault="006033E0" w14:paraId="01D2F23E" w14:textId="454F4475">
      <w:pPr>
        <w:pStyle w:val="JuHa0"/>
        <w:rPr>
          <w:b w:val="0"/>
          <w:bCs w:val="0"/>
        </w:rPr>
      </w:pPr>
      <w:r w:rsidRPr="00640F03">
        <w:rPr>
          <w:b w:val="0"/>
          <w:bCs w:val="0"/>
        </w:rPr>
        <w:t>Les o</w:t>
      </w:r>
      <w:r w:rsidRPr="00640F03" w:rsidR="00CE4F31">
        <w:rPr>
          <w:b w:val="0"/>
          <w:bCs w:val="0"/>
        </w:rPr>
        <w:t>bservations de</w:t>
      </w:r>
      <w:r w:rsidRPr="00640F03" w:rsidR="00533060">
        <w:rPr>
          <w:b w:val="0"/>
          <w:bCs w:val="0"/>
        </w:rPr>
        <w:t>s</w:t>
      </w:r>
      <w:r w:rsidRPr="00640F03" w:rsidR="00CE4F31">
        <w:rPr>
          <w:b w:val="0"/>
          <w:bCs w:val="0"/>
        </w:rPr>
        <w:t xml:space="preserve"> gouvernements</w:t>
      </w:r>
    </w:p>
    <w:p w:rsidRPr="00640F03" w:rsidR="006033E0" w:rsidP="00640F03" w:rsidRDefault="000838D1" w14:paraId="271C7AAF" w14:textId="783B392C">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60</w:t>
      </w:r>
      <w:r w:rsidRPr="00640F03">
        <w:rPr>
          <w:lang w:val="fr-FR"/>
        </w:rPr>
        <w:fldChar w:fldCharType="end"/>
      </w:r>
      <w:r w:rsidRPr="00640F03">
        <w:rPr>
          <w:lang w:val="fr-FR"/>
        </w:rPr>
        <w:t>.  </w:t>
      </w:r>
      <w:r w:rsidRPr="00640F03" w:rsidR="006033E0">
        <w:rPr>
          <w:lang w:val="fr-FR"/>
        </w:rPr>
        <w:t xml:space="preserve">Comme cela a déjà été exposé ci-dessus (paragraphe </w:t>
      </w:r>
      <w:r w:rsidRPr="00640F03" w:rsidR="006033E0">
        <w:rPr>
          <w:lang w:val="fr-FR"/>
        </w:rPr>
        <w:fldChar w:fldCharType="begin"/>
      </w:r>
      <w:r w:rsidRPr="00640F03" w:rsidR="006033E0">
        <w:rPr>
          <w:lang w:val="fr-FR"/>
        </w:rPr>
        <w:instrText xml:space="preserve"> REF P39 \h </w:instrText>
      </w:r>
      <w:r w:rsidRPr="00640F03" w:rsidR="000C2B9F">
        <w:rPr>
          <w:lang w:val="fr-FR"/>
        </w:rPr>
        <w:instrText xml:space="preserve"> \* MERGEFORMAT </w:instrText>
      </w:r>
      <w:r w:rsidRPr="00640F03" w:rsidR="006033E0">
        <w:rPr>
          <w:lang w:val="fr-FR"/>
        </w:rPr>
      </w:r>
      <w:r w:rsidRPr="00640F03" w:rsidR="006033E0">
        <w:rPr>
          <w:lang w:val="fr-FR"/>
        </w:rPr>
        <w:fldChar w:fldCharType="separate"/>
      </w:r>
      <w:r w:rsidRPr="00640F03" w:rsidR="00640F03">
        <w:rPr>
          <w:noProof/>
          <w:lang w:val="fr-FR"/>
        </w:rPr>
        <w:t>39</w:t>
      </w:r>
      <w:r w:rsidRPr="00640F03" w:rsidR="006033E0">
        <w:rPr>
          <w:lang w:val="fr-FR"/>
        </w:rPr>
        <w:fldChar w:fldCharType="end"/>
      </w:r>
      <w:r w:rsidRPr="00640F03" w:rsidR="006033E0">
        <w:rPr>
          <w:lang w:val="fr-FR"/>
        </w:rPr>
        <w:t>), certains gouvernements arguent que la nature des questions posées les fait relever de l</w:t>
      </w:r>
      <w:r w:rsidRPr="00640F03" w:rsidR="00640F03">
        <w:rPr>
          <w:lang w:val="fr-FR"/>
        </w:rPr>
        <w:t>’</w:t>
      </w:r>
      <w:r w:rsidRPr="00640F03" w:rsidR="006033E0">
        <w:rPr>
          <w:lang w:val="fr-FR"/>
        </w:rPr>
        <w:t>article 47 §</w:t>
      </w:r>
      <w:r w:rsidRPr="00640F03" w:rsidR="00850B29">
        <w:rPr>
          <w:lang w:val="fr-FR"/>
        </w:rPr>
        <w:t> </w:t>
      </w:r>
      <w:r w:rsidRPr="00640F03" w:rsidR="006033E0">
        <w:rPr>
          <w:lang w:val="fr-FR"/>
        </w:rPr>
        <w:t>2 de la Convention et que la Cour n</w:t>
      </w:r>
      <w:r w:rsidRPr="00640F03" w:rsidR="00640F03">
        <w:rPr>
          <w:lang w:val="fr-FR"/>
        </w:rPr>
        <w:t>’</w:t>
      </w:r>
      <w:r w:rsidRPr="00640F03" w:rsidR="00533060">
        <w:rPr>
          <w:lang w:val="fr-FR"/>
        </w:rPr>
        <w:t>est</w:t>
      </w:r>
      <w:r w:rsidRPr="00640F03" w:rsidR="006033E0">
        <w:rPr>
          <w:lang w:val="fr-FR"/>
        </w:rPr>
        <w:t xml:space="preserve"> donc pas compéten</w:t>
      </w:r>
      <w:r w:rsidRPr="00640F03" w:rsidR="00533060">
        <w:rPr>
          <w:lang w:val="fr-FR"/>
        </w:rPr>
        <w:t>t</w:t>
      </w:r>
      <w:r w:rsidRPr="00640F03" w:rsidR="006033E0">
        <w:rPr>
          <w:lang w:val="fr-FR"/>
        </w:rPr>
        <w:t>e pour y répondre. Concernant la première question, certains autres gouvernements formulent différentes suggestions quant aux « conditions de protection » qui devraient être prévues par les États parties à la Convention d</w:t>
      </w:r>
      <w:r w:rsidRPr="00640F03" w:rsidR="00640F03">
        <w:rPr>
          <w:lang w:val="fr-FR"/>
        </w:rPr>
        <w:t>’</w:t>
      </w:r>
      <w:r w:rsidRPr="00640F03" w:rsidR="006033E0">
        <w:rPr>
          <w:lang w:val="fr-FR"/>
        </w:rPr>
        <w:t>Oviedo. Le gouvernement tchèque identifie un certain nombre de principes généraux qui devraient, selon lui, être pris en considération, tels que la nécessité, la proportionnalité, l</w:t>
      </w:r>
      <w:r w:rsidRPr="00640F03" w:rsidR="00640F03">
        <w:rPr>
          <w:lang w:val="fr-FR"/>
        </w:rPr>
        <w:t>’</w:t>
      </w:r>
      <w:r w:rsidRPr="00640F03" w:rsidR="006033E0">
        <w:rPr>
          <w:lang w:val="fr-FR"/>
        </w:rPr>
        <w:t>adoption d</w:t>
      </w:r>
      <w:r w:rsidRPr="00640F03" w:rsidR="00640F03">
        <w:rPr>
          <w:lang w:val="fr-FR"/>
        </w:rPr>
        <w:t>’</w:t>
      </w:r>
      <w:r w:rsidRPr="00640F03" w:rsidR="006033E0">
        <w:rPr>
          <w:lang w:val="fr-FR"/>
        </w:rPr>
        <w:t>une approche individualisée et un recours aux interventions hors consentement uniquement en dernier ressort. Il suggère ensuite une série de garanties, inspirées des textes internationaux pertinents, notamment la Recommandation REC(2004)10 du Comité des Ministres et le projet de Protocole additionnel relatif à la protection des droits de l</w:t>
      </w:r>
      <w:r w:rsidRPr="00640F03" w:rsidR="00640F03">
        <w:rPr>
          <w:lang w:val="fr-FR"/>
        </w:rPr>
        <w:t>’</w:t>
      </w:r>
      <w:r w:rsidRPr="00640F03" w:rsidR="006033E0">
        <w:rPr>
          <w:lang w:val="fr-FR"/>
        </w:rPr>
        <w:t>homme et de la dignité des personnes atteintes de troubles mentaux à l</w:t>
      </w:r>
      <w:r w:rsidRPr="00640F03" w:rsidR="00640F03">
        <w:rPr>
          <w:lang w:val="fr-FR"/>
        </w:rPr>
        <w:t>’</w:t>
      </w:r>
      <w:r w:rsidRPr="00640F03" w:rsidR="006033E0">
        <w:rPr>
          <w:lang w:val="fr-FR"/>
        </w:rPr>
        <w:t xml:space="preserve">égard du placement et du traitement involontaires, qui devraient être prévues en droit interne. Les gouvernements estonien, letton et polonais </w:t>
      </w:r>
      <w:bookmarkStart w:name="_Hlk78383418" w:id="31"/>
      <w:r w:rsidRPr="00640F03" w:rsidR="006033E0">
        <w:rPr>
          <w:lang w:val="fr-FR"/>
        </w:rPr>
        <w:t xml:space="preserve">(ce dernier uniquement </w:t>
      </w:r>
      <w:r w:rsidRPr="00640F03" w:rsidR="009216E0">
        <w:rPr>
          <w:lang w:val="fr-FR"/>
        </w:rPr>
        <w:t xml:space="preserve">pour le cas où </w:t>
      </w:r>
      <w:r w:rsidRPr="00640F03" w:rsidR="006033E0">
        <w:rPr>
          <w:lang w:val="fr-FR"/>
        </w:rPr>
        <w:t xml:space="preserve">la Cour </w:t>
      </w:r>
      <w:r w:rsidRPr="00640F03" w:rsidR="009216E0">
        <w:rPr>
          <w:lang w:val="fr-FR"/>
        </w:rPr>
        <w:t xml:space="preserve">se </w:t>
      </w:r>
      <w:r w:rsidRPr="00640F03" w:rsidR="006033E0">
        <w:rPr>
          <w:lang w:val="fr-FR"/>
        </w:rPr>
        <w:t>reconna</w:t>
      </w:r>
      <w:r w:rsidRPr="00640F03" w:rsidR="009216E0">
        <w:rPr>
          <w:lang w:val="fr-FR"/>
        </w:rPr>
        <w:t>îtrait</w:t>
      </w:r>
      <w:r w:rsidRPr="00640F03" w:rsidR="006033E0">
        <w:rPr>
          <w:lang w:val="fr-FR"/>
        </w:rPr>
        <w:t xml:space="preserve"> </w:t>
      </w:r>
      <w:r w:rsidRPr="00640F03" w:rsidR="009216E0">
        <w:rPr>
          <w:lang w:val="fr-FR"/>
        </w:rPr>
        <w:t xml:space="preserve">une </w:t>
      </w:r>
      <w:r w:rsidRPr="00640F03" w:rsidR="006033E0">
        <w:rPr>
          <w:lang w:val="fr-FR"/>
        </w:rPr>
        <w:t xml:space="preserve">compétence </w:t>
      </w:r>
      <w:r w:rsidRPr="00640F03" w:rsidR="009216E0">
        <w:rPr>
          <w:lang w:val="fr-FR"/>
        </w:rPr>
        <w:t xml:space="preserve">de principe </w:t>
      </w:r>
      <w:r w:rsidRPr="00640F03" w:rsidR="006033E0">
        <w:rPr>
          <w:lang w:val="fr-FR"/>
        </w:rPr>
        <w:t>au titre de l</w:t>
      </w:r>
      <w:r w:rsidRPr="00640F03" w:rsidR="00640F03">
        <w:rPr>
          <w:lang w:val="fr-FR"/>
        </w:rPr>
        <w:t>’</w:t>
      </w:r>
      <w:r w:rsidRPr="00640F03" w:rsidR="006033E0">
        <w:rPr>
          <w:lang w:val="fr-FR"/>
        </w:rPr>
        <w:t>article</w:t>
      </w:r>
      <w:r w:rsidRPr="00640F03" w:rsidR="00850B29">
        <w:rPr>
          <w:lang w:val="fr-FR"/>
        </w:rPr>
        <w:t> </w:t>
      </w:r>
      <w:r w:rsidRPr="00640F03" w:rsidR="006033E0">
        <w:rPr>
          <w:lang w:val="fr-FR"/>
        </w:rPr>
        <w:t>29 de la Convention d</w:t>
      </w:r>
      <w:r w:rsidRPr="00640F03" w:rsidR="00640F03">
        <w:rPr>
          <w:lang w:val="fr-FR"/>
        </w:rPr>
        <w:t>’</w:t>
      </w:r>
      <w:r w:rsidRPr="00640F03" w:rsidR="006033E0">
        <w:rPr>
          <w:lang w:val="fr-FR"/>
        </w:rPr>
        <w:t xml:space="preserve">Oviedo) </w:t>
      </w:r>
      <w:bookmarkEnd w:id="31"/>
      <w:r w:rsidRPr="00640F03" w:rsidR="006033E0">
        <w:rPr>
          <w:lang w:val="fr-FR"/>
        </w:rPr>
        <w:t>considèrent que la réponse de la Cour devrait se référer à sa jurisprudence concernant les dispositions pertinentes de la Convention, en particulier les articles</w:t>
      </w:r>
      <w:r w:rsidRPr="00640F03" w:rsidR="00850B29">
        <w:rPr>
          <w:lang w:val="fr-FR"/>
        </w:rPr>
        <w:t> </w:t>
      </w:r>
      <w:r w:rsidRPr="00640F03" w:rsidR="006033E0">
        <w:rPr>
          <w:lang w:val="fr-FR"/>
        </w:rPr>
        <w:t>3, 5 et</w:t>
      </w:r>
      <w:r w:rsidRPr="00640F03" w:rsidR="00850B29">
        <w:rPr>
          <w:lang w:val="fr-FR"/>
        </w:rPr>
        <w:t> </w:t>
      </w:r>
      <w:r w:rsidRPr="00640F03" w:rsidR="006033E0">
        <w:rPr>
          <w:lang w:val="fr-FR"/>
        </w:rPr>
        <w:t>8, directement applicables selon eux à l</w:t>
      </w:r>
      <w:r w:rsidRPr="00640F03" w:rsidR="00640F03">
        <w:rPr>
          <w:lang w:val="fr-FR"/>
        </w:rPr>
        <w:t>’</w:t>
      </w:r>
      <w:r w:rsidRPr="00640F03" w:rsidR="006033E0">
        <w:rPr>
          <w:lang w:val="fr-FR"/>
        </w:rPr>
        <w:t>objet de la question examinée. Ils déduisent d</w:t>
      </w:r>
      <w:r w:rsidRPr="00640F03" w:rsidR="00640F03">
        <w:rPr>
          <w:lang w:val="fr-FR"/>
        </w:rPr>
        <w:t>’</w:t>
      </w:r>
      <w:r w:rsidRPr="00640F03" w:rsidR="006033E0">
        <w:rPr>
          <w:lang w:val="fr-FR"/>
        </w:rPr>
        <w:t>un certain nombre d</w:t>
      </w:r>
      <w:r w:rsidRPr="00640F03" w:rsidR="00640F03">
        <w:rPr>
          <w:lang w:val="fr-FR"/>
        </w:rPr>
        <w:t>’</w:t>
      </w:r>
      <w:r w:rsidRPr="00640F03" w:rsidR="006033E0">
        <w:rPr>
          <w:lang w:val="fr-FR"/>
        </w:rPr>
        <w:t>arrêts rendus par la Cour une série de conditions de protection. Le gouvernement néerlandais met en avant divers aspects que les législations nationales devraient selon lui contenir, ajoutant que le droit interne devrait également ménager la possibilité d</w:t>
      </w:r>
      <w:r w:rsidRPr="00640F03" w:rsidR="00640F03">
        <w:rPr>
          <w:lang w:val="fr-FR"/>
        </w:rPr>
        <w:t>’</w:t>
      </w:r>
      <w:r w:rsidRPr="00640F03" w:rsidR="006033E0">
        <w:rPr>
          <w:lang w:val="fr-FR"/>
        </w:rPr>
        <w:t>un jugement professionnel dans chaque cas individuel. Le gouvernement portugais observe que l</w:t>
      </w:r>
      <w:r w:rsidRPr="00640F03" w:rsidR="00640F03">
        <w:rPr>
          <w:lang w:val="fr-FR"/>
        </w:rPr>
        <w:t>’</w:t>
      </w:r>
      <w:r w:rsidRPr="00640F03" w:rsidR="006033E0">
        <w:rPr>
          <w:lang w:val="fr-FR"/>
        </w:rPr>
        <w:t>article</w:t>
      </w:r>
      <w:r w:rsidRPr="00640F03" w:rsidR="00850B29">
        <w:rPr>
          <w:lang w:val="fr-FR"/>
        </w:rPr>
        <w:t> </w:t>
      </w:r>
      <w:r w:rsidRPr="00640F03" w:rsidR="006033E0">
        <w:rPr>
          <w:lang w:val="fr-FR"/>
        </w:rPr>
        <w:t>7 de la Convention d</w:t>
      </w:r>
      <w:r w:rsidRPr="00640F03" w:rsidR="00640F03">
        <w:rPr>
          <w:lang w:val="fr-FR"/>
        </w:rPr>
        <w:t>’</w:t>
      </w:r>
      <w:r w:rsidRPr="00640F03" w:rsidR="006033E0">
        <w:rPr>
          <w:lang w:val="fr-FR"/>
        </w:rPr>
        <w:t>Oviedo laisse à chaque Partie le soin de déterminer dans le détail les conditions de protection à appliquer lorsqu</w:t>
      </w:r>
      <w:r w:rsidRPr="00640F03" w:rsidR="00640F03">
        <w:rPr>
          <w:lang w:val="fr-FR"/>
        </w:rPr>
        <w:t>’</w:t>
      </w:r>
      <w:r w:rsidRPr="00640F03" w:rsidR="006033E0">
        <w:rPr>
          <w:lang w:val="fr-FR"/>
        </w:rPr>
        <w:t>une personne est soumise à une intervention sans son consentement. Il soutient que les États jouissent ainsi d</w:t>
      </w:r>
      <w:r w:rsidRPr="00640F03" w:rsidR="00640F03">
        <w:rPr>
          <w:lang w:val="fr-FR"/>
        </w:rPr>
        <w:t>’</w:t>
      </w:r>
      <w:r w:rsidRPr="00640F03" w:rsidR="006033E0">
        <w:rPr>
          <w:lang w:val="fr-FR"/>
        </w:rPr>
        <w:t>une certaine marge d</w:t>
      </w:r>
      <w:r w:rsidRPr="00640F03" w:rsidR="00640F03">
        <w:rPr>
          <w:lang w:val="fr-FR"/>
        </w:rPr>
        <w:t>’</w:t>
      </w:r>
      <w:r w:rsidRPr="00640F03" w:rsidR="006033E0">
        <w:rPr>
          <w:lang w:val="fr-FR"/>
        </w:rPr>
        <w:t>appréciation en la matière, tout en soulignant que les lignes directrices énoncées dans la Recommandation REC(2004)10 du Comité des Ministres revêtent une importance particulière dans ce contexte, notamment les articles 21 à</w:t>
      </w:r>
      <w:r w:rsidRPr="00640F03" w:rsidR="00E41685">
        <w:rPr>
          <w:lang w:val="fr-FR"/>
        </w:rPr>
        <w:t> </w:t>
      </w:r>
      <w:r w:rsidRPr="00640F03" w:rsidR="006033E0">
        <w:rPr>
          <w:lang w:val="fr-FR"/>
        </w:rPr>
        <w:t>25 de cet instrument.</w:t>
      </w:r>
    </w:p>
    <w:p w:rsidRPr="00640F03" w:rsidR="00845654" w:rsidP="00640F03" w:rsidRDefault="006033E0" w14:paraId="6D42E7BE" w14:textId="533DDBAF">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61</w:t>
      </w:r>
      <w:r w:rsidRPr="00640F03">
        <w:rPr>
          <w:lang w:val="fr-FR"/>
        </w:rPr>
        <w:fldChar w:fldCharType="end"/>
      </w:r>
      <w:r w:rsidRPr="00640F03">
        <w:rPr>
          <w:lang w:val="fr-FR"/>
        </w:rPr>
        <w:t>.  Concernant la deuxième question, la plupart des gouvernements intervenants indiquent que leur droit interne prévoit la possibilité de soumettre les personnes souffrant d</w:t>
      </w:r>
      <w:r w:rsidRPr="00640F03" w:rsidR="00640F03">
        <w:rPr>
          <w:lang w:val="fr-FR"/>
        </w:rPr>
        <w:t>’</w:t>
      </w:r>
      <w:r w:rsidRPr="00640F03">
        <w:rPr>
          <w:lang w:val="fr-FR"/>
        </w:rPr>
        <w:t>un trouble mental à des interventions sans leur consentement lorsque pareilles interventions sont nécessaires pour prémunir autrui</w:t>
      </w:r>
      <w:r w:rsidRPr="00640F03">
        <w:rPr>
          <w:i/>
          <w:iCs/>
          <w:lang w:val="fr-FR"/>
        </w:rPr>
        <w:t xml:space="preserve"> </w:t>
      </w:r>
      <w:r w:rsidRPr="00640F03">
        <w:rPr>
          <w:lang w:val="fr-FR"/>
        </w:rPr>
        <w:t>d</w:t>
      </w:r>
      <w:r w:rsidRPr="00640F03" w:rsidR="00640F03">
        <w:rPr>
          <w:lang w:val="fr-FR"/>
        </w:rPr>
        <w:t>’</w:t>
      </w:r>
      <w:r w:rsidRPr="00640F03">
        <w:rPr>
          <w:lang w:val="fr-FR"/>
        </w:rPr>
        <w:t>un préjudice grave. Ils précisent que les interventions en question sont généralement régies par les mêmes dispositions et soumises aux mêmes conditions de protection que les interventions ayant pour but de protéger les personnes concernées du risque qu</w:t>
      </w:r>
      <w:r w:rsidRPr="00640F03" w:rsidR="00640F03">
        <w:rPr>
          <w:lang w:val="fr-FR"/>
        </w:rPr>
        <w:t>’</w:t>
      </w:r>
      <w:r w:rsidRPr="00640F03">
        <w:rPr>
          <w:lang w:val="fr-FR"/>
        </w:rPr>
        <w:t>elles présentent pour elles</w:t>
      </w:r>
      <w:r w:rsidRPr="00640F03">
        <w:rPr>
          <w:lang w:val="fr-FR"/>
        </w:rPr>
        <w:noBreakHyphen/>
        <w:t>mêmes. Ils soutiennent qu</w:t>
      </w:r>
      <w:r w:rsidRPr="00640F03" w:rsidR="00640F03">
        <w:rPr>
          <w:lang w:val="fr-FR"/>
        </w:rPr>
        <w:t>’</w:t>
      </w:r>
      <w:r w:rsidRPr="00640F03">
        <w:rPr>
          <w:lang w:val="fr-FR"/>
        </w:rPr>
        <w:t>il serait difficile de chercher à distinguer entre ces deux motifs pouvant justifier une intervention hors consentement, étant donné que de nombreuses pathologies représentent un risque tant pour la personne concernée que pour les tiers. Le gouvernement néerlandais observe que lorsque le but est la protection d</w:t>
      </w:r>
      <w:r w:rsidRPr="00640F03" w:rsidR="00640F03">
        <w:rPr>
          <w:lang w:val="fr-FR"/>
        </w:rPr>
        <w:t>’</w:t>
      </w:r>
      <w:r w:rsidRPr="00640F03">
        <w:rPr>
          <w:lang w:val="fr-FR"/>
        </w:rPr>
        <w:t>autrui, des conditions supplémentaires peuvent être requises. Il cite l</w:t>
      </w:r>
      <w:r w:rsidRPr="00640F03" w:rsidR="00640F03">
        <w:rPr>
          <w:lang w:val="fr-FR"/>
        </w:rPr>
        <w:t>’</w:t>
      </w:r>
      <w:r w:rsidRPr="00640F03">
        <w:rPr>
          <w:lang w:val="fr-FR"/>
        </w:rPr>
        <w:t>exemple de l</w:t>
      </w:r>
      <w:r w:rsidRPr="00640F03" w:rsidR="00640F03">
        <w:rPr>
          <w:lang w:val="fr-FR"/>
        </w:rPr>
        <w:t>’</w:t>
      </w:r>
      <w:r w:rsidRPr="00640F03">
        <w:rPr>
          <w:lang w:val="fr-FR"/>
        </w:rPr>
        <w:t>obligation pour le personnel médical de consulter les autorités locales compétentes et le parquet avant de mettre un terme à un traitement hors consentement ordonné pour ce motif. Le gouvernement suisse précise qu</w:t>
      </w:r>
      <w:r w:rsidRPr="00640F03" w:rsidR="00640F03">
        <w:rPr>
          <w:lang w:val="fr-FR"/>
        </w:rPr>
        <w:t>’</w:t>
      </w:r>
      <w:r w:rsidRPr="00640F03">
        <w:rPr>
          <w:lang w:val="fr-FR"/>
        </w:rPr>
        <w:t>en vertu de son droit interne, la protection des tiers est un élément à prendre en compte lors de l</w:t>
      </w:r>
      <w:r w:rsidRPr="00640F03" w:rsidR="00640F03">
        <w:rPr>
          <w:lang w:val="fr-FR"/>
        </w:rPr>
        <w:t>’</w:t>
      </w:r>
      <w:r w:rsidRPr="00640F03">
        <w:rPr>
          <w:lang w:val="fr-FR"/>
        </w:rPr>
        <w:t>évaluation de la mise en œuvre d</w:t>
      </w:r>
      <w:r w:rsidRPr="00640F03" w:rsidR="00640F03">
        <w:rPr>
          <w:lang w:val="fr-FR"/>
        </w:rPr>
        <w:t>’</w:t>
      </w:r>
      <w:r w:rsidRPr="00640F03">
        <w:rPr>
          <w:lang w:val="fr-FR"/>
        </w:rPr>
        <w:t>un traitement hors consentement, mais il ajoute qu</w:t>
      </w:r>
      <w:r w:rsidRPr="00640F03" w:rsidR="00640F03">
        <w:rPr>
          <w:lang w:val="fr-FR"/>
        </w:rPr>
        <w:t>’</w:t>
      </w:r>
      <w:r w:rsidRPr="00640F03">
        <w:rPr>
          <w:lang w:val="fr-FR"/>
        </w:rPr>
        <w:t>il ne s</w:t>
      </w:r>
      <w:r w:rsidRPr="00640F03" w:rsidR="00640F03">
        <w:rPr>
          <w:lang w:val="fr-FR"/>
        </w:rPr>
        <w:t>’</w:t>
      </w:r>
      <w:r w:rsidRPr="00640F03">
        <w:rPr>
          <w:lang w:val="fr-FR"/>
        </w:rPr>
        <w:t>agit pas en soi d</w:t>
      </w:r>
      <w:r w:rsidRPr="00640F03" w:rsidR="00640F03">
        <w:rPr>
          <w:lang w:val="fr-FR"/>
        </w:rPr>
        <w:t>’</w:t>
      </w:r>
      <w:r w:rsidRPr="00640F03">
        <w:rPr>
          <w:lang w:val="fr-FR"/>
        </w:rPr>
        <w:t>un élément déterminant. Plusieurs gouvernements sont d</w:t>
      </w:r>
      <w:r w:rsidRPr="00640F03" w:rsidR="00640F03">
        <w:rPr>
          <w:lang w:val="fr-FR"/>
        </w:rPr>
        <w:t>’</w:t>
      </w:r>
      <w:r w:rsidRPr="00640F03">
        <w:rPr>
          <w:lang w:val="fr-FR"/>
        </w:rPr>
        <w:t>avis que l</w:t>
      </w:r>
      <w:r w:rsidRPr="00640F03" w:rsidR="00640F03">
        <w:rPr>
          <w:lang w:val="fr-FR"/>
        </w:rPr>
        <w:t>’</w:t>
      </w:r>
      <w:r w:rsidRPr="00640F03">
        <w:rPr>
          <w:lang w:val="fr-FR"/>
        </w:rPr>
        <w:t>article</w:t>
      </w:r>
      <w:r w:rsidRPr="00640F03" w:rsidR="00E41685">
        <w:rPr>
          <w:lang w:val="fr-FR"/>
        </w:rPr>
        <w:t> </w:t>
      </w:r>
      <w:r w:rsidRPr="00640F03">
        <w:rPr>
          <w:lang w:val="fr-FR"/>
        </w:rPr>
        <w:t>26 de la Convention d</w:t>
      </w:r>
      <w:r w:rsidRPr="00640F03" w:rsidR="00640F03">
        <w:rPr>
          <w:lang w:val="fr-FR"/>
        </w:rPr>
        <w:t>’</w:t>
      </w:r>
      <w:r w:rsidRPr="00640F03">
        <w:rPr>
          <w:lang w:val="fr-FR"/>
        </w:rPr>
        <w:t>Oviedo autorise de telles interventions et que les « conditions de protection » mentionnées à l</w:t>
      </w:r>
      <w:r w:rsidRPr="00640F03" w:rsidR="00640F03">
        <w:rPr>
          <w:lang w:val="fr-FR"/>
        </w:rPr>
        <w:t>’</w:t>
      </w:r>
      <w:r w:rsidRPr="00640F03">
        <w:rPr>
          <w:lang w:val="fr-FR"/>
        </w:rPr>
        <w:t>article</w:t>
      </w:r>
      <w:r w:rsidRPr="00640F03" w:rsidR="00E41685">
        <w:rPr>
          <w:lang w:val="fr-FR"/>
        </w:rPr>
        <w:t> </w:t>
      </w:r>
      <w:r w:rsidRPr="00640F03">
        <w:rPr>
          <w:lang w:val="fr-FR"/>
        </w:rPr>
        <w:t>7 devraient également s</w:t>
      </w:r>
      <w:r w:rsidRPr="00640F03" w:rsidR="00640F03">
        <w:rPr>
          <w:lang w:val="fr-FR"/>
        </w:rPr>
        <w:t>’</w:t>
      </w:r>
      <w:r w:rsidRPr="00640F03">
        <w:rPr>
          <w:lang w:val="fr-FR"/>
        </w:rPr>
        <w:t>appliquer dans ces circonstances. Ils soutiennent que rien ne permet de considérer que l</w:t>
      </w:r>
      <w:r w:rsidRPr="00640F03" w:rsidR="00640F03">
        <w:rPr>
          <w:lang w:val="fr-FR"/>
        </w:rPr>
        <w:t>’</w:t>
      </w:r>
      <w:r w:rsidRPr="00640F03">
        <w:rPr>
          <w:lang w:val="fr-FR"/>
        </w:rPr>
        <w:t>article</w:t>
      </w:r>
      <w:r w:rsidRPr="00640F03" w:rsidR="001F1370">
        <w:rPr>
          <w:lang w:val="fr-FR"/>
        </w:rPr>
        <w:t> </w:t>
      </w:r>
      <w:r w:rsidRPr="00640F03">
        <w:rPr>
          <w:lang w:val="fr-FR"/>
        </w:rPr>
        <w:t>26 envisage des normes ou garanties différentes. Le gouvernement portugais expose que le fait que les deux motifs pouvant justifier une intervention sont régis par des dispositions différentes correspond à une technique législative bien connue, la disposition la plus large couvrant d</w:t>
      </w:r>
      <w:r w:rsidRPr="00640F03" w:rsidR="00640F03">
        <w:rPr>
          <w:lang w:val="fr-FR"/>
        </w:rPr>
        <w:t>’</w:t>
      </w:r>
      <w:r w:rsidRPr="00640F03">
        <w:rPr>
          <w:lang w:val="fr-FR"/>
        </w:rPr>
        <w:t>autres situations, non spécifiées, justifiant l</w:t>
      </w:r>
      <w:r w:rsidRPr="00640F03" w:rsidR="00640F03">
        <w:rPr>
          <w:lang w:val="fr-FR"/>
        </w:rPr>
        <w:t>’</w:t>
      </w:r>
      <w:r w:rsidRPr="00640F03">
        <w:rPr>
          <w:lang w:val="fr-FR"/>
        </w:rPr>
        <w:t>adoption de mesures identiques. Il ajoute que ces deux dispositions devraient être interprétées de manière concertée.</w:t>
      </w:r>
    </w:p>
    <w:p w:rsidRPr="00640F03" w:rsidR="002254F8" w:rsidP="00640F03" w:rsidRDefault="001F1370" w14:paraId="1042347F" w14:textId="2D6879CE">
      <w:pPr>
        <w:pStyle w:val="JuHa0"/>
        <w:rPr>
          <w:b w:val="0"/>
          <w:bCs w:val="0"/>
        </w:rPr>
      </w:pPr>
      <w:r w:rsidRPr="00640F03">
        <w:rPr>
          <w:b w:val="0"/>
          <w:bCs w:val="0"/>
        </w:rPr>
        <w:t>Les observations des organisations intervenantes</w:t>
      </w:r>
    </w:p>
    <w:p w:rsidRPr="00640F03" w:rsidR="001F1370" w:rsidP="00640F03" w:rsidRDefault="002254F8" w14:paraId="3CBB1F62" w14:textId="5D9613FD">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62</w:t>
      </w:r>
      <w:r w:rsidRPr="00640F03">
        <w:rPr>
          <w:lang w:val="fr-FR"/>
        </w:rPr>
        <w:fldChar w:fldCharType="end"/>
      </w:r>
      <w:r w:rsidRPr="00640F03">
        <w:rPr>
          <w:lang w:val="fr-FR"/>
        </w:rPr>
        <w:t>.  </w:t>
      </w:r>
      <w:r w:rsidRPr="00640F03" w:rsidR="001F1370">
        <w:rPr>
          <w:lang w:val="fr-FR"/>
        </w:rPr>
        <w:t>La thèse commune aux trois interventions reçues consiste à dire que les articles</w:t>
      </w:r>
      <w:r w:rsidRPr="00640F03" w:rsidR="00E41685">
        <w:rPr>
          <w:lang w:val="fr-FR"/>
        </w:rPr>
        <w:t> </w:t>
      </w:r>
      <w:r w:rsidRPr="00640F03" w:rsidR="001F1370">
        <w:rPr>
          <w:lang w:val="fr-FR"/>
        </w:rPr>
        <w:t>7 et</w:t>
      </w:r>
      <w:r w:rsidRPr="00640F03" w:rsidR="00E41685">
        <w:rPr>
          <w:lang w:val="fr-FR"/>
        </w:rPr>
        <w:t> </w:t>
      </w:r>
      <w:r w:rsidRPr="00640F03" w:rsidR="001F1370">
        <w:rPr>
          <w:lang w:val="fr-FR"/>
        </w:rPr>
        <w:t>26 de la Convention d</w:t>
      </w:r>
      <w:r w:rsidRPr="00640F03" w:rsidR="00640F03">
        <w:rPr>
          <w:lang w:val="fr-FR"/>
        </w:rPr>
        <w:t>’</w:t>
      </w:r>
      <w:r w:rsidRPr="00640F03" w:rsidR="001F1370">
        <w:rPr>
          <w:lang w:val="fr-FR"/>
        </w:rPr>
        <w:t>Oviedo ne sont pas compatibles avec les normes aujourd</w:t>
      </w:r>
      <w:r w:rsidRPr="00640F03" w:rsidR="00640F03">
        <w:rPr>
          <w:lang w:val="fr-FR"/>
        </w:rPr>
        <w:t>’</w:t>
      </w:r>
      <w:r w:rsidRPr="00640F03" w:rsidR="001F1370">
        <w:rPr>
          <w:lang w:val="fr-FR"/>
        </w:rPr>
        <w:t>hui applicables telles qu</w:t>
      </w:r>
      <w:r w:rsidRPr="00640F03" w:rsidR="00640F03">
        <w:rPr>
          <w:lang w:val="fr-FR"/>
        </w:rPr>
        <w:t>’</w:t>
      </w:r>
      <w:r w:rsidRPr="00640F03" w:rsidR="001F1370">
        <w:rPr>
          <w:lang w:val="fr-FR"/>
        </w:rPr>
        <w:t>établies par la Convention des Nations unies relative aux droits des personnes handicapées (CNUDPH). Les organisations intervenantes soutiennent que la notion même d</w:t>
      </w:r>
      <w:r w:rsidRPr="00640F03" w:rsidR="00640F03">
        <w:rPr>
          <w:lang w:val="fr-FR"/>
        </w:rPr>
        <w:t>’</w:t>
      </w:r>
      <w:r w:rsidRPr="00640F03" w:rsidR="001F1370">
        <w:rPr>
          <w:lang w:val="fr-FR"/>
        </w:rPr>
        <w:t>imposition d</w:t>
      </w:r>
      <w:r w:rsidRPr="00640F03" w:rsidR="00640F03">
        <w:rPr>
          <w:lang w:val="fr-FR"/>
        </w:rPr>
        <w:t>’</w:t>
      </w:r>
      <w:r w:rsidRPr="00640F03" w:rsidR="001F1370">
        <w:rPr>
          <w:lang w:val="fr-FR"/>
        </w:rPr>
        <w:t xml:space="preserve">un traitement sans consentement est contraire à la CNUDPH, qui a modifié le paradigme de la protection des droits des personnes souffrant de maladies psychiques ou de handicaps psychosociaux. Selon elles, le </w:t>
      </w:r>
      <w:r w:rsidRPr="00640F03" w:rsidR="001F1370">
        <w:rPr>
          <w:bCs/>
          <w:lang w:val="fr-FR"/>
        </w:rPr>
        <w:t>Comité des droits des personnes handicapées des Nations unies a établi qu</w:t>
      </w:r>
      <w:r w:rsidRPr="00640F03" w:rsidR="00640F03">
        <w:rPr>
          <w:bCs/>
          <w:lang w:val="fr-FR"/>
        </w:rPr>
        <w:t>’</w:t>
      </w:r>
      <w:r w:rsidRPr="00640F03" w:rsidR="001F1370">
        <w:rPr>
          <w:bCs/>
          <w:lang w:val="fr-FR"/>
        </w:rPr>
        <w:t>une telle pratique est contraire aux principes de dignité, de non-discrimination, de liberté et de sécurité de la personne, et qu</w:t>
      </w:r>
      <w:r w:rsidRPr="00640F03" w:rsidR="00640F03">
        <w:rPr>
          <w:bCs/>
          <w:lang w:val="fr-FR"/>
        </w:rPr>
        <w:t>’</w:t>
      </w:r>
      <w:r w:rsidRPr="00640F03" w:rsidR="001F1370">
        <w:rPr>
          <w:bCs/>
          <w:lang w:val="fr-FR"/>
        </w:rPr>
        <w:t xml:space="preserve">elle porte atteinte à plusieurs dispositions de la </w:t>
      </w:r>
      <w:r w:rsidRPr="00640F03" w:rsidR="001F1370">
        <w:rPr>
          <w:lang w:val="fr-FR"/>
        </w:rPr>
        <w:t>CNUDPH, notamment à son article</w:t>
      </w:r>
      <w:r w:rsidRPr="00640F03" w:rsidR="00E41685">
        <w:rPr>
          <w:lang w:val="fr-FR"/>
        </w:rPr>
        <w:t> </w:t>
      </w:r>
      <w:r w:rsidRPr="00640F03" w:rsidR="001F1370">
        <w:rPr>
          <w:lang w:val="fr-FR"/>
        </w:rPr>
        <w:t>14. Ce comité n</w:t>
      </w:r>
      <w:r w:rsidRPr="00640F03" w:rsidR="00640F03">
        <w:rPr>
          <w:lang w:val="fr-FR"/>
        </w:rPr>
        <w:t>’</w:t>
      </w:r>
      <w:r w:rsidRPr="00640F03" w:rsidR="001F1370">
        <w:rPr>
          <w:lang w:val="fr-FR"/>
        </w:rPr>
        <w:t>aurait eu de cesse d</w:t>
      </w:r>
      <w:r w:rsidRPr="00640F03" w:rsidR="00640F03">
        <w:rPr>
          <w:lang w:val="fr-FR"/>
        </w:rPr>
        <w:t>’</w:t>
      </w:r>
      <w:r w:rsidRPr="00640F03" w:rsidR="001F1370">
        <w:rPr>
          <w:lang w:val="fr-FR"/>
        </w:rPr>
        <w:t>exhorter les États à cesser de telles pratiques et à abroger les lois les autorisant. Cette position serait largement admise dans l</w:t>
      </w:r>
      <w:r w:rsidRPr="00640F03" w:rsidR="00640F03">
        <w:rPr>
          <w:lang w:val="fr-FR"/>
        </w:rPr>
        <w:t>’</w:t>
      </w:r>
      <w:r w:rsidRPr="00640F03" w:rsidR="001F1370">
        <w:rPr>
          <w:lang w:val="fr-FR"/>
        </w:rPr>
        <w:t>ensemble du système des droits de l</w:t>
      </w:r>
      <w:r w:rsidRPr="00640F03" w:rsidR="00640F03">
        <w:rPr>
          <w:lang w:val="fr-FR"/>
        </w:rPr>
        <w:t>’</w:t>
      </w:r>
      <w:r w:rsidRPr="00640F03" w:rsidR="001F1370">
        <w:rPr>
          <w:lang w:val="fr-FR"/>
        </w:rPr>
        <w:t>homme des Nations unies ainsi que par l</w:t>
      </w:r>
      <w:r w:rsidRPr="00640F03" w:rsidR="00640F03">
        <w:rPr>
          <w:lang w:val="fr-FR"/>
        </w:rPr>
        <w:t>’</w:t>
      </w:r>
      <w:r w:rsidRPr="00640F03" w:rsidR="001F1370">
        <w:rPr>
          <w:lang w:val="fr-FR"/>
        </w:rPr>
        <w:t>Organisation mondiale de la santé, qui aurait modifié ses politiques en la matière afin d</w:t>
      </w:r>
      <w:r w:rsidRPr="00640F03" w:rsidR="00640F03">
        <w:rPr>
          <w:lang w:val="fr-FR"/>
        </w:rPr>
        <w:t>’</w:t>
      </w:r>
      <w:r w:rsidRPr="00640F03" w:rsidR="001F1370">
        <w:rPr>
          <w:lang w:val="fr-FR"/>
        </w:rPr>
        <w:t>en tenir compte. Les organisations intervenantes soulignent que tous les États parties à la Convention d</w:t>
      </w:r>
      <w:r w:rsidRPr="00640F03" w:rsidR="00640F03">
        <w:rPr>
          <w:lang w:val="fr-FR"/>
        </w:rPr>
        <w:t>’</w:t>
      </w:r>
      <w:r w:rsidRPr="00640F03" w:rsidR="001F1370">
        <w:rPr>
          <w:lang w:val="fr-FR"/>
        </w:rPr>
        <w:t>Oviedo ont ratifié la CNUDPH, comme l</w:t>
      </w:r>
      <w:r w:rsidRPr="00640F03" w:rsidR="00640F03">
        <w:rPr>
          <w:lang w:val="fr-FR"/>
        </w:rPr>
        <w:t>’</w:t>
      </w:r>
      <w:r w:rsidRPr="00640F03" w:rsidR="001F1370">
        <w:rPr>
          <w:lang w:val="fr-FR"/>
        </w:rPr>
        <w:t>ont fait quarante-six des quarante-sept États parties à la Convention</w:t>
      </w:r>
      <w:r w:rsidRPr="00640F03" w:rsidR="00AE349B">
        <w:rPr>
          <w:lang w:val="fr-FR"/>
        </w:rPr>
        <w:t xml:space="preserve"> européenne</w:t>
      </w:r>
      <w:r w:rsidRPr="00640F03" w:rsidR="001F1370">
        <w:rPr>
          <w:lang w:val="fr-FR"/>
        </w:rPr>
        <w:t>.</w:t>
      </w:r>
    </w:p>
    <w:p w:rsidRPr="00640F03" w:rsidR="002254F8" w:rsidP="00640F03" w:rsidRDefault="001F1370" w14:paraId="54AC39BF" w14:textId="2E8FDA0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63</w:t>
      </w:r>
      <w:r w:rsidRPr="00640F03">
        <w:rPr>
          <w:lang w:val="fr-FR"/>
        </w:rPr>
        <w:fldChar w:fldCharType="end"/>
      </w:r>
      <w:r w:rsidRPr="00640F03">
        <w:rPr>
          <w:lang w:val="fr-FR"/>
        </w:rPr>
        <w:t>.  Elles font plusieurs observations sur la manière dont la Cour devrait, selon elles, répondre à la demande du DH-BIO. Elles soutiennent que l</w:t>
      </w:r>
      <w:r w:rsidRPr="00640F03" w:rsidR="00640F03">
        <w:rPr>
          <w:lang w:val="fr-FR"/>
        </w:rPr>
        <w:t>’</w:t>
      </w:r>
      <w:r w:rsidRPr="00640F03">
        <w:rPr>
          <w:lang w:val="fr-FR"/>
        </w:rPr>
        <w:t xml:space="preserve">article 53 de la Convention </w:t>
      </w:r>
      <w:r w:rsidRPr="00640F03" w:rsidR="00AE349B">
        <w:rPr>
          <w:lang w:val="fr-FR"/>
        </w:rPr>
        <w:t xml:space="preserve">européenne </w:t>
      </w:r>
      <w:r w:rsidRPr="00640F03">
        <w:rPr>
          <w:lang w:val="fr-FR"/>
        </w:rPr>
        <w:t>est applicable et que cette disposition garantit que la Convention ne puisse servir à abaisser le niveau de protection des droits de l</w:t>
      </w:r>
      <w:r w:rsidRPr="00640F03" w:rsidR="00640F03">
        <w:rPr>
          <w:lang w:val="fr-FR"/>
        </w:rPr>
        <w:t>’</w:t>
      </w:r>
      <w:r w:rsidRPr="00640F03">
        <w:rPr>
          <w:lang w:val="fr-FR"/>
        </w:rPr>
        <w:t>homme offert par le droit interne ou d</w:t>
      </w:r>
      <w:r w:rsidRPr="00640F03" w:rsidR="00640F03">
        <w:rPr>
          <w:lang w:val="fr-FR"/>
        </w:rPr>
        <w:t>’</w:t>
      </w:r>
      <w:r w:rsidRPr="00640F03">
        <w:rPr>
          <w:lang w:val="fr-FR"/>
        </w:rPr>
        <w:t>autres accords internationaux. Elles en déduisent que la Cour ne saurait interpréter la Convention d</w:t>
      </w:r>
      <w:r w:rsidRPr="00640F03" w:rsidR="00640F03">
        <w:rPr>
          <w:lang w:val="fr-FR"/>
        </w:rPr>
        <w:t>’</w:t>
      </w:r>
      <w:r w:rsidRPr="00640F03">
        <w:rPr>
          <w:lang w:val="fr-FR"/>
        </w:rPr>
        <w:t>une manière qui ne cadrerait pas avec la CNUDPH, et qu</w:t>
      </w:r>
      <w:r w:rsidRPr="00640F03" w:rsidR="00640F03">
        <w:rPr>
          <w:lang w:val="fr-FR"/>
        </w:rPr>
        <w:t>’</w:t>
      </w:r>
      <w:r w:rsidRPr="00640F03">
        <w:rPr>
          <w:lang w:val="fr-FR"/>
        </w:rPr>
        <w:t>il devrait en être de même relativement à la Convention d</w:t>
      </w:r>
      <w:r w:rsidRPr="00640F03" w:rsidR="00640F03">
        <w:rPr>
          <w:lang w:val="fr-FR"/>
        </w:rPr>
        <w:t>’</w:t>
      </w:r>
      <w:r w:rsidRPr="00640F03">
        <w:rPr>
          <w:lang w:val="fr-FR"/>
        </w:rPr>
        <w:t xml:space="preserve">Oviedo. Elles soutiennent par ailleurs que la CNUDPH devrait être considérée comme la </w:t>
      </w:r>
      <w:r w:rsidRPr="00640F03">
        <w:rPr>
          <w:i/>
          <w:iCs/>
          <w:lang w:val="fr-FR"/>
        </w:rPr>
        <w:t>lex specialis</w:t>
      </w:r>
      <w:r w:rsidRPr="00640F03">
        <w:rPr>
          <w:lang w:val="fr-FR"/>
        </w:rPr>
        <w:t xml:space="preserve"> dans ce domaine particulier et qu</w:t>
      </w:r>
      <w:r w:rsidRPr="00640F03" w:rsidR="00640F03">
        <w:rPr>
          <w:lang w:val="fr-FR"/>
        </w:rPr>
        <w:t>’</w:t>
      </w:r>
      <w:r w:rsidRPr="00640F03">
        <w:rPr>
          <w:lang w:val="fr-FR"/>
        </w:rPr>
        <w:t>en cas de conflit entre cet instrument, d</w:t>
      </w:r>
      <w:r w:rsidRPr="00640F03" w:rsidR="00640F03">
        <w:rPr>
          <w:lang w:val="fr-FR"/>
        </w:rPr>
        <w:t>’</w:t>
      </w:r>
      <w:r w:rsidRPr="00640F03">
        <w:rPr>
          <w:lang w:val="fr-FR"/>
        </w:rPr>
        <w:t xml:space="preserve">une part, et la Convention </w:t>
      </w:r>
      <w:r w:rsidRPr="00640F03" w:rsidR="00AE349B">
        <w:rPr>
          <w:lang w:val="fr-FR"/>
        </w:rPr>
        <w:t xml:space="preserve">européenne </w:t>
      </w:r>
      <w:r w:rsidRPr="00640F03">
        <w:rPr>
          <w:lang w:val="fr-FR"/>
        </w:rPr>
        <w:t>et la Convention d</w:t>
      </w:r>
      <w:r w:rsidRPr="00640F03" w:rsidR="00640F03">
        <w:rPr>
          <w:lang w:val="fr-FR"/>
        </w:rPr>
        <w:t>’</w:t>
      </w:r>
      <w:r w:rsidRPr="00640F03">
        <w:rPr>
          <w:lang w:val="fr-FR"/>
        </w:rPr>
        <w:t>Oviedo, d</w:t>
      </w:r>
      <w:r w:rsidRPr="00640F03" w:rsidR="00640F03">
        <w:rPr>
          <w:lang w:val="fr-FR"/>
        </w:rPr>
        <w:t>’</w:t>
      </w:r>
      <w:r w:rsidRPr="00640F03">
        <w:rPr>
          <w:lang w:val="fr-FR"/>
        </w:rPr>
        <w:t xml:space="preserve">autre part, il conviendrait de ne pas appliquer les dispositions pertinentes de ces deux derniers instruments ou, tout au moins, de les interpréter à la lumière de la </w:t>
      </w:r>
      <w:r w:rsidRPr="00640F03">
        <w:rPr>
          <w:i/>
          <w:iCs/>
          <w:lang w:val="fr-FR"/>
        </w:rPr>
        <w:t>lex specialis</w:t>
      </w:r>
      <w:r w:rsidRPr="00640F03">
        <w:rPr>
          <w:lang w:val="fr-FR"/>
        </w:rPr>
        <w:t>. Elles arguent également que la CNUDPH devrait être reconnue comme un « traité successif » au sens de l</w:t>
      </w:r>
      <w:r w:rsidRPr="00640F03" w:rsidR="00640F03">
        <w:rPr>
          <w:lang w:val="fr-FR"/>
        </w:rPr>
        <w:t>’</w:t>
      </w:r>
      <w:r w:rsidRPr="00640F03">
        <w:rPr>
          <w:lang w:val="fr-FR"/>
        </w:rPr>
        <w:t>article</w:t>
      </w:r>
      <w:r w:rsidRPr="00640F03" w:rsidR="00E41685">
        <w:rPr>
          <w:lang w:val="fr-FR"/>
        </w:rPr>
        <w:t> </w:t>
      </w:r>
      <w:r w:rsidRPr="00640F03">
        <w:rPr>
          <w:lang w:val="fr-FR"/>
        </w:rPr>
        <w:t>30 de la Convention de Vienne et que l</w:t>
      </w:r>
      <w:r w:rsidRPr="00640F03" w:rsidR="00640F03">
        <w:rPr>
          <w:lang w:val="fr-FR"/>
        </w:rPr>
        <w:t>’</w:t>
      </w:r>
      <w:r w:rsidRPr="00640F03">
        <w:rPr>
          <w:lang w:val="fr-FR"/>
        </w:rPr>
        <w:t>article 7 de la Convention d</w:t>
      </w:r>
      <w:r w:rsidRPr="00640F03" w:rsidR="00640F03">
        <w:rPr>
          <w:lang w:val="fr-FR"/>
        </w:rPr>
        <w:t>’</w:t>
      </w:r>
      <w:r w:rsidRPr="00640F03">
        <w:rPr>
          <w:lang w:val="fr-FR"/>
        </w:rPr>
        <w:t>Oviedo devrait ainsi être considéré comme ne s</w:t>
      </w:r>
      <w:r w:rsidRPr="00640F03" w:rsidR="00640F03">
        <w:rPr>
          <w:lang w:val="fr-FR"/>
        </w:rPr>
        <w:t>’</w:t>
      </w:r>
      <w:r w:rsidRPr="00640F03">
        <w:rPr>
          <w:lang w:val="fr-FR"/>
        </w:rPr>
        <w:t>appliquant que dans la mesure où il peut être interprété d</w:t>
      </w:r>
      <w:r w:rsidRPr="00640F03" w:rsidR="00640F03">
        <w:rPr>
          <w:lang w:val="fr-FR"/>
        </w:rPr>
        <w:t>’</w:t>
      </w:r>
      <w:r w:rsidRPr="00640F03">
        <w:rPr>
          <w:lang w:val="fr-FR"/>
        </w:rPr>
        <w:t>une manière compatible avec les dispositions de la CNUDPH. Elles soutiennent que la Cour devrait en tout état de cause s</w:t>
      </w:r>
      <w:r w:rsidRPr="00640F03" w:rsidR="00640F03">
        <w:rPr>
          <w:lang w:val="fr-FR"/>
        </w:rPr>
        <w:t>’</w:t>
      </w:r>
      <w:r w:rsidRPr="00640F03">
        <w:rPr>
          <w:lang w:val="fr-FR"/>
        </w:rPr>
        <w:t>efforcer d</w:t>
      </w:r>
      <w:r w:rsidRPr="00640F03" w:rsidR="00640F03">
        <w:rPr>
          <w:lang w:val="fr-FR"/>
        </w:rPr>
        <w:t>’</w:t>
      </w:r>
      <w:r w:rsidRPr="00640F03">
        <w:rPr>
          <w:lang w:val="fr-FR"/>
        </w:rPr>
        <w:t>adopter une interprétation harmonieuse des dispositions correspondantes de la Convention</w:t>
      </w:r>
      <w:r w:rsidRPr="00640F03" w:rsidR="00AE349B">
        <w:rPr>
          <w:lang w:val="fr-FR"/>
        </w:rPr>
        <w:t xml:space="preserve"> européenne</w:t>
      </w:r>
      <w:r w:rsidRPr="00640F03">
        <w:rPr>
          <w:lang w:val="fr-FR"/>
        </w:rPr>
        <w:t>, de la Convention d</w:t>
      </w:r>
      <w:r w:rsidRPr="00640F03" w:rsidR="00640F03">
        <w:rPr>
          <w:lang w:val="fr-FR"/>
        </w:rPr>
        <w:t>’</w:t>
      </w:r>
      <w:r w:rsidRPr="00640F03">
        <w:rPr>
          <w:lang w:val="fr-FR"/>
        </w:rPr>
        <w:t>Oviedo et de la CNUDPH. Elles plaident que puisque la Cour appréhende la Convention comme un instrument vivant en l</w:t>
      </w:r>
      <w:r w:rsidRPr="00640F03" w:rsidR="00640F03">
        <w:rPr>
          <w:lang w:val="fr-FR"/>
        </w:rPr>
        <w:t>’</w:t>
      </w:r>
      <w:r w:rsidRPr="00640F03">
        <w:rPr>
          <w:lang w:val="fr-FR"/>
        </w:rPr>
        <w:t>interprétant à la lumière des règles pertinentes du droit international applicable aux États contractants et qu</w:t>
      </w:r>
      <w:r w:rsidRPr="00640F03" w:rsidR="00640F03">
        <w:rPr>
          <w:lang w:val="fr-FR"/>
        </w:rPr>
        <w:t>’</w:t>
      </w:r>
      <w:r w:rsidRPr="00640F03">
        <w:rPr>
          <w:lang w:val="fr-FR"/>
        </w:rPr>
        <w:t>elle tient également compte du consensus émergeant des instruments internationaux spécialisés, elle devrait aligner son interprétation des dispositions pertinentes de la Convention sur les exigences plus strictes définies par la CNUDPH dans ce domaine et interpréter ensuite les dispositions correspondantes de la Convention d</w:t>
      </w:r>
      <w:r w:rsidRPr="00640F03" w:rsidR="00640F03">
        <w:rPr>
          <w:lang w:val="fr-FR"/>
        </w:rPr>
        <w:t>’</w:t>
      </w:r>
      <w:r w:rsidRPr="00640F03">
        <w:rPr>
          <w:lang w:val="fr-FR"/>
        </w:rPr>
        <w:t>Oviedo de la même manière. Elles estiment que la Cour devrait s</w:t>
      </w:r>
      <w:r w:rsidRPr="00640F03" w:rsidR="00640F03">
        <w:rPr>
          <w:lang w:val="fr-FR"/>
        </w:rPr>
        <w:t>’</w:t>
      </w:r>
      <w:r w:rsidRPr="00640F03">
        <w:rPr>
          <w:lang w:val="fr-FR"/>
        </w:rPr>
        <w:t>efforcer d</w:t>
      </w:r>
      <w:r w:rsidRPr="00640F03" w:rsidR="00640F03">
        <w:rPr>
          <w:lang w:val="fr-FR"/>
        </w:rPr>
        <w:t>’</w:t>
      </w:r>
      <w:r w:rsidRPr="00640F03">
        <w:rPr>
          <w:lang w:val="fr-FR"/>
        </w:rPr>
        <w:t>éviter autant que possible tout conflit entre ces traités internationaux simultanément applicables, et de refléter le consensus croissant dans les législations et politiques nationales pour juger inacceptables les traitements hors consentement. Selon elles, la Convention d</w:t>
      </w:r>
      <w:r w:rsidRPr="00640F03" w:rsidR="00640F03">
        <w:rPr>
          <w:lang w:val="fr-FR"/>
        </w:rPr>
        <w:t>’</w:t>
      </w:r>
      <w:r w:rsidRPr="00640F03">
        <w:rPr>
          <w:lang w:val="fr-FR"/>
        </w:rPr>
        <w:t>Oviedo elle-même ouvre la voie pour résoudre le conflit qui pourrait l</w:t>
      </w:r>
      <w:r w:rsidRPr="00640F03" w:rsidR="00640F03">
        <w:rPr>
          <w:lang w:val="fr-FR"/>
        </w:rPr>
        <w:t>’</w:t>
      </w:r>
      <w:r w:rsidRPr="00640F03">
        <w:rPr>
          <w:lang w:val="fr-FR"/>
        </w:rPr>
        <w:t>opposer aux normes actuellement en vigueur : en s</w:t>
      </w:r>
      <w:r w:rsidRPr="00640F03" w:rsidR="00640F03">
        <w:rPr>
          <w:lang w:val="fr-FR"/>
        </w:rPr>
        <w:t>’</w:t>
      </w:r>
      <w:r w:rsidRPr="00640F03">
        <w:rPr>
          <w:lang w:val="fr-FR"/>
        </w:rPr>
        <w:t>appuyant sur son article</w:t>
      </w:r>
      <w:r w:rsidRPr="00640F03" w:rsidR="00850B29">
        <w:rPr>
          <w:lang w:val="fr-FR"/>
        </w:rPr>
        <w:t> </w:t>
      </w:r>
      <w:r w:rsidRPr="00640F03">
        <w:rPr>
          <w:lang w:val="fr-FR"/>
        </w:rPr>
        <w:t>27, qui permet une protection plus étendue, ainsi que sur les principes fondamentaux cités aux articles 1 et 5, il serait possible de conclure que l</w:t>
      </w:r>
      <w:r w:rsidRPr="00640F03" w:rsidR="00640F03">
        <w:rPr>
          <w:lang w:val="fr-FR"/>
        </w:rPr>
        <w:t>’</w:t>
      </w:r>
      <w:r w:rsidRPr="00640F03">
        <w:rPr>
          <w:lang w:val="fr-FR"/>
        </w:rPr>
        <w:t>article</w:t>
      </w:r>
      <w:r w:rsidRPr="00640F03" w:rsidR="00850B29">
        <w:rPr>
          <w:lang w:val="fr-FR"/>
        </w:rPr>
        <w:t> </w:t>
      </w:r>
      <w:r w:rsidRPr="00640F03">
        <w:rPr>
          <w:lang w:val="fr-FR"/>
        </w:rPr>
        <w:t>7 devrait désormais être considéré comme étant dépourvu de tout effet.</w:t>
      </w:r>
    </w:p>
    <w:p w:rsidRPr="00640F03" w:rsidR="009B3E19" w:rsidP="00640F03" w:rsidRDefault="001F1370" w14:paraId="3E367FD8" w14:textId="667BD67D">
      <w:pPr>
        <w:pStyle w:val="JuHa0"/>
        <w:rPr>
          <w:b w:val="0"/>
          <w:bCs w:val="0"/>
        </w:rPr>
      </w:pPr>
      <w:r w:rsidRPr="00640F03">
        <w:rPr>
          <w:b w:val="0"/>
          <w:bCs w:val="0"/>
        </w:rPr>
        <w:t>Appréciation de la</w:t>
      </w:r>
      <w:r w:rsidRPr="00640F03" w:rsidR="009B3E19">
        <w:rPr>
          <w:b w:val="0"/>
          <w:bCs w:val="0"/>
        </w:rPr>
        <w:t xml:space="preserve"> Cour</w:t>
      </w:r>
    </w:p>
    <w:p w:rsidRPr="00640F03" w:rsidR="00F6632C" w:rsidP="00640F03" w:rsidRDefault="00F6632C" w14:paraId="5D7FD8E8" w14:textId="344544C8">
      <w:pPr>
        <w:pStyle w:val="JuHi"/>
        <w:tabs>
          <w:tab w:val="clear" w:pos="1077"/>
          <w:tab w:val="clear" w:pos="1134"/>
          <w:tab w:val="clear" w:pos="1191"/>
          <w:tab w:val="clear" w:pos="1247"/>
        </w:tabs>
      </w:pPr>
      <w:r w:rsidRPr="00640F03">
        <w:t>Question 1</w:t>
      </w:r>
    </w:p>
    <w:bookmarkStart w:name="P59" w:id="32"/>
    <w:p w:rsidRPr="00640F03" w:rsidR="00F65C0E" w:rsidP="00640F03" w:rsidRDefault="0056763D" w14:paraId="74BB5AAB" w14:textId="535043F6">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64</w:t>
      </w:r>
      <w:r w:rsidRPr="00640F03">
        <w:rPr>
          <w:lang w:val="fr-FR"/>
        </w:rPr>
        <w:fldChar w:fldCharType="end"/>
      </w:r>
      <w:bookmarkEnd w:id="32"/>
      <w:r w:rsidRPr="00640F03">
        <w:rPr>
          <w:lang w:val="fr-FR"/>
        </w:rPr>
        <w:t>.  </w:t>
      </w:r>
      <w:r w:rsidRPr="00640F03" w:rsidR="00F65C0E">
        <w:rPr>
          <w:lang w:val="fr-FR"/>
        </w:rPr>
        <w:t>Par sa première question, le DH-BIO demande à la Cour d</w:t>
      </w:r>
      <w:r w:rsidRPr="00640F03" w:rsidR="00640F03">
        <w:rPr>
          <w:lang w:val="fr-FR"/>
        </w:rPr>
        <w:t>’</w:t>
      </w:r>
      <w:r w:rsidRPr="00640F03" w:rsidR="00F65C0E">
        <w:rPr>
          <w:lang w:val="fr-FR"/>
        </w:rPr>
        <w:t>interpréter les termes « conditions de protection » qui figurent à l</w:t>
      </w:r>
      <w:r w:rsidRPr="00640F03" w:rsidR="00640F03">
        <w:rPr>
          <w:lang w:val="fr-FR"/>
        </w:rPr>
        <w:t>’</w:t>
      </w:r>
      <w:r w:rsidRPr="00640F03" w:rsidR="00F65C0E">
        <w:rPr>
          <w:lang w:val="fr-FR"/>
        </w:rPr>
        <w:t>article</w:t>
      </w:r>
      <w:r w:rsidRPr="00640F03" w:rsidR="00E41685">
        <w:rPr>
          <w:lang w:val="fr-FR"/>
        </w:rPr>
        <w:t> </w:t>
      </w:r>
      <w:r w:rsidRPr="00640F03" w:rsidR="00F65C0E">
        <w:rPr>
          <w:lang w:val="fr-FR"/>
        </w:rPr>
        <w:t>7 de la Convention d</w:t>
      </w:r>
      <w:r w:rsidRPr="00640F03" w:rsidR="00640F03">
        <w:rPr>
          <w:lang w:val="fr-FR"/>
        </w:rPr>
        <w:t>’</w:t>
      </w:r>
      <w:r w:rsidRPr="00640F03" w:rsidR="00F65C0E">
        <w:rPr>
          <w:lang w:val="fr-FR"/>
        </w:rPr>
        <w:t>Oviedo afin de préciser les exigences minimales de protection que les Parties doivent prévoir dans leur législation en application de cette disposition, et de le faire à la lumière de l</w:t>
      </w:r>
      <w:r w:rsidRPr="00640F03" w:rsidR="00640F03">
        <w:rPr>
          <w:lang w:val="fr-FR"/>
        </w:rPr>
        <w:t>’</w:t>
      </w:r>
      <w:r w:rsidRPr="00640F03" w:rsidR="00F65C0E">
        <w:rPr>
          <w:lang w:val="fr-FR"/>
        </w:rPr>
        <w:t>objectif de ce traité tel que défini dans son premier article. Il invite également la Cour à tenir compte de la Convention et de la jurisprudence pertinente pour rendre l</w:t>
      </w:r>
      <w:r w:rsidRPr="00640F03" w:rsidR="00640F03">
        <w:rPr>
          <w:lang w:val="fr-FR"/>
        </w:rPr>
        <w:t>’</w:t>
      </w:r>
      <w:r w:rsidRPr="00640F03" w:rsidR="00F65C0E">
        <w:rPr>
          <w:lang w:val="fr-FR"/>
        </w:rPr>
        <w:t>avis consultatif demandé. Le DH-BIO explique que la première question a pour objectif d</w:t>
      </w:r>
      <w:r w:rsidRPr="00640F03" w:rsidR="00640F03">
        <w:rPr>
          <w:lang w:val="fr-FR"/>
        </w:rPr>
        <w:t>’</w:t>
      </w:r>
      <w:r w:rsidRPr="00640F03" w:rsidR="00F65C0E">
        <w:rPr>
          <w:lang w:val="fr-FR"/>
        </w:rPr>
        <w:t>obtenir des éclaircissements, fondés sur l</w:t>
      </w:r>
      <w:r w:rsidRPr="00640F03" w:rsidR="00640F03">
        <w:rPr>
          <w:lang w:val="fr-FR"/>
        </w:rPr>
        <w:t>’</w:t>
      </w:r>
      <w:r w:rsidRPr="00640F03" w:rsidR="00F65C0E">
        <w:rPr>
          <w:lang w:val="fr-FR"/>
        </w:rPr>
        <w:t>ensemble de la jurisprudence pertinente de la Cour, quant aux exigences à respecter pour protéger efficacement les droits de l</w:t>
      </w:r>
      <w:r w:rsidRPr="00640F03" w:rsidR="00640F03">
        <w:rPr>
          <w:lang w:val="fr-FR"/>
        </w:rPr>
        <w:t>’</w:t>
      </w:r>
      <w:r w:rsidRPr="00640F03" w:rsidR="00F65C0E">
        <w:rPr>
          <w:lang w:val="fr-FR"/>
        </w:rPr>
        <w:t>homme de la personne concernée et son intégrité, dans le but d</w:t>
      </w:r>
      <w:r w:rsidRPr="00640F03" w:rsidR="00640F03">
        <w:rPr>
          <w:lang w:val="fr-FR"/>
        </w:rPr>
        <w:t>’</w:t>
      </w:r>
      <w:r w:rsidRPr="00640F03" w:rsidR="00F65C0E">
        <w:rPr>
          <w:lang w:val="fr-FR"/>
        </w:rPr>
        <w:t>éclairer les travaux qu</w:t>
      </w:r>
      <w:r w:rsidRPr="00640F03" w:rsidR="00640F03">
        <w:rPr>
          <w:lang w:val="fr-FR"/>
        </w:rPr>
        <w:t>’</w:t>
      </w:r>
      <w:r w:rsidRPr="00640F03" w:rsidR="00F65C0E">
        <w:rPr>
          <w:lang w:val="fr-FR"/>
        </w:rPr>
        <w:t>il mène ou mènera en la matière.</w:t>
      </w:r>
    </w:p>
    <w:p w:rsidRPr="00640F03" w:rsidR="00F65C0E" w:rsidP="00640F03" w:rsidRDefault="00F65C0E" w14:paraId="5292547F" w14:textId="6738D7D4">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65</w:t>
      </w:r>
      <w:r w:rsidRPr="00640F03">
        <w:rPr>
          <w:lang w:val="fr-FR"/>
        </w:rPr>
        <w:fldChar w:fldCharType="end"/>
      </w:r>
      <w:r w:rsidRPr="00640F03">
        <w:rPr>
          <w:lang w:val="fr-FR"/>
        </w:rPr>
        <w:t>.  Pour la Cour, toutefois, les « conditions de protection », au sens de l</w:t>
      </w:r>
      <w:r w:rsidRPr="00640F03" w:rsidR="00640F03">
        <w:rPr>
          <w:lang w:val="fr-FR"/>
        </w:rPr>
        <w:t>’</w:t>
      </w:r>
      <w:r w:rsidRPr="00640F03">
        <w:rPr>
          <w:lang w:val="fr-FR"/>
        </w:rPr>
        <w:t>article 7 de la Convention d</w:t>
      </w:r>
      <w:r w:rsidRPr="00640F03" w:rsidR="00640F03">
        <w:rPr>
          <w:lang w:val="fr-FR"/>
        </w:rPr>
        <w:t>’</w:t>
      </w:r>
      <w:r w:rsidRPr="00640F03">
        <w:rPr>
          <w:lang w:val="fr-FR"/>
        </w:rPr>
        <w:t>Oviedo, qui doivent être « prévues par la loi dans les États membres pour répondre aux exigences minimales de protection » ne sauraient être précisées dans le cadre d</w:t>
      </w:r>
      <w:r w:rsidRPr="00640F03" w:rsidR="00640F03">
        <w:rPr>
          <w:lang w:val="fr-FR"/>
        </w:rPr>
        <w:t>’</w:t>
      </w:r>
      <w:r w:rsidRPr="00640F03">
        <w:rPr>
          <w:lang w:val="fr-FR"/>
        </w:rPr>
        <w:t>une interprétation judiciaire abstraite. Il est en effet clair que la disposition en question reflète le choix délibéré de ses rédacteurs de laisser aux Parties le soin de déterminer de manière plus détaillée et plus complète dans leur droit interne les conditions de protection applicables dans ce contexte. À cet égard, l</w:t>
      </w:r>
      <w:r w:rsidRPr="00640F03" w:rsidR="00640F03">
        <w:rPr>
          <w:lang w:val="fr-FR"/>
        </w:rPr>
        <w:t>’</w:t>
      </w:r>
      <w:r w:rsidRPr="00640F03">
        <w:rPr>
          <w:lang w:val="fr-FR"/>
        </w:rPr>
        <w:t>article 7 contraste avec d</w:t>
      </w:r>
      <w:r w:rsidRPr="00640F03" w:rsidR="00640F03">
        <w:rPr>
          <w:lang w:val="fr-FR"/>
        </w:rPr>
        <w:t>’</w:t>
      </w:r>
      <w:r w:rsidRPr="00640F03">
        <w:rPr>
          <w:lang w:val="fr-FR"/>
        </w:rPr>
        <w:t xml:space="preserve">autres dispositions plus détaillées </w:t>
      </w:r>
      <w:r w:rsidRPr="00640F03" w:rsidR="002178B8">
        <w:rPr>
          <w:lang w:val="fr-FR"/>
        </w:rPr>
        <w:t>du même traité, par exemple l</w:t>
      </w:r>
      <w:r w:rsidRPr="00640F03">
        <w:rPr>
          <w:lang w:val="fr-FR"/>
        </w:rPr>
        <w:t>es articles</w:t>
      </w:r>
      <w:r w:rsidRPr="00640F03" w:rsidR="00850B29">
        <w:rPr>
          <w:lang w:val="fr-FR"/>
        </w:rPr>
        <w:t> </w:t>
      </w:r>
      <w:r w:rsidRPr="00640F03">
        <w:rPr>
          <w:lang w:val="fr-FR"/>
        </w:rPr>
        <w:t>16, 17 et 20. Il est évident que les rédacteurs n</w:t>
      </w:r>
      <w:r w:rsidRPr="00640F03" w:rsidR="00640F03">
        <w:rPr>
          <w:lang w:val="fr-FR"/>
        </w:rPr>
        <w:t>’</w:t>
      </w:r>
      <w:r w:rsidRPr="00640F03">
        <w:rPr>
          <w:lang w:val="fr-FR"/>
        </w:rPr>
        <w:t>ignoraient rien de l</w:t>
      </w:r>
      <w:r w:rsidRPr="00640F03" w:rsidR="00640F03">
        <w:rPr>
          <w:lang w:val="fr-FR"/>
        </w:rPr>
        <w:t>’</w:t>
      </w:r>
      <w:r w:rsidRPr="00640F03">
        <w:rPr>
          <w:lang w:val="fr-FR"/>
        </w:rPr>
        <w:t>existence à l</w:t>
      </w:r>
      <w:r w:rsidRPr="00640F03" w:rsidR="00640F03">
        <w:rPr>
          <w:lang w:val="fr-FR"/>
        </w:rPr>
        <w:t>’</w:t>
      </w:r>
      <w:r w:rsidRPr="00640F03">
        <w:rPr>
          <w:lang w:val="fr-FR"/>
        </w:rPr>
        <w:t>époque de normes spécifiques pertinentes, qui sont d</w:t>
      </w:r>
      <w:r w:rsidRPr="00640F03" w:rsidR="00640F03">
        <w:rPr>
          <w:lang w:val="fr-FR"/>
        </w:rPr>
        <w:t>’</w:t>
      </w:r>
      <w:r w:rsidRPr="00640F03">
        <w:rPr>
          <w:lang w:val="fr-FR"/>
        </w:rPr>
        <w:t>ailleurs mentionnées dans le rapport explicatif, notamment les normes non contraignantes élaborées par le Comité des Ministres (paragraphe</w:t>
      </w:r>
      <w:r w:rsidRPr="00640F03" w:rsidR="00850B29">
        <w:rPr>
          <w:lang w:val="fr-FR"/>
        </w:rPr>
        <w:t> </w:t>
      </w:r>
      <w:r w:rsidRPr="00640F03">
        <w:rPr>
          <w:lang w:val="fr-FR"/>
        </w:rPr>
        <w:t xml:space="preserve">55 du rapport explicatif, cité au paragraphe </w:t>
      </w:r>
      <w:r w:rsidRPr="00640F03" w:rsidR="006B7FB9">
        <w:rPr>
          <w:lang w:val="fr-FR"/>
        </w:rPr>
        <w:fldChar w:fldCharType="begin"/>
      </w:r>
      <w:r w:rsidRPr="00640F03" w:rsidR="006B7FB9">
        <w:rPr>
          <w:lang w:val="fr-FR"/>
        </w:rPr>
        <w:instrText xml:space="preserve"> REF P18 \h </w:instrText>
      </w:r>
      <w:r w:rsidRPr="00640F03" w:rsidR="00BC0B44">
        <w:rPr>
          <w:lang w:val="fr-FR"/>
        </w:rPr>
        <w:instrText xml:space="preserve"> \* MERGEFORMAT </w:instrText>
      </w:r>
      <w:r w:rsidRPr="00640F03" w:rsidR="006B7FB9">
        <w:rPr>
          <w:lang w:val="fr-FR"/>
        </w:rPr>
      </w:r>
      <w:r w:rsidRPr="00640F03" w:rsidR="006B7FB9">
        <w:rPr>
          <w:lang w:val="fr-FR"/>
        </w:rPr>
        <w:fldChar w:fldCharType="separate"/>
      </w:r>
      <w:r w:rsidRPr="00640F03" w:rsidR="00640F03">
        <w:rPr>
          <w:lang w:val="fr-FR"/>
        </w:rPr>
        <w:t>18</w:t>
      </w:r>
      <w:r w:rsidRPr="00640F03" w:rsidR="006B7FB9">
        <w:rPr>
          <w:lang w:val="fr-FR"/>
        </w:rPr>
        <w:fldChar w:fldCharType="end"/>
      </w:r>
      <w:r w:rsidRPr="00640F03" w:rsidR="00AE349B">
        <w:rPr>
          <w:lang w:val="fr-FR"/>
        </w:rPr>
        <w:t xml:space="preserve"> ci-dessus</w:t>
      </w:r>
      <w:r w:rsidRPr="00640F03">
        <w:rPr>
          <w:lang w:val="fr-FR"/>
        </w:rPr>
        <w:t xml:space="preserve">). Ils se sont toutefois abstenus de les inclure dans le traité (voir la genèse de cette disposition, résumée au paragraphe </w:t>
      </w:r>
      <w:r w:rsidRPr="00640F03" w:rsidR="006B7FB9">
        <w:rPr>
          <w:lang w:val="fr-FR"/>
        </w:rPr>
        <w:fldChar w:fldCharType="begin"/>
      </w:r>
      <w:r w:rsidRPr="00640F03" w:rsidR="006B7FB9">
        <w:rPr>
          <w:lang w:val="fr-FR"/>
        </w:rPr>
        <w:instrText xml:space="preserve"> REF P17 \h </w:instrText>
      </w:r>
      <w:r w:rsidRPr="00640F03" w:rsidR="00BC0B44">
        <w:rPr>
          <w:lang w:val="fr-FR"/>
        </w:rPr>
        <w:instrText xml:space="preserve"> \* MERGEFORMAT </w:instrText>
      </w:r>
      <w:r w:rsidRPr="00640F03" w:rsidR="006B7FB9">
        <w:rPr>
          <w:lang w:val="fr-FR"/>
        </w:rPr>
      </w:r>
      <w:r w:rsidRPr="00640F03" w:rsidR="006B7FB9">
        <w:rPr>
          <w:lang w:val="fr-FR"/>
        </w:rPr>
        <w:fldChar w:fldCharType="separate"/>
      </w:r>
      <w:r w:rsidRPr="00640F03" w:rsidR="00640F03">
        <w:rPr>
          <w:lang w:val="fr-FR"/>
        </w:rPr>
        <w:t>17</w:t>
      </w:r>
      <w:r w:rsidRPr="00640F03" w:rsidR="006B7FB9">
        <w:rPr>
          <w:lang w:val="fr-FR"/>
        </w:rPr>
        <w:fldChar w:fldCharType="end"/>
      </w:r>
      <w:r w:rsidRPr="00640F03">
        <w:rPr>
          <w:lang w:val="fr-FR"/>
        </w:rPr>
        <w:t xml:space="preserve"> ci-dessus).</w:t>
      </w:r>
    </w:p>
    <w:p w:rsidRPr="00640F03" w:rsidR="00F65C0E" w:rsidP="00640F03" w:rsidRDefault="00F65C0E" w14:paraId="52C06813" w14:textId="32ADDF02">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66</w:t>
      </w:r>
      <w:r w:rsidRPr="00640F03">
        <w:rPr>
          <w:lang w:val="fr-FR"/>
        </w:rPr>
        <w:fldChar w:fldCharType="end"/>
      </w:r>
      <w:r w:rsidRPr="00640F03">
        <w:rPr>
          <w:lang w:val="fr-FR"/>
        </w:rPr>
        <w:t>.  Ni le contexte général du traité ni son objet et son but ne mènent à une interprétation de l</w:t>
      </w:r>
      <w:r w:rsidRPr="00640F03" w:rsidR="00640F03">
        <w:rPr>
          <w:lang w:val="fr-FR"/>
        </w:rPr>
        <w:t>’</w:t>
      </w:r>
      <w:r w:rsidRPr="00640F03">
        <w:rPr>
          <w:lang w:val="fr-FR"/>
        </w:rPr>
        <w:t>article</w:t>
      </w:r>
      <w:r w:rsidRPr="00640F03" w:rsidR="00880805">
        <w:rPr>
          <w:lang w:val="fr-FR"/>
        </w:rPr>
        <w:t> </w:t>
      </w:r>
      <w:r w:rsidRPr="00640F03">
        <w:rPr>
          <w:lang w:val="fr-FR"/>
        </w:rPr>
        <w:t>7 dans le sens demandé. Le thème essentiel de la Convention d</w:t>
      </w:r>
      <w:r w:rsidRPr="00640F03" w:rsidR="00640F03">
        <w:rPr>
          <w:lang w:val="fr-FR"/>
        </w:rPr>
        <w:t>’</w:t>
      </w:r>
      <w:r w:rsidRPr="00640F03">
        <w:rPr>
          <w:lang w:val="fr-FR"/>
        </w:rPr>
        <w:t>Oviedo, ainsi qu</w:t>
      </w:r>
      <w:r w:rsidRPr="00640F03" w:rsidR="00640F03">
        <w:rPr>
          <w:lang w:val="fr-FR"/>
        </w:rPr>
        <w:t>’</w:t>
      </w:r>
      <w:r w:rsidRPr="00640F03">
        <w:rPr>
          <w:lang w:val="fr-FR"/>
        </w:rPr>
        <w:t>en attestent son titre complet, son préambule et ses dispositions générales, en particulier ses articles</w:t>
      </w:r>
      <w:r w:rsidRPr="00640F03" w:rsidR="00850B29">
        <w:rPr>
          <w:lang w:val="fr-FR"/>
        </w:rPr>
        <w:t> </w:t>
      </w:r>
      <w:r w:rsidRPr="00640F03">
        <w:rPr>
          <w:lang w:val="fr-FR"/>
        </w:rPr>
        <w:t>1 et</w:t>
      </w:r>
      <w:r w:rsidRPr="00640F03" w:rsidR="00850B29">
        <w:rPr>
          <w:lang w:val="fr-FR"/>
        </w:rPr>
        <w:t> </w:t>
      </w:r>
      <w:r w:rsidRPr="00640F03">
        <w:rPr>
          <w:lang w:val="fr-FR"/>
        </w:rPr>
        <w:t>2, est la protection de la dignité et des droits de l</w:t>
      </w:r>
      <w:r w:rsidRPr="00640F03" w:rsidR="00640F03">
        <w:rPr>
          <w:lang w:val="fr-FR"/>
        </w:rPr>
        <w:t>’</w:t>
      </w:r>
      <w:r w:rsidRPr="00640F03">
        <w:rPr>
          <w:lang w:val="fr-FR"/>
        </w:rPr>
        <w:t>être humain. Si cela suppose de réglementer avec grand soin les circonstances et les conditions dans lesquelles une exception peut être apportée à la règle générale du consentement aux interventions dans le domaine de la santé, qui est énoncée à l</w:t>
      </w:r>
      <w:r w:rsidRPr="00640F03" w:rsidR="00640F03">
        <w:rPr>
          <w:lang w:val="fr-FR"/>
        </w:rPr>
        <w:t>’</w:t>
      </w:r>
      <w:r w:rsidRPr="00640F03">
        <w:rPr>
          <w:lang w:val="fr-FR"/>
        </w:rPr>
        <w:t>article 5, et si de nombreuses suggestions inspirées par les normes nationales et internationales existantes ont été faites par les gouvernements intervenants qui ont abordé ce point, l</w:t>
      </w:r>
      <w:r w:rsidRPr="00640F03" w:rsidR="00640F03">
        <w:rPr>
          <w:lang w:val="fr-FR"/>
        </w:rPr>
        <w:t>’</w:t>
      </w:r>
      <w:r w:rsidRPr="00640F03">
        <w:rPr>
          <w:lang w:val="fr-FR"/>
        </w:rPr>
        <w:t>article</w:t>
      </w:r>
      <w:r w:rsidRPr="00640F03" w:rsidR="00E41685">
        <w:rPr>
          <w:lang w:val="fr-FR"/>
        </w:rPr>
        <w:t> </w:t>
      </w:r>
      <w:r w:rsidRPr="00640F03">
        <w:rPr>
          <w:lang w:val="fr-FR"/>
        </w:rPr>
        <w:t>7</w:t>
      </w:r>
      <w:r w:rsidRPr="00640F03" w:rsidR="002178B8">
        <w:rPr>
          <w:lang w:val="fr-FR"/>
        </w:rPr>
        <w:t xml:space="preserve"> </w:t>
      </w:r>
      <w:r w:rsidRPr="00640F03">
        <w:rPr>
          <w:lang w:val="fr-FR"/>
        </w:rPr>
        <w:t>laisse aux États parties une certaine latitude à cet égard. La Cour estime que cette latitude ne saurait être restreinte par une interprétation de l</w:t>
      </w:r>
      <w:r w:rsidRPr="00640F03" w:rsidR="00640F03">
        <w:rPr>
          <w:lang w:val="fr-FR"/>
        </w:rPr>
        <w:t>’</w:t>
      </w:r>
      <w:r w:rsidRPr="00640F03">
        <w:rPr>
          <w:lang w:val="fr-FR"/>
        </w:rPr>
        <w:t>article</w:t>
      </w:r>
      <w:r w:rsidRPr="00640F03" w:rsidR="00E41685">
        <w:rPr>
          <w:lang w:val="fr-FR"/>
        </w:rPr>
        <w:t> </w:t>
      </w:r>
      <w:r w:rsidRPr="00640F03">
        <w:rPr>
          <w:lang w:val="fr-FR"/>
        </w:rPr>
        <w:t>7 qui serait donnée par elle à la suite d</w:t>
      </w:r>
      <w:r w:rsidRPr="00640F03" w:rsidR="00640F03">
        <w:rPr>
          <w:lang w:val="fr-FR"/>
        </w:rPr>
        <w:t>’</w:t>
      </w:r>
      <w:r w:rsidRPr="00640F03">
        <w:rPr>
          <w:lang w:val="fr-FR"/>
        </w:rPr>
        <w:t>une demande d</w:t>
      </w:r>
      <w:r w:rsidRPr="00640F03" w:rsidR="00640F03">
        <w:rPr>
          <w:lang w:val="fr-FR"/>
        </w:rPr>
        <w:t>’</w:t>
      </w:r>
      <w:r w:rsidRPr="00640F03">
        <w:rPr>
          <w:lang w:val="fr-FR"/>
        </w:rPr>
        <w:t>avis consultatif. Comme elle l</w:t>
      </w:r>
      <w:r w:rsidRPr="00640F03" w:rsidR="00640F03">
        <w:rPr>
          <w:lang w:val="fr-FR"/>
        </w:rPr>
        <w:t>’</w:t>
      </w:r>
      <w:r w:rsidRPr="00640F03">
        <w:rPr>
          <w:lang w:val="fr-FR"/>
        </w:rPr>
        <w:t xml:space="preserve">a indiqué ci-dessus (paragraphe </w:t>
      </w:r>
      <w:r w:rsidRPr="00640F03" w:rsidR="00E371C6">
        <w:rPr>
          <w:lang w:val="fr-FR"/>
        </w:rPr>
        <w:fldChar w:fldCharType="begin"/>
      </w:r>
      <w:r w:rsidRPr="00640F03" w:rsidR="00E371C6">
        <w:rPr>
          <w:lang w:val="fr-FR"/>
        </w:rPr>
        <w:instrText xml:space="preserve"> REF P47 \h </w:instrText>
      </w:r>
      <w:r w:rsidRPr="00640F03" w:rsidR="00BC0B44">
        <w:rPr>
          <w:lang w:val="fr-FR"/>
        </w:rPr>
        <w:instrText xml:space="preserve"> \* MERGEFORMAT </w:instrText>
      </w:r>
      <w:r w:rsidRPr="00640F03" w:rsidR="00E371C6">
        <w:rPr>
          <w:lang w:val="fr-FR"/>
        </w:rPr>
      </w:r>
      <w:r w:rsidRPr="00640F03" w:rsidR="00E371C6">
        <w:rPr>
          <w:lang w:val="fr-FR"/>
        </w:rPr>
        <w:fldChar w:fldCharType="separate"/>
      </w:r>
      <w:r w:rsidRPr="00640F03" w:rsidR="00640F03">
        <w:rPr>
          <w:lang w:val="fr-FR"/>
        </w:rPr>
        <w:t>47</w:t>
      </w:r>
      <w:r w:rsidRPr="00640F03" w:rsidR="00E371C6">
        <w:rPr>
          <w:lang w:val="fr-FR"/>
        </w:rPr>
        <w:fldChar w:fldCharType="end"/>
      </w:r>
      <w:r w:rsidRPr="00640F03">
        <w:rPr>
          <w:lang w:val="fr-FR"/>
        </w:rPr>
        <w:t>), elle dispose dans ce contexte d</w:t>
      </w:r>
      <w:r w:rsidRPr="00640F03" w:rsidR="00640F03">
        <w:rPr>
          <w:lang w:val="fr-FR"/>
        </w:rPr>
        <w:t>’</w:t>
      </w:r>
      <w:r w:rsidRPr="00640F03">
        <w:rPr>
          <w:lang w:val="fr-FR"/>
        </w:rPr>
        <w:t>une compétence interprétative. Elle ne peut donner d</w:t>
      </w:r>
      <w:r w:rsidRPr="00640F03" w:rsidR="00640F03">
        <w:rPr>
          <w:lang w:val="fr-FR"/>
        </w:rPr>
        <w:t>’</w:t>
      </w:r>
      <w:r w:rsidRPr="00640F03">
        <w:rPr>
          <w:lang w:val="fr-FR"/>
        </w:rPr>
        <w:t>avis consultatifs que sur des « questions juridiques concernant l</w:t>
      </w:r>
      <w:r w:rsidRPr="00640F03" w:rsidR="00640F03">
        <w:rPr>
          <w:lang w:val="fr-FR"/>
        </w:rPr>
        <w:t>’</w:t>
      </w:r>
      <w:r w:rsidRPr="00640F03">
        <w:rPr>
          <w:lang w:val="fr-FR"/>
        </w:rPr>
        <w:t>interprétation de la Convention », à l</w:t>
      </w:r>
      <w:r w:rsidRPr="00640F03" w:rsidR="00640F03">
        <w:rPr>
          <w:lang w:val="fr-FR"/>
        </w:rPr>
        <w:t>’</w:t>
      </w:r>
      <w:r w:rsidRPr="00640F03">
        <w:rPr>
          <w:lang w:val="fr-FR"/>
        </w:rPr>
        <w:t>exclusion des questions d</w:t>
      </w:r>
      <w:r w:rsidRPr="00640F03" w:rsidR="00640F03">
        <w:rPr>
          <w:lang w:val="fr-FR"/>
        </w:rPr>
        <w:t>’</w:t>
      </w:r>
      <w:r w:rsidRPr="00640F03">
        <w:rPr>
          <w:lang w:val="fr-FR"/>
        </w:rPr>
        <w:t>opportunité politique et de celles qui iraient au</w:t>
      </w:r>
      <w:r w:rsidRPr="00640F03">
        <w:rPr>
          <w:lang w:val="fr-FR"/>
        </w:rPr>
        <w:noBreakHyphen/>
        <w:t>delà de la simple interprétation des textes et qui tendraient par des additions, des améliorations ou des correctifs, à en modifier la substance.</w:t>
      </w:r>
    </w:p>
    <w:p w:rsidRPr="00640F03" w:rsidR="00F65C0E" w:rsidP="00640F03" w:rsidRDefault="00F65C0E" w14:paraId="3A6575DF" w14:textId="2A092CDE">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67</w:t>
      </w:r>
      <w:r w:rsidRPr="00640F03">
        <w:rPr>
          <w:lang w:val="fr-FR"/>
        </w:rPr>
        <w:fldChar w:fldCharType="end"/>
      </w:r>
      <w:r w:rsidRPr="00640F03">
        <w:rPr>
          <w:lang w:val="fr-FR"/>
        </w:rPr>
        <w:t>.  Cette appréciation est également conforme à l</w:t>
      </w:r>
      <w:r w:rsidRPr="00640F03" w:rsidR="00640F03">
        <w:rPr>
          <w:lang w:val="fr-FR"/>
        </w:rPr>
        <w:t>’</w:t>
      </w:r>
      <w:r w:rsidRPr="00640F03">
        <w:rPr>
          <w:lang w:val="fr-FR"/>
        </w:rPr>
        <w:t>approche générale de la Convention d</w:t>
      </w:r>
      <w:r w:rsidRPr="00640F03" w:rsidR="00640F03">
        <w:rPr>
          <w:lang w:val="fr-FR"/>
        </w:rPr>
        <w:t>’</w:t>
      </w:r>
      <w:r w:rsidRPr="00640F03">
        <w:rPr>
          <w:lang w:val="fr-FR"/>
        </w:rPr>
        <w:t>Oviedo quant à l</w:t>
      </w:r>
      <w:r w:rsidRPr="00640F03" w:rsidR="00640F03">
        <w:rPr>
          <w:lang w:val="fr-FR"/>
        </w:rPr>
        <w:t>’</w:t>
      </w:r>
      <w:r w:rsidRPr="00640F03">
        <w:rPr>
          <w:lang w:val="fr-FR"/>
        </w:rPr>
        <w:t>évolution des normes qu</w:t>
      </w:r>
      <w:r w:rsidRPr="00640F03" w:rsidR="00640F03">
        <w:rPr>
          <w:lang w:val="fr-FR"/>
        </w:rPr>
        <w:t>’</w:t>
      </w:r>
      <w:r w:rsidRPr="00640F03">
        <w:rPr>
          <w:lang w:val="fr-FR"/>
        </w:rPr>
        <w:t>elle établit dans des domaines spécifiques. La Convention d</w:t>
      </w:r>
      <w:r w:rsidRPr="00640F03" w:rsidR="00640F03">
        <w:rPr>
          <w:lang w:val="fr-FR"/>
        </w:rPr>
        <w:t>’</w:t>
      </w:r>
      <w:r w:rsidRPr="00640F03">
        <w:rPr>
          <w:lang w:val="fr-FR"/>
        </w:rPr>
        <w:t>Oviedo est un traité cadre qui énonce les droits de l</w:t>
      </w:r>
      <w:r w:rsidRPr="00640F03" w:rsidR="00640F03">
        <w:rPr>
          <w:lang w:val="fr-FR"/>
        </w:rPr>
        <w:t>’</w:t>
      </w:r>
      <w:r w:rsidRPr="00640F03">
        <w:rPr>
          <w:lang w:val="fr-FR"/>
        </w:rPr>
        <w:t>homme et principes les plus importants dans le domaine de la biomédecine, lesquels doivent être développés et précisés par des protocoles additionnels (article</w:t>
      </w:r>
      <w:r w:rsidRPr="00640F03" w:rsidR="00850B29">
        <w:rPr>
          <w:lang w:val="fr-FR"/>
        </w:rPr>
        <w:t> </w:t>
      </w:r>
      <w:r w:rsidRPr="00640F03">
        <w:rPr>
          <w:lang w:val="fr-FR"/>
        </w:rPr>
        <w:t>31 de la Convention d</w:t>
      </w:r>
      <w:r w:rsidRPr="00640F03" w:rsidR="00640F03">
        <w:rPr>
          <w:lang w:val="fr-FR"/>
        </w:rPr>
        <w:t>’</w:t>
      </w:r>
      <w:r w:rsidRPr="00640F03">
        <w:rPr>
          <w:lang w:val="fr-FR"/>
        </w:rPr>
        <w:t>Oviedo ; paragraphes </w:t>
      </w:r>
      <w:r w:rsidRPr="00640F03" w:rsidR="00E371C6">
        <w:rPr>
          <w:lang w:val="fr-FR"/>
        </w:rPr>
        <w:fldChar w:fldCharType="begin"/>
      </w:r>
      <w:r w:rsidRPr="00640F03" w:rsidR="00E371C6">
        <w:rPr>
          <w:lang w:val="fr-FR"/>
        </w:rPr>
        <w:instrText xml:space="preserve"> REF P10 \h </w:instrText>
      </w:r>
      <w:r w:rsidRPr="00640F03" w:rsidR="00BC0B44">
        <w:rPr>
          <w:lang w:val="fr-FR"/>
        </w:rPr>
        <w:instrText xml:space="preserve"> \* MERGEFORMAT </w:instrText>
      </w:r>
      <w:r w:rsidRPr="00640F03" w:rsidR="00E371C6">
        <w:rPr>
          <w:lang w:val="fr-FR"/>
        </w:rPr>
      </w:r>
      <w:r w:rsidRPr="00640F03" w:rsidR="00E371C6">
        <w:rPr>
          <w:lang w:val="fr-FR"/>
        </w:rPr>
        <w:fldChar w:fldCharType="separate"/>
      </w:r>
      <w:r w:rsidRPr="00640F03" w:rsidR="00640F03">
        <w:rPr>
          <w:lang w:val="fr-FR"/>
        </w:rPr>
        <w:t>10</w:t>
      </w:r>
      <w:r w:rsidRPr="00640F03" w:rsidR="00E371C6">
        <w:rPr>
          <w:lang w:val="fr-FR"/>
        </w:rPr>
        <w:fldChar w:fldCharType="end"/>
      </w:r>
      <w:r w:rsidRPr="00640F03">
        <w:rPr>
          <w:lang w:val="fr-FR"/>
        </w:rPr>
        <w:t xml:space="preserve"> et </w:t>
      </w:r>
      <w:r w:rsidRPr="00640F03" w:rsidR="00E371C6">
        <w:rPr>
          <w:lang w:val="fr-FR"/>
        </w:rPr>
        <w:fldChar w:fldCharType="begin"/>
      </w:r>
      <w:r w:rsidRPr="00640F03" w:rsidR="00E371C6">
        <w:rPr>
          <w:lang w:val="fr-FR"/>
        </w:rPr>
        <w:instrText xml:space="preserve"> REF P49 \h </w:instrText>
      </w:r>
      <w:r w:rsidRPr="00640F03" w:rsidR="00BC0B44">
        <w:rPr>
          <w:lang w:val="fr-FR"/>
        </w:rPr>
        <w:instrText xml:space="preserve"> \* MERGEFORMAT </w:instrText>
      </w:r>
      <w:r w:rsidRPr="00640F03" w:rsidR="00E371C6">
        <w:rPr>
          <w:lang w:val="fr-FR"/>
        </w:rPr>
      </w:r>
      <w:r w:rsidRPr="00640F03" w:rsidR="00E371C6">
        <w:rPr>
          <w:lang w:val="fr-FR"/>
        </w:rPr>
        <w:fldChar w:fldCharType="separate"/>
      </w:r>
      <w:r w:rsidRPr="00640F03" w:rsidR="00640F03">
        <w:rPr>
          <w:lang w:val="fr-FR"/>
        </w:rPr>
        <w:t>49</w:t>
      </w:r>
      <w:r w:rsidRPr="00640F03" w:rsidR="00E371C6">
        <w:rPr>
          <w:lang w:val="fr-FR"/>
        </w:rPr>
        <w:fldChar w:fldCharType="end"/>
      </w:r>
      <w:r w:rsidRPr="00640F03">
        <w:rPr>
          <w:lang w:val="fr-FR"/>
        </w:rPr>
        <w:t xml:space="preserve"> ci-dessus). Il s</w:t>
      </w:r>
      <w:r w:rsidRPr="00640F03" w:rsidR="00640F03">
        <w:rPr>
          <w:lang w:val="fr-FR"/>
        </w:rPr>
        <w:t>’</w:t>
      </w:r>
      <w:r w:rsidRPr="00640F03">
        <w:rPr>
          <w:lang w:val="fr-FR"/>
        </w:rPr>
        <w:t>agit là, par nature, d</w:t>
      </w:r>
      <w:r w:rsidRPr="00640F03" w:rsidR="00640F03">
        <w:rPr>
          <w:lang w:val="fr-FR"/>
        </w:rPr>
        <w:t>’</w:t>
      </w:r>
      <w:r w:rsidRPr="00640F03">
        <w:rPr>
          <w:lang w:val="fr-FR"/>
        </w:rPr>
        <w:t>un exercice législatif, ancré dans l</w:t>
      </w:r>
      <w:r w:rsidRPr="00640F03" w:rsidR="00640F03">
        <w:rPr>
          <w:lang w:val="fr-FR"/>
        </w:rPr>
        <w:t>’</w:t>
      </w:r>
      <w:r w:rsidRPr="00640F03">
        <w:rPr>
          <w:lang w:val="fr-FR"/>
        </w:rPr>
        <w:t>élaboration de politiques au niveau international, tendant à l</w:t>
      </w:r>
      <w:r w:rsidRPr="00640F03" w:rsidR="00640F03">
        <w:rPr>
          <w:lang w:val="fr-FR"/>
        </w:rPr>
        <w:t>’</w:t>
      </w:r>
      <w:r w:rsidRPr="00640F03">
        <w:rPr>
          <w:lang w:val="fr-FR"/>
        </w:rPr>
        <w:t>adoption de nouvelles normes juridiques internationales. Il apparaît à la Cour que pour ce qui est des mesures pouvant être prises aux fins de traitement, sans leur consentement, de personnes souffrant de troubles mentaux ce processus est toujours en cours.</w:t>
      </w:r>
    </w:p>
    <w:p w:rsidRPr="00640F03" w:rsidR="006E0F85" w:rsidP="00640F03" w:rsidRDefault="00F65C0E" w14:paraId="794745C0" w14:textId="1D5A98AD">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68</w:t>
      </w:r>
      <w:r w:rsidRPr="00640F03">
        <w:rPr>
          <w:lang w:val="fr-FR"/>
        </w:rPr>
        <w:fldChar w:fldCharType="end"/>
      </w:r>
      <w:r w:rsidRPr="00640F03">
        <w:rPr>
          <w:lang w:val="fr-FR"/>
        </w:rPr>
        <w:t>.  Bien que le DH-BIO demande à la Cour de tenir compte de la Convention et de la jurisprudence pertinente, la Cour doit, comme elle l</w:t>
      </w:r>
      <w:r w:rsidRPr="00640F03" w:rsidR="00640F03">
        <w:rPr>
          <w:lang w:val="fr-FR"/>
        </w:rPr>
        <w:t>’</w:t>
      </w:r>
      <w:r w:rsidRPr="00640F03">
        <w:rPr>
          <w:lang w:val="fr-FR"/>
        </w:rPr>
        <w:t>a expliqué ci-dessus (paragraphes</w:t>
      </w:r>
      <w:r w:rsidRPr="00640F03" w:rsidR="00880805">
        <w:rPr>
          <w:lang w:val="fr-FR"/>
        </w:rPr>
        <w:t> </w:t>
      </w:r>
      <w:r w:rsidRPr="00640F03" w:rsidR="00E371C6">
        <w:rPr>
          <w:lang w:val="fr-FR"/>
        </w:rPr>
        <w:fldChar w:fldCharType="begin"/>
      </w:r>
      <w:r w:rsidRPr="00640F03" w:rsidR="00E371C6">
        <w:rPr>
          <w:lang w:val="fr-FR"/>
        </w:rPr>
        <w:instrText xml:space="preserve"> REF P50 \h </w:instrText>
      </w:r>
      <w:r w:rsidRPr="00640F03" w:rsidR="00BC0B44">
        <w:rPr>
          <w:lang w:val="fr-FR"/>
        </w:rPr>
        <w:instrText xml:space="preserve"> \* MERGEFORMAT </w:instrText>
      </w:r>
      <w:r w:rsidRPr="00640F03" w:rsidR="00E371C6">
        <w:rPr>
          <w:lang w:val="fr-FR"/>
        </w:rPr>
      </w:r>
      <w:r w:rsidRPr="00640F03" w:rsidR="00E371C6">
        <w:rPr>
          <w:lang w:val="fr-FR"/>
        </w:rPr>
        <w:fldChar w:fldCharType="separate"/>
      </w:r>
      <w:r w:rsidRPr="00640F03" w:rsidR="00640F03">
        <w:rPr>
          <w:lang w:val="fr-FR"/>
        </w:rPr>
        <w:t>50</w:t>
      </w:r>
      <w:r w:rsidRPr="00640F03" w:rsidR="00E371C6">
        <w:rPr>
          <w:lang w:val="fr-FR"/>
        </w:rPr>
        <w:fldChar w:fldCharType="end"/>
      </w:r>
      <w:r w:rsidRPr="00640F03">
        <w:rPr>
          <w:lang w:val="fr-FR"/>
        </w:rPr>
        <w:t>-</w:t>
      </w:r>
      <w:r w:rsidRPr="00640F03" w:rsidR="00E371C6">
        <w:rPr>
          <w:lang w:val="fr-FR"/>
        </w:rPr>
        <w:fldChar w:fldCharType="begin"/>
      </w:r>
      <w:r w:rsidRPr="00640F03" w:rsidR="00E371C6">
        <w:rPr>
          <w:lang w:val="fr-FR"/>
        </w:rPr>
        <w:instrText xml:space="preserve"> REF P52 \h </w:instrText>
      </w:r>
      <w:r w:rsidRPr="00640F03" w:rsidR="00BC0B44">
        <w:rPr>
          <w:lang w:val="fr-FR"/>
        </w:rPr>
        <w:instrText xml:space="preserve"> \* MERGEFORMAT </w:instrText>
      </w:r>
      <w:r w:rsidRPr="00640F03" w:rsidR="00E371C6">
        <w:rPr>
          <w:lang w:val="fr-FR"/>
        </w:rPr>
      </w:r>
      <w:r w:rsidRPr="00640F03" w:rsidR="00E371C6">
        <w:rPr>
          <w:lang w:val="fr-FR"/>
        </w:rPr>
        <w:fldChar w:fldCharType="separate"/>
      </w:r>
      <w:r w:rsidRPr="00640F03" w:rsidR="00640F03">
        <w:rPr>
          <w:lang w:val="fr-FR"/>
        </w:rPr>
        <w:t>52</w:t>
      </w:r>
      <w:r w:rsidRPr="00640F03" w:rsidR="00E371C6">
        <w:rPr>
          <w:lang w:val="fr-FR"/>
        </w:rPr>
        <w:fldChar w:fldCharType="end"/>
      </w:r>
      <w:r w:rsidRPr="00640F03">
        <w:rPr>
          <w:lang w:val="fr-FR"/>
        </w:rPr>
        <w:t>), exercer la compétence consultative que lui attribue la Convention d</w:t>
      </w:r>
      <w:r w:rsidRPr="00640F03" w:rsidR="00640F03">
        <w:rPr>
          <w:lang w:val="fr-FR"/>
        </w:rPr>
        <w:t>’</w:t>
      </w:r>
      <w:r w:rsidRPr="00640F03">
        <w:rPr>
          <w:lang w:val="fr-FR"/>
        </w:rPr>
        <w:t>Oviedo de manière à ce qu</w:t>
      </w:r>
      <w:r w:rsidRPr="00640F03" w:rsidR="00640F03">
        <w:rPr>
          <w:lang w:val="fr-FR"/>
        </w:rPr>
        <w:t>’</w:t>
      </w:r>
      <w:r w:rsidRPr="00640F03">
        <w:rPr>
          <w:lang w:val="fr-FR"/>
        </w:rPr>
        <w:t>elle puisse s</w:t>
      </w:r>
      <w:r w:rsidRPr="00640F03" w:rsidR="00640F03">
        <w:rPr>
          <w:lang w:val="fr-FR"/>
        </w:rPr>
        <w:t>’</w:t>
      </w:r>
      <w:r w:rsidRPr="00640F03">
        <w:rPr>
          <w:lang w:val="fr-FR"/>
        </w:rPr>
        <w:t>harmoniser avec la compétence qui est la sienne au titre de la Convention et préserver cette dernière, dont les limites continuent de s</w:t>
      </w:r>
      <w:r w:rsidRPr="00640F03" w:rsidR="00640F03">
        <w:rPr>
          <w:lang w:val="fr-FR"/>
        </w:rPr>
        <w:t>’</w:t>
      </w:r>
      <w:r w:rsidRPr="00640F03">
        <w:rPr>
          <w:lang w:val="fr-FR"/>
        </w:rPr>
        <w:t>appliquer dans le présent contexte. Par conséquent, la Cour ne saurait, dans le cadre de cet exercice, interpréter des clauses normatives ou principes jurisprudentiels de la Convention. Même si la présente procédure concerne la Convention d</w:t>
      </w:r>
      <w:r w:rsidRPr="00640F03" w:rsidR="00640F03">
        <w:rPr>
          <w:lang w:val="fr-FR"/>
        </w:rPr>
        <w:t>’</w:t>
      </w:r>
      <w:r w:rsidRPr="00640F03">
        <w:rPr>
          <w:lang w:val="fr-FR"/>
        </w:rPr>
        <w:t>Oviedo et que les avis rendus par la Cour au titre de l</w:t>
      </w:r>
      <w:r w:rsidRPr="00640F03" w:rsidR="00640F03">
        <w:rPr>
          <w:lang w:val="fr-FR"/>
        </w:rPr>
        <w:t>’</w:t>
      </w:r>
      <w:r w:rsidRPr="00640F03">
        <w:rPr>
          <w:lang w:val="fr-FR"/>
        </w:rPr>
        <w:t>article</w:t>
      </w:r>
      <w:r w:rsidRPr="00640F03" w:rsidR="00F42623">
        <w:rPr>
          <w:lang w:val="fr-FR"/>
        </w:rPr>
        <w:t> </w:t>
      </w:r>
      <w:r w:rsidRPr="00640F03">
        <w:rPr>
          <w:lang w:val="fr-FR"/>
        </w:rPr>
        <w:t xml:space="preserve">29 sont consultatifs, et donc non contraignants, une réponse en pareils termes serait néanmoins une </w:t>
      </w:r>
      <w:bookmarkStart w:name="_Hlk67057278" w:id="33"/>
      <w:r w:rsidRPr="00640F03">
        <w:rPr>
          <w:lang w:val="fr-FR"/>
        </w:rPr>
        <w:t>décision judiciaire faisant autorité qui porterait au moins autant sur la Convention elle-même que sur la Convention d</w:t>
      </w:r>
      <w:r w:rsidRPr="00640F03" w:rsidR="00640F03">
        <w:rPr>
          <w:lang w:val="fr-FR"/>
        </w:rPr>
        <w:t>’</w:t>
      </w:r>
      <w:r w:rsidRPr="00640F03">
        <w:rPr>
          <w:lang w:val="fr-FR"/>
        </w:rPr>
        <w:t>Oviedo. La Cour ne peut adopter une telle approche, qui risquerait de la gêner dans l</w:t>
      </w:r>
      <w:r w:rsidRPr="00640F03" w:rsidR="00640F03">
        <w:rPr>
          <w:lang w:val="fr-FR"/>
        </w:rPr>
        <w:t>’</w:t>
      </w:r>
      <w:r w:rsidRPr="00640F03">
        <w:rPr>
          <w:lang w:val="fr-FR"/>
        </w:rPr>
        <w:t>exercice de la compétence contentieuse prééminente que lui confère la Convention. Il s</w:t>
      </w:r>
      <w:r w:rsidRPr="00640F03" w:rsidR="00640F03">
        <w:rPr>
          <w:lang w:val="fr-FR"/>
        </w:rPr>
        <w:t>’</w:t>
      </w:r>
      <w:r w:rsidRPr="00640F03">
        <w:rPr>
          <w:lang w:val="fr-FR"/>
        </w:rPr>
        <w:t xml:space="preserve">ensuit </w:t>
      </w:r>
      <w:r w:rsidRPr="00640F03">
        <w:rPr>
          <w:i/>
          <w:iCs/>
          <w:lang w:val="fr-FR"/>
        </w:rPr>
        <w:t>a fortiori</w:t>
      </w:r>
      <w:r w:rsidRPr="00640F03">
        <w:rPr>
          <w:lang w:val="fr-FR"/>
        </w:rPr>
        <w:t xml:space="preserve"> que, au rebours de ce que suggèrent les organisations intervenantes, la Cour ne saurait saisir l</w:t>
      </w:r>
      <w:r w:rsidRPr="00640F03" w:rsidR="00640F03">
        <w:rPr>
          <w:lang w:val="fr-FR"/>
        </w:rPr>
        <w:t>’</w:t>
      </w:r>
      <w:r w:rsidRPr="00640F03">
        <w:rPr>
          <w:lang w:val="fr-FR"/>
        </w:rPr>
        <w:t>occasion de la présente demande d</w:t>
      </w:r>
      <w:r w:rsidRPr="00640F03" w:rsidR="00640F03">
        <w:rPr>
          <w:lang w:val="fr-FR"/>
        </w:rPr>
        <w:t>’</w:t>
      </w:r>
      <w:r w:rsidRPr="00640F03">
        <w:rPr>
          <w:lang w:val="fr-FR"/>
        </w:rPr>
        <w:t>avis consultatif pour modifier son interprétation de certaines dispositions de la Convention afin de l</w:t>
      </w:r>
      <w:r w:rsidRPr="00640F03" w:rsidR="00640F03">
        <w:rPr>
          <w:lang w:val="fr-FR"/>
        </w:rPr>
        <w:t>’</w:t>
      </w:r>
      <w:r w:rsidRPr="00640F03">
        <w:rPr>
          <w:lang w:val="fr-FR"/>
        </w:rPr>
        <w:t>aligner sur la CNUDPH, puis interpréter l</w:t>
      </w:r>
      <w:r w:rsidRPr="00640F03" w:rsidR="00640F03">
        <w:rPr>
          <w:lang w:val="fr-FR"/>
        </w:rPr>
        <w:t>’</w:t>
      </w:r>
      <w:r w:rsidRPr="00640F03">
        <w:rPr>
          <w:lang w:val="fr-FR"/>
        </w:rPr>
        <w:t>article 7 de la Convention d</w:t>
      </w:r>
      <w:r w:rsidRPr="00640F03" w:rsidR="00640F03">
        <w:rPr>
          <w:lang w:val="fr-FR"/>
        </w:rPr>
        <w:t>’</w:t>
      </w:r>
      <w:r w:rsidRPr="00640F03">
        <w:rPr>
          <w:lang w:val="fr-FR"/>
        </w:rPr>
        <w:t>Oviedo de la même manière.</w:t>
      </w:r>
    </w:p>
    <w:bookmarkStart w:name="para64" w:id="34"/>
    <w:bookmarkEnd w:id="33"/>
    <w:p w:rsidRPr="00640F03" w:rsidR="000813A7" w:rsidP="00640F03" w:rsidRDefault="00F65C0E" w14:paraId="1D57FE01" w14:textId="0C61EBDE">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69</w:t>
      </w:r>
      <w:r w:rsidRPr="00640F03">
        <w:rPr>
          <w:lang w:val="fr-FR"/>
        </w:rPr>
        <w:fldChar w:fldCharType="end"/>
      </w:r>
      <w:bookmarkEnd w:id="34"/>
      <w:r w:rsidRPr="00640F03">
        <w:rPr>
          <w:lang w:val="fr-FR"/>
        </w:rPr>
        <w:t>.  </w:t>
      </w:r>
      <w:bookmarkStart w:name="_Hlk78383518" w:id="35"/>
      <w:r w:rsidRPr="00640F03" w:rsidR="006B7FB9">
        <w:rPr>
          <w:lang w:val="fr-FR"/>
        </w:rPr>
        <w:t>E</w:t>
      </w:r>
      <w:r w:rsidRPr="00640F03" w:rsidR="000813A7">
        <w:rPr>
          <w:lang w:val="fr-FR"/>
        </w:rPr>
        <w:t>u égard au degré de convergence entre les deux traités, particulièrement évident dans le domaine sur lequel porte la demande du DH</w:t>
      </w:r>
      <w:r w:rsidRPr="00640F03" w:rsidR="006B7FB9">
        <w:rPr>
          <w:lang w:val="fr-FR"/>
        </w:rPr>
        <w:noBreakHyphen/>
      </w:r>
      <w:r w:rsidRPr="00640F03" w:rsidR="000813A7">
        <w:rPr>
          <w:lang w:val="fr-FR"/>
        </w:rPr>
        <w:t>BIO</w:t>
      </w:r>
      <w:r w:rsidRPr="00640F03" w:rsidR="006B7FB9">
        <w:rPr>
          <w:lang w:val="fr-FR"/>
        </w:rPr>
        <w:t>, la Cour souhaite néanmoins f</w:t>
      </w:r>
      <w:r w:rsidRPr="00640F03" w:rsidR="00A17F4E">
        <w:rPr>
          <w:lang w:val="fr-FR"/>
        </w:rPr>
        <w:t xml:space="preserve">ormuler </w:t>
      </w:r>
      <w:r w:rsidRPr="00640F03" w:rsidR="006B7FB9">
        <w:rPr>
          <w:lang w:val="fr-FR"/>
        </w:rPr>
        <w:t>l</w:t>
      </w:r>
      <w:r w:rsidRPr="00640F03" w:rsidR="00640F03">
        <w:rPr>
          <w:lang w:val="fr-FR"/>
        </w:rPr>
        <w:t>’</w:t>
      </w:r>
      <w:r w:rsidRPr="00640F03" w:rsidR="006B7FB9">
        <w:rPr>
          <w:lang w:val="fr-FR"/>
        </w:rPr>
        <w:t xml:space="preserve">observation </w:t>
      </w:r>
      <w:r w:rsidRPr="00640F03" w:rsidR="00A17F4E">
        <w:rPr>
          <w:lang w:val="fr-FR"/>
        </w:rPr>
        <w:t>qui suit</w:t>
      </w:r>
      <w:r w:rsidRPr="00640F03" w:rsidR="000813A7">
        <w:rPr>
          <w:lang w:val="fr-FR"/>
        </w:rPr>
        <w:t>. Malgré le caractère distinct de la Convention d</w:t>
      </w:r>
      <w:r w:rsidRPr="00640F03" w:rsidR="00640F03">
        <w:rPr>
          <w:lang w:val="fr-FR"/>
        </w:rPr>
        <w:t>’</w:t>
      </w:r>
      <w:r w:rsidRPr="00640F03" w:rsidR="000813A7">
        <w:rPr>
          <w:lang w:val="fr-FR"/>
        </w:rPr>
        <w:t>Oviedo, les exigences qui découlent pour les États de son article</w:t>
      </w:r>
      <w:r w:rsidRPr="00640F03" w:rsidR="00AC0FB7">
        <w:rPr>
          <w:lang w:val="fr-FR"/>
        </w:rPr>
        <w:t xml:space="preserve"> </w:t>
      </w:r>
      <w:r w:rsidRPr="00640F03" w:rsidR="000813A7">
        <w:rPr>
          <w:lang w:val="fr-FR"/>
        </w:rPr>
        <w:t>7 devront en pratique s</w:t>
      </w:r>
      <w:r w:rsidRPr="00640F03" w:rsidR="00640F03">
        <w:rPr>
          <w:lang w:val="fr-FR"/>
        </w:rPr>
        <w:t>’</w:t>
      </w:r>
      <w:r w:rsidRPr="00640F03" w:rsidR="000813A7">
        <w:rPr>
          <w:lang w:val="fr-FR"/>
        </w:rPr>
        <w:t>appliquer en concomitance avec celles découlant de la Convention, d</w:t>
      </w:r>
      <w:r w:rsidRPr="00640F03" w:rsidR="00640F03">
        <w:rPr>
          <w:lang w:val="fr-FR"/>
        </w:rPr>
        <w:t>’</w:t>
      </w:r>
      <w:r w:rsidRPr="00640F03" w:rsidR="000813A7">
        <w:rPr>
          <w:lang w:val="fr-FR"/>
        </w:rPr>
        <w:t>autant que tous les États ayant ratifié la Convention d</w:t>
      </w:r>
      <w:r w:rsidRPr="00640F03" w:rsidR="00640F03">
        <w:rPr>
          <w:lang w:val="fr-FR"/>
        </w:rPr>
        <w:t>’</w:t>
      </w:r>
      <w:r w:rsidRPr="00640F03" w:rsidR="000813A7">
        <w:rPr>
          <w:lang w:val="fr-FR"/>
        </w:rPr>
        <w:t xml:space="preserve">Oviedo sont également liés par la Convention. Il en </w:t>
      </w:r>
      <w:r w:rsidRPr="00640F03" w:rsidR="008A4AA3">
        <w:rPr>
          <w:lang w:val="fr-FR"/>
        </w:rPr>
        <w:t>résulte</w:t>
      </w:r>
      <w:r w:rsidRPr="00640F03" w:rsidR="000813A7">
        <w:rPr>
          <w:lang w:val="fr-FR"/>
        </w:rPr>
        <w:t xml:space="preserve"> que les garanties prévues en droit interne qui correspondent aux « conditions de protection » exigées par l</w:t>
      </w:r>
      <w:r w:rsidRPr="00640F03" w:rsidR="00640F03">
        <w:rPr>
          <w:lang w:val="fr-FR"/>
        </w:rPr>
        <w:t>’</w:t>
      </w:r>
      <w:r w:rsidRPr="00640F03" w:rsidR="000813A7">
        <w:rPr>
          <w:lang w:val="fr-FR"/>
        </w:rPr>
        <w:t>article</w:t>
      </w:r>
      <w:r w:rsidRPr="00640F03" w:rsidR="00880805">
        <w:rPr>
          <w:lang w:val="fr-FR"/>
        </w:rPr>
        <w:t> </w:t>
      </w:r>
      <w:r w:rsidRPr="00640F03" w:rsidR="000813A7">
        <w:rPr>
          <w:lang w:val="fr-FR"/>
        </w:rPr>
        <w:t>7 de la Convention d</w:t>
      </w:r>
      <w:r w:rsidRPr="00640F03" w:rsidR="00640F03">
        <w:rPr>
          <w:lang w:val="fr-FR"/>
        </w:rPr>
        <w:t>’</w:t>
      </w:r>
      <w:r w:rsidRPr="00640F03" w:rsidR="000813A7">
        <w:rPr>
          <w:lang w:val="fr-FR"/>
        </w:rPr>
        <w:t>Oviedo doivent être de nature à satisfaire à tout le moins aux exigences des dispositions pertinentes de la Convention, telles qu</w:t>
      </w:r>
      <w:r w:rsidRPr="00640F03" w:rsidR="00640F03">
        <w:rPr>
          <w:lang w:val="fr-FR"/>
        </w:rPr>
        <w:t>’</w:t>
      </w:r>
      <w:r w:rsidRPr="00640F03" w:rsidR="000813A7">
        <w:rPr>
          <w:lang w:val="fr-FR"/>
        </w:rPr>
        <w:t>interprétées par la Cour dans sa jurisprudence, laquelle est abondante concernant le traitement des troubles mentaux. De surcroît, cette jurisprudence</w:t>
      </w:r>
      <w:r w:rsidRPr="00640F03" w:rsidR="00350E76">
        <w:rPr>
          <w:lang w:val="fr-FR"/>
        </w:rPr>
        <w:t xml:space="preserve"> de la Cour en la matière</w:t>
      </w:r>
      <w:r w:rsidRPr="00640F03" w:rsidR="000813A7">
        <w:rPr>
          <w:lang w:val="fr-FR"/>
        </w:rPr>
        <w:t xml:space="preserve"> se caractérise par une approche dynamique dans l</w:t>
      </w:r>
      <w:r w:rsidRPr="00640F03" w:rsidR="00640F03">
        <w:rPr>
          <w:lang w:val="fr-FR"/>
        </w:rPr>
        <w:t>’</w:t>
      </w:r>
      <w:r w:rsidRPr="00640F03" w:rsidR="000813A7">
        <w:rPr>
          <w:lang w:val="fr-FR"/>
        </w:rPr>
        <w:t xml:space="preserve">interprétation de la Convention, </w:t>
      </w:r>
      <w:r w:rsidRPr="00640F03" w:rsidR="00A17F4E">
        <w:rPr>
          <w:lang w:val="fr-FR"/>
        </w:rPr>
        <w:t xml:space="preserve">guidée notamment par </w:t>
      </w:r>
      <w:r w:rsidRPr="00640F03" w:rsidR="000813A7">
        <w:rPr>
          <w:lang w:val="fr-FR"/>
        </w:rPr>
        <w:t>de</w:t>
      </w:r>
      <w:r w:rsidRPr="00640F03" w:rsidR="00A17F4E">
        <w:rPr>
          <w:lang w:val="fr-FR"/>
        </w:rPr>
        <w:t>s</w:t>
      </w:r>
      <w:r w:rsidRPr="00640F03" w:rsidR="000813A7">
        <w:rPr>
          <w:lang w:val="fr-FR"/>
        </w:rPr>
        <w:t xml:space="preserve"> normes juridiques et médicales en évolution constante</w:t>
      </w:r>
      <w:r w:rsidRPr="00640F03" w:rsidR="00350E76">
        <w:rPr>
          <w:lang w:val="fr-FR"/>
        </w:rPr>
        <w:t>,</w:t>
      </w:r>
      <w:r w:rsidRPr="00640F03" w:rsidR="000813A7">
        <w:rPr>
          <w:lang w:val="fr-FR"/>
        </w:rPr>
        <w:t xml:space="preserve"> tant au niveau national qu</w:t>
      </w:r>
      <w:r w:rsidRPr="00640F03" w:rsidR="00640F03">
        <w:rPr>
          <w:lang w:val="fr-FR"/>
        </w:rPr>
        <w:t>’</w:t>
      </w:r>
      <w:r w:rsidRPr="00640F03" w:rsidR="00645A90">
        <w:rPr>
          <w:lang w:val="fr-FR"/>
        </w:rPr>
        <w:t xml:space="preserve">au niveau </w:t>
      </w:r>
      <w:r w:rsidRPr="00640F03" w:rsidR="000813A7">
        <w:rPr>
          <w:lang w:val="fr-FR"/>
        </w:rPr>
        <w:t>international. Les autorités nationales compétentes doivent donc</w:t>
      </w:r>
      <w:r w:rsidRPr="00640F03" w:rsidR="00A17F4E">
        <w:rPr>
          <w:lang w:val="fr-FR"/>
        </w:rPr>
        <w:t xml:space="preserve"> au minimum</w:t>
      </w:r>
      <w:r w:rsidRPr="00640F03" w:rsidR="000813A7">
        <w:rPr>
          <w:lang w:val="fr-FR"/>
        </w:rPr>
        <w:t xml:space="preserve"> </w:t>
      </w:r>
      <w:r w:rsidRPr="00640F03" w:rsidR="00256CE9">
        <w:rPr>
          <w:lang w:val="fr-FR"/>
        </w:rPr>
        <w:t>s</w:t>
      </w:r>
      <w:r w:rsidRPr="00640F03" w:rsidR="00640F03">
        <w:rPr>
          <w:lang w:val="fr-FR"/>
        </w:rPr>
        <w:t>’</w:t>
      </w:r>
      <w:r w:rsidRPr="00640F03" w:rsidR="00256CE9">
        <w:rPr>
          <w:lang w:val="fr-FR"/>
        </w:rPr>
        <w:t xml:space="preserve">assurer </w:t>
      </w:r>
      <w:r w:rsidRPr="00640F03" w:rsidR="000813A7">
        <w:rPr>
          <w:lang w:val="fr-FR"/>
        </w:rPr>
        <w:t>que leur droit interne est et demeure pleinement conforme aux normes pertinentes découlant de la Convention</w:t>
      </w:r>
      <w:r w:rsidRPr="00640F03" w:rsidR="00153219">
        <w:rPr>
          <w:lang w:val="fr-FR"/>
        </w:rPr>
        <w:t>, notamment à celles qui font peser des obligations positives sur les États</w:t>
      </w:r>
      <w:r w:rsidRPr="00640F03" w:rsidR="000813A7">
        <w:rPr>
          <w:lang w:val="fr-FR"/>
        </w:rPr>
        <w:t>.</w:t>
      </w:r>
      <w:bookmarkEnd w:id="35"/>
    </w:p>
    <w:p w:rsidRPr="00640F03" w:rsidR="000813A7" w:rsidP="00640F03" w:rsidRDefault="000813A7" w14:paraId="2B082DA2" w14:textId="7AC2640D">
      <w:pPr>
        <w:pStyle w:val="JuPara"/>
        <w:rPr>
          <w:lang w:val="fr-FR"/>
        </w:rPr>
      </w:pPr>
      <w:r w:rsidRPr="00640F03">
        <w:rPr>
          <w:lang w:val="fr-FR"/>
        </w:rPr>
        <w:fldChar w:fldCharType="begin"/>
      </w:r>
      <w:r w:rsidRPr="00640F03">
        <w:rPr>
          <w:lang w:val="fr-FR"/>
        </w:rPr>
        <w:instrText xml:space="preserve"> SEQ level0 \*arabic \* MERGEFORMAT </w:instrText>
      </w:r>
      <w:r w:rsidRPr="00640F03">
        <w:rPr>
          <w:lang w:val="fr-FR"/>
        </w:rPr>
        <w:fldChar w:fldCharType="separate"/>
      </w:r>
      <w:r w:rsidRPr="00640F03" w:rsidR="00640F03">
        <w:rPr>
          <w:noProof/>
          <w:lang w:val="fr-FR"/>
        </w:rPr>
        <w:t>70</w:t>
      </w:r>
      <w:r w:rsidRPr="00640F03">
        <w:rPr>
          <w:lang w:val="fr-FR"/>
        </w:rPr>
        <w:fldChar w:fldCharType="end"/>
      </w:r>
      <w:r w:rsidRPr="00640F03">
        <w:rPr>
          <w:lang w:val="fr-FR"/>
        </w:rPr>
        <w:t>.  </w:t>
      </w:r>
      <w:bookmarkStart w:name="_Hlk81844277" w:id="36"/>
      <w:r w:rsidRPr="00640F03" w:rsidR="00153219">
        <w:rPr>
          <w:lang w:val="fr-FR"/>
        </w:rPr>
        <w:t xml:space="preserve">Pour les raisons exposées ci-dessus, </w:t>
      </w:r>
      <w:r w:rsidRPr="00640F03">
        <w:rPr>
          <w:lang w:val="fr-FR"/>
        </w:rPr>
        <w:t>ni l</w:t>
      </w:r>
      <w:r w:rsidRPr="00640F03" w:rsidR="00640F03">
        <w:rPr>
          <w:lang w:val="fr-FR"/>
        </w:rPr>
        <w:t>’</w:t>
      </w:r>
      <w:r w:rsidRPr="00640F03">
        <w:rPr>
          <w:lang w:val="fr-FR"/>
        </w:rPr>
        <w:t>établissement d</w:t>
      </w:r>
      <w:r w:rsidRPr="00640F03" w:rsidR="00640F03">
        <w:rPr>
          <w:lang w:val="fr-FR"/>
        </w:rPr>
        <w:t>’</w:t>
      </w:r>
      <w:r w:rsidRPr="00640F03">
        <w:rPr>
          <w:lang w:val="fr-FR"/>
        </w:rPr>
        <w:t>exigences minimales à prévoir dans la loi, au sens de l</w:t>
      </w:r>
      <w:r w:rsidRPr="00640F03" w:rsidR="00640F03">
        <w:rPr>
          <w:lang w:val="fr-FR"/>
        </w:rPr>
        <w:t>’</w:t>
      </w:r>
      <w:r w:rsidRPr="00640F03">
        <w:rPr>
          <w:lang w:val="fr-FR"/>
        </w:rPr>
        <w:t>article</w:t>
      </w:r>
      <w:r w:rsidRPr="00640F03" w:rsidR="00850B29">
        <w:rPr>
          <w:lang w:val="fr-FR"/>
        </w:rPr>
        <w:t> </w:t>
      </w:r>
      <w:r w:rsidRPr="00640F03">
        <w:rPr>
          <w:lang w:val="fr-FR"/>
        </w:rPr>
        <w:t>7 de la Convention d</w:t>
      </w:r>
      <w:r w:rsidRPr="00640F03" w:rsidR="00640F03">
        <w:rPr>
          <w:lang w:val="fr-FR"/>
        </w:rPr>
        <w:t>’</w:t>
      </w:r>
      <w:r w:rsidRPr="00640F03">
        <w:rPr>
          <w:lang w:val="fr-FR"/>
        </w:rPr>
        <w:t>Oviedo (question 1), ni des « éclaircissements » quant à ces exigences sur la base de la jurisprudence de la Cour relative aux mesures non consenties de traitement de personnes souffrant de troubles mentaux (voir les commentaires du DH-BIO sur la question 1) ne peuvent faire l</w:t>
      </w:r>
      <w:r w:rsidRPr="00640F03" w:rsidR="00640F03">
        <w:rPr>
          <w:lang w:val="fr-FR"/>
        </w:rPr>
        <w:t>’</w:t>
      </w:r>
      <w:r w:rsidRPr="00640F03">
        <w:rPr>
          <w:lang w:val="fr-FR"/>
        </w:rPr>
        <w:t>objet de l</w:t>
      </w:r>
      <w:r w:rsidRPr="00640F03" w:rsidR="00640F03">
        <w:rPr>
          <w:lang w:val="fr-FR"/>
        </w:rPr>
        <w:t>’</w:t>
      </w:r>
      <w:r w:rsidRPr="00640F03">
        <w:rPr>
          <w:lang w:val="fr-FR"/>
        </w:rPr>
        <w:t>avis consultatif demandé au titre de l</w:t>
      </w:r>
      <w:r w:rsidRPr="00640F03" w:rsidR="00640F03">
        <w:rPr>
          <w:lang w:val="fr-FR"/>
        </w:rPr>
        <w:t>’</w:t>
      </w:r>
      <w:r w:rsidRPr="00640F03">
        <w:rPr>
          <w:lang w:val="fr-FR"/>
        </w:rPr>
        <w:t>article</w:t>
      </w:r>
      <w:r w:rsidRPr="00640F03" w:rsidR="00850B29">
        <w:rPr>
          <w:lang w:val="fr-FR"/>
        </w:rPr>
        <w:t> </w:t>
      </w:r>
      <w:r w:rsidRPr="00640F03">
        <w:rPr>
          <w:lang w:val="fr-FR"/>
        </w:rPr>
        <w:t>29 de cet instrument. La question</w:t>
      </w:r>
      <w:r w:rsidRPr="00640F03" w:rsidR="00E41685">
        <w:rPr>
          <w:lang w:val="fr-FR"/>
        </w:rPr>
        <w:t> </w:t>
      </w:r>
      <w:r w:rsidRPr="00640F03">
        <w:rPr>
          <w:lang w:val="fr-FR"/>
        </w:rPr>
        <w:t>1 ne relève donc pas de la compétence de la Cour.</w:t>
      </w:r>
      <w:bookmarkEnd w:id="36"/>
    </w:p>
    <w:p w:rsidRPr="00640F03" w:rsidR="005C5DF1" w:rsidP="00640F03" w:rsidRDefault="005C5DF1" w14:paraId="76C4F5F6" w14:textId="3F99CBB1">
      <w:pPr>
        <w:pStyle w:val="JuHi"/>
        <w:tabs>
          <w:tab w:val="clear" w:pos="1077"/>
          <w:tab w:val="clear" w:pos="1134"/>
          <w:tab w:val="clear" w:pos="1191"/>
          <w:tab w:val="clear" w:pos="1247"/>
        </w:tabs>
      </w:pPr>
      <w:r w:rsidRPr="00640F03">
        <w:t>Question 2</w:t>
      </w:r>
    </w:p>
    <w:p w:rsidRPr="00640F03" w:rsidR="00F6518C" w:rsidP="00640F03" w:rsidRDefault="00F6518C" w14:paraId="6BFCEFD7" w14:textId="1F49C51D">
      <w:pPr>
        <w:pStyle w:val="JuPara"/>
        <w:rPr>
          <w:lang w:val="fr-FR"/>
        </w:rPr>
      </w:pPr>
      <w:r w:rsidRPr="00640F03">
        <w:rPr>
          <w:lang w:val="fr-FR"/>
        </w:rPr>
        <w:fldChar w:fldCharType="begin"/>
      </w:r>
      <w:r w:rsidRPr="00640F03">
        <w:rPr>
          <w:lang w:val="fr-FR"/>
        </w:rPr>
        <w:instrText xml:space="preserve"> SEQ level0 \*arabic </w:instrText>
      </w:r>
      <w:r w:rsidRPr="00640F03">
        <w:rPr>
          <w:lang w:val="fr-FR"/>
        </w:rPr>
        <w:fldChar w:fldCharType="separate"/>
      </w:r>
      <w:r w:rsidRPr="00640F03" w:rsidR="00640F03">
        <w:rPr>
          <w:noProof/>
          <w:lang w:val="fr-FR"/>
        </w:rPr>
        <w:t>71</w:t>
      </w:r>
      <w:r w:rsidRPr="00640F03">
        <w:rPr>
          <w:lang w:val="fr-FR"/>
        </w:rPr>
        <w:fldChar w:fldCharType="end"/>
      </w:r>
      <w:r w:rsidRPr="00640F03">
        <w:rPr>
          <w:lang w:val="fr-FR"/>
        </w:rPr>
        <w:t>.  </w:t>
      </w:r>
      <w:bookmarkStart w:name="_Hlk81844324" w:id="37"/>
      <w:r w:rsidRPr="00640F03" w:rsidR="006B7FB9">
        <w:rPr>
          <w:lang w:val="fr-FR"/>
        </w:rPr>
        <w:t>En ce qui concerne la question</w:t>
      </w:r>
      <w:r w:rsidRPr="00640F03" w:rsidR="00E41685">
        <w:rPr>
          <w:lang w:val="fr-FR"/>
        </w:rPr>
        <w:t> </w:t>
      </w:r>
      <w:r w:rsidRPr="00640F03" w:rsidR="006B7FB9">
        <w:rPr>
          <w:lang w:val="fr-FR"/>
        </w:rPr>
        <w:t>2, qui résulte de la première et y est étroitement liée, l</w:t>
      </w:r>
      <w:r w:rsidRPr="00640F03" w:rsidR="00153219">
        <w:rPr>
          <w:lang w:val="fr-FR"/>
        </w:rPr>
        <w:t>a Cour considère de même qu</w:t>
      </w:r>
      <w:r w:rsidRPr="00640F03" w:rsidR="00640F03">
        <w:rPr>
          <w:lang w:val="fr-FR"/>
        </w:rPr>
        <w:t>’</w:t>
      </w:r>
      <w:r w:rsidRPr="00640F03" w:rsidR="00153219">
        <w:rPr>
          <w:lang w:val="fr-FR"/>
        </w:rPr>
        <w:t>il n</w:t>
      </w:r>
      <w:r w:rsidRPr="00640F03" w:rsidR="00640F03">
        <w:rPr>
          <w:lang w:val="fr-FR"/>
        </w:rPr>
        <w:t>’</w:t>
      </w:r>
      <w:r w:rsidRPr="00640F03" w:rsidR="00153219">
        <w:rPr>
          <w:lang w:val="fr-FR"/>
        </w:rPr>
        <w:t>est pas de sa compétence d</w:t>
      </w:r>
      <w:r w:rsidRPr="00640F03" w:rsidR="00640F03">
        <w:rPr>
          <w:lang w:val="fr-FR"/>
        </w:rPr>
        <w:t>’</w:t>
      </w:r>
      <w:r w:rsidRPr="00640F03" w:rsidR="006B7FB9">
        <w:rPr>
          <w:lang w:val="fr-FR"/>
        </w:rPr>
        <w:t>y</w:t>
      </w:r>
      <w:r w:rsidRPr="00640F03" w:rsidR="00153219">
        <w:rPr>
          <w:lang w:val="fr-FR"/>
        </w:rPr>
        <w:t xml:space="preserve"> répondre</w:t>
      </w:r>
      <w:bookmarkEnd w:id="37"/>
      <w:r w:rsidRPr="00640F03" w:rsidR="00153219">
        <w:rPr>
          <w:lang w:val="fr-FR"/>
        </w:rPr>
        <w:t>.</w:t>
      </w:r>
    </w:p>
    <w:p w:rsidRPr="00640F03" w:rsidR="00F6518C" w:rsidP="00640F03" w:rsidRDefault="00153219" w14:paraId="6189ED43" w14:textId="5423034B">
      <w:pPr>
        <w:pStyle w:val="JuParaLast"/>
        <w:rPr>
          <w:rFonts w:eastAsia="MingLiU"/>
          <w:sz w:val="28"/>
          <w:szCs w:val="28"/>
          <w:lang w:val="fr-FR"/>
        </w:rPr>
      </w:pPr>
      <w:bookmarkStart w:name="_Toc61622465" w:id="38"/>
      <w:r w:rsidRPr="00640F03">
        <w:rPr>
          <w:rFonts w:eastAsia="MingLiU"/>
          <w:sz w:val="28"/>
          <w:szCs w:val="28"/>
          <w:lang w:val="fr-FR"/>
        </w:rPr>
        <w:t>P</w:t>
      </w:r>
      <w:r w:rsidRPr="00640F03" w:rsidR="00754D8D">
        <w:rPr>
          <w:rFonts w:eastAsia="MingLiU"/>
          <w:sz w:val="28"/>
          <w:szCs w:val="28"/>
          <w:lang w:val="fr-FR"/>
        </w:rPr>
        <w:t xml:space="preserve">AR CES MOTIFS, LA COUR, </w:t>
      </w:r>
      <w:r w:rsidRPr="00640F03" w:rsidR="00754D8D">
        <w:rPr>
          <w:rFonts w:eastAsia="MingLiU" w:cstheme="minorHAnsi"/>
          <w:sz w:val="28"/>
          <w:szCs w:val="28"/>
          <w:lang w:val="fr-FR"/>
        </w:rPr>
        <w:t>À</w:t>
      </w:r>
      <w:r w:rsidRPr="00640F03" w:rsidR="00754D8D">
        <w:rPr>
          <w:rFonts w:eastAsia="MingLiU"/>
          <w:sz w:val="28"/>
          <w:szCs w:val="28"/>
          <w:lang w:val="fr-FR"/>
        </w:rPr>
        <w:t xml:space="preserve"> LA MAJORIT</w:t>
      </w:r>
      <w:r w:rsidRPr="00640F03" w:rsidR="00754D8D">
        <w:rPr>
          <w:rFonts w:eastAsia="MingLiU" w:cstheme="minorHAnsi"/>
          <w:sz w:val="28"/>
          <w:szCs w:val="28"/>
          <w:lang w:val="fr-FR"/>
        </w:rPr>
        <w:t>É</w:t>
      </w:r>
      <w:r w:rsidRPr="00640F03" w:rsidR="00754D8D">
        <w:rPr>
          <w:rFonts w:eastAsia="MingLiU"/>
          <w:sz w:val="28"/>
          <w:szCs w:val="28"/>
          <w:lang w:val="fr-FR"/>
        </w:rPr>
        <w:t>,</w:t>
      </w:r>
      <w:bookmarkEnd w:id="38"/>
    </w:p>
    <w:p w:rsidRPr="00640F03" w:rsidR="00F6518C" w:rsidP="00640F03" w:rsidRDefault="00153219" w14:paraId="035FFB62" w14:textId="293C22AB">
      <w:pPr>
        <w:pStyle w:val="JuList"/>
        <w:numPr>
          <w:ilvl w:val="0"/>
          <w:numId w:val="0"/>
        </w:numPr>
        <w:ind w:left="340"/>
        <w:rPr>
          <w:rFonts w:eastAsia="Times New Roman"/>
          <w:lang w:val="fr-FR"/>
        </w:rPr>
      </w:pPr>
      <w:r w:rsidRPr="00640F03">
        <w:rPr>
          <w:rFonts w:eastAsia="Times New Roman"/>
          <w:i/>
          <w:lang w:val="fr-FR"/>
        </w:rPr>
        <w:t xml:space="preserve">Décide </w:t>
      </w:r>
      <w:r w:rsidRPr="00640F03">
        <w:rPr>
          <w:rFonts w:eastAsia="Times New Roman"/>
          <w:lang w:val="fr-FR"/>
        </w:rPr>
        <w:t>que la demande d</w:t>
      </w:r>
      <w:r w:rsidRPr="00640F03" w:rsidR="00640F03">
        <w:rPr>
          <w:rFonts w:eastAsia="Times New Roman"/>
          <w:lang w:val="fr-FR"/>
        </w:rPr>
        <w:t>’</w:t>
      </w:r>
      <w:r w:rsidRPr="00640F03">
        <w:rPr>
          <w:rFonts w:eastAsia="Times New Roman"/>
          <w:lang w:val="fr-FR"/>
        </w:rPr>
        <w:t>avis consultatif au titre de l</w:t>
      </w:r>
      <w:r w:rsidRPr="00640F03" w:rsidR="00640F03">
        <w:rPr>
          <w:rFonts w:eastAsia="Times New Roman"/>
          <w:lang w:val="fr-FR"/>
        </w:rPr>
        <w:t>’</w:t>
      </w:r>
      <w:r w:rsidRPr="00640F03">
        <w:rPr>
          <w:rFonts w:eastAsia="Times New Roman"/>
          <w:lang w:val="fr-FR"/>
        </w:rPr>
        <w:t>article</w:t>
      </w:r>
      <w:r w:rsidRPr="00640F03" w:rsidR="00E41685">
        <w:rPr>
          <w:rFonts w:eastAsia="Times New Roman"/>
          <w:lang w:val="fr-FR"/>
        </w:rPr>
        <w:t> </w:t>
      </w:r>
      <w:r w:rsidRPr="00640F03">
        <w:rPr>
          <w:rFonts w:eastAsia="Times New Roman"/>
          <w:lang w:val="fr-FR"/>
        </w:rPr>
        <w:t>29 de la Convention d</w:t>
      </w:r>
      <w:r w:rsidRPr="00640F03" w:rsidR="00640F03">
        <w:rPr>
          <w:rFonts w:eastAsia="Times New Roman"/>
          <w:lang w:val="fr-FR"/>
        </w:rPr>
        <w:t>’</w:t>
      </w:r>
      <w:r w:rsidRPr="00640F03">
        <w:rPr>
          <w:rFonts w:eastAsia="Times New Roman"/>
          <w:lang w:val="fr-FR"/>
        </w:rPr>
        <w:t>Oviedo ne relève pas de sa compétence.</w:t>
      </w:r>
    </w:p>
    <w:p w:rsidRPr="00640F03" w:rsidR="00F6518C" w:rsidP="00640F03" w:rsidRDefault="00153219" w14:paraId="143BA27D" w14:textId="7A40950D">
      <w:pPr>
        <w:pStyle w:val="JuParaLast"/>
        <w:rPr>
          <w:lang w:val="fr-FR"/>
        </w:rPr>
      </w:pPr>
      <w:r w:rsidRPr="00640F03">
        <w:rPr>
          <w:lang w:val="fr-FR"/>
        </w:rPr>
        <w:t xml:space="preserve">Fait en français et en anglais, puis communiqué par écrit le </w:t>
      </w:r>
      <w:r w:rsidRPr="00640F03" w:rsidR="006E3B0B">
        <w:rPr>
          <w:lang w:val="fr-FR"/>
        </w:rPr>
        <w:t>15</w:t>
      </w:r>
      <w:r w:rsidRPr="00640F03" w:rsidR="0080062E">
        <w:rPr>
          <w:lang w:val="fr-FR"/>
        </w:rPr>
        <w:t> </w:t>
      </w:r>
      <w:r w:rsidRPr="00640F03" w:rsidR="006E3B0B">
        <w:rPr>
          <w:lang w:val="fr-FR"/>
        </w:rPr>
        <w:t>septembre</w:t>
      </w:r>
      <w:r w:rsidRPr="00640F03" w:rsidR="0080062E">
        <w:rPr>
          <w:lang w:val="fr-FR"/>
        </w:rPr>
        <w:t> </w:t>
      </w:r>
      <w:r w:rsidRPr="00640F03">
        <w:rPr>
          <w:lang w:val="fr-FR"/>
        </w:rPr>
        <w:t>2021.</w:t>
      </w:r>
    </w:p>
    <w:p w:rsidRPr="00640F03" w:rsidR="00B6683B" w:rsidP="00640F03" w:rsidRDefault="0080062E" w14:paraId="357A1898" w14:textId="22D7197A">
      <w:pPr>
        <w:pStyle w:val="Left"/>
      </w:pPr>
      <w:r w:rsidRPr="00640F03">
        <w:tab/>
      </w:r>
      <w:r w:rsidRPr="00640F03" w:rsidR="00F6518C">
        <w:t>Johan Callewaert</w:t>
      </w:r>
      <w:r w:rsidRPr="00640F03" w:rsidR="00BC0B44">
        <w:tab/>
      </w:r>
      <w:r w:rsidRPr="00640F03" w:rsidR="00F6518C">
        <w:t>Robert Spano</w:t>
      </w:r>
      <w:r w:rsidRPr="00640F03" w:rsidR="00F6518C">
        <w:br/>
      </w:r>
      <w:r w:rsidRPr="00640F03" w:rsidR="00153219">
        <w:rPr>
          <w:iCs/>
        </w:rPr>
        <w:t>Adjoint à la greffière</w:t>
      </w:r>
      <w:r w:rsidRPr="00640F03" w:rsidR="00F6518C">
        <w:tab/>
        <w:t>Pr</w:t>
      </w:r>
      <w:r w:rsidRPr="00640F03" w:rsidR="00153219">
        <w:t>é</w:t>
      </w:r>
      <w:r w:rsidRPr="00640F03" w:rsidR="00F6518C">
        <w:t>sident</w:t>
      </w:r>
    </w:p>
    <w:p w:rsidRPr="00640F03" w:rsidR="000F7873" w:rsidP="00640F03" w:rsidRDefault="000F7873" w14:paraId="2F2A9065" w14:textId="0EF23CA6">
      <w:pPr>
        <w:pStyle w:val="JuPara"/>
        <w:rPr>
          <w:lang w:val="fr-FR"/>
        </w:rPr>
      </w:pPr>
    </w:p>
    <w:p w:rsidRPr="00640F03" w:rsidR="00516256" w:rsidP="00640F03" w:rsidRDefault="00516256" w14:paraId="40383770" w14:textId="77777777">
      <w:pPr>
        <w:rPr>
          <w:lang w:val="fr-FR"/>
        </w:rPr>
      </w:pPr>
      <w:bookmarkStart w:name="_Hlk81419667" w:id="39"/>
      <w:r w:rsidRPr="00640F03">
        <w:rPr>
          <w:lang w:val="fr-FR"/>
        </w:rPr>
        <w:br w:type="page"/>
      </w:r>
    </w:p>
    <w:p w:rsidRPr="00640F03" w:rsidR="000F7873" w:rsidP="00640F03" w:rsidRDefault="00FC4608" w14:paraId="7211860B" w14:textId="5F91DDEC">
      <w:pPr>
        <w:pStyle w:val="JuPara"/>
        <w:rPr>
          <w:lang w:val="fr-FR"/>
        </w:rPr>
      </w:pPr>
      <w:r w:rsidRPr="00640F03">
        <w:rPr>
          <w:lang w:val="fr-FR"/>
        </w:rPr>
        <w:t>À la</w:t>
      </w:r>
      <w:r w:rsidRPr="00640F03" w:rsidR="000F7873">
        <w:rPr>
          <w:lang w:val="fr-FR"/>
        </w:rPr>
        <w:t xml:space="preserve"> présent</w:t>
      </w:r>
      <w:r w:rsidRPr="00640F03" w:rsidR="00E41685">
        <w:rPr>
          <w:lang w:val="fr-FR"/>
        </w:rPr>
        <w:t>e</w:t>
      </w:r>
      <w:r w:rsidRPr="00640F03" w:rsidR="000F7873">
        <w:rPr>
          <w:lang w:val="fr-FR"/>
        </w:rPr>
        <w:t xml:space="preserve"> décision se trouve joint, conformément </w:t>
      </w:r>
      <w:r w:rsidRPr="00640F03" w:rsidR="00A17B3E">
        <w:rPr>
          <w:lang w:val="fr-FR"/>
        </w:rPr>
        <w:t>à l</w:t>
      </w:r>
      <w:r w:rsidRPr="00640F03" w:rsidR="00640F03">
        <w:rPr>
          <w:lang w:val="fr-FR"/>
        </w:rPr>
        <w:t>’</w:t>
      </w:r>
      <w:r w:rsidRPr="00640F03" w:rsidR="00A17B3E">
        <w:rPr>
          <w:lang w:val="fr-FR"/>
        </w:rPr>
        <w:t xml:space="preserve">article 88 </w:t>
      </w:r>
      <w:r w:rsidRPr="00640F03" w:rsidR="000F7873">
        <w:rPr>
          <w:lang w:val="fr-FR"/>
        </w:rPr>
        <w:t>§ 2 du règlement</w:t>
      </w:r>
      <w:r w:rsidRPr="00640F03" w:rsidR="00A17B3E">
        <w:rPr>
          <w:lang w:val="fr-FR"/>
        </w:rPr>
        <w:t xml:space="preserve"> (par analogie)</w:t>
      </w:r>
      <w:r w:rsidRPr="00640F03" w:rsidR="000F7873">
        <w:rPr>
          <w:lang w:val="fr-FR"/>
        </w:rPr>
        <w:t>, l</w:t>
      </w:r>
      <w:r w:rsidRPr="00640F03" w:rsidR="00640F03">
        <w:rPr>
          <w:lang w:val="fr-FR"/>
        </w:rPr>
        <w:t>’</w:t>
      </w:r>
      <w:r w:rsidRPr="00640F03" w:rsidR="000F7873">
        <w:rPr>
          <w:lang w:val="fr-FR"/>
        </w:rPr>
        <w:t>exposé de l</w:t>
      </w:r>
      <w:r w:rsidRPr="00640F03" w:rsidR="00640F03">
        <w:rPr>
          <w:lang w:val="fr-FR"/>
        </w:rPr>
        <w:t>’</w:t>
      </w:r>
      <w:r w:rsidRPr="00640F03" w:rsidR="000F7873">
        <w:rPr>
          <w:lang w:val="fr-FR"/>
        </w:rPr>
        <w:t>opinion séparée commune aux juges Lemmens, Grozev, Eicke et Schembri Orland.</w:t>
      </w:r>
    </w:p>
    <w:bookmarkEnd w:id="39"/>
    <w:p w:rsidRPr="00640F03" w:rsidR="0003196A" w:rsidP="00640F03" w:rsidRDefault="00782232" w14:paraId="054298CC" w14:textId="2476AB9D">
      <w:pPr>
        <w:pStyle w:val="JuInitialled"/>
        <w:rPr>
          <w:lang w:val="fr-FR"/>
        </w:rPr>
      </w:pPr>
      <w:r w:rsidRPr="00640F03">
        <w:rPr>
          <w:lang w:val="fr-FR"/>
        </w:rPr>
        <w:t>R.S.</w:t>
      </w:r>
      <w:r w:rsidRPr="00640F03" w:rsidR="000F7873">
        <w:rPr>
          <w:lang w:val="fr-FR"/>
        </w:rPr>
        <w:t>O.</w:t>
      </w:r>
      <w:r w:rsidRPr="00640F03" w:rsidR="0003196A">
        <w:rPr>
          <w:lang w:val="fr-FR"/>
        </w:rPr>
        <w:br/>
      </w:r>
      <w:r w:rsidRPr="00640F03">
        <w:rPr>
          <w:lang w:val="fr-FR"/>
        </w:rPr>
        <w:t>J.C.</w:t>
      </w:r>
    </w:p>
    <w:p w:rsidRPr="00640F03" w:rsidR="0003196A" w:rsidP="00640F03" w:rsidRDefault="0003196A" w14:paraId="2104605C" w14:textId="77777777">
      <w:pPr>
        <w:tabs>
          <w:tab w:val="center" w:pos="1134"/>
          <w:tab w:val="center" w:pos="6407"/>
        </w:tabs>
        <w:spacing w:before="720"/>
        <w:rPr>
          <w:rFonts w:ascii="Times New Roman" w:hAnsi="Times New Roman" w:eastAsia="Times New Roman" w:cs="Times New Roman"/>
          <w:lang w:val="fr-FR"/>
        </w:rPr>
        <w:sectPr w:rsidRPr="00640F03" w:rsidR="0003196A" w:rsidSect="00A03680">
          <w:headerReference w:type="even" r:id="rId11"/>
          <w:headerReference w:type="default" r:id="rId12"/>
          <w:footerReference w:type="default" r:id="rId13"/>
          <w:headerReference w:type="first" r:id="rId14"/>
          <w:footerReference w:type="first" r:id="rId15"/>
          <w:endnotePr>
            <w:numFmt w:val="decimal"/>
          </w:endnotePr>
          <w:pgSz w:w="11907" w:h="16840" w:code="9"/>
          <w:pgMar w:top="2126" w:right="2274" w:bottom="2274" w:left="2274" w:header="1701" w:footer="720" w:gutter="0"/>
          <w:pgNumType w:start="1"/>
          <w:cols w:space="708"/>
          <w:docGrid w:linePitch="360"/>
        </w:sectPr>
      </w:pPr>
    </w:p>
    <w:p w:rsidRPr="00640F03" w:rsidR="0003196A" w:rsidP="00640F03" w:rsidRDefault="0003196A" w14:paraId="04C38125" w14:textId="77777777">
      <w:pPr>
        <w:pStyle w:val="DecHTitle"/>
        <w:rPr>
          <w:rFonts w:eastAsia="Times New Roman"/>
          <w:lang w:val="fr-FR"/>
        </w:rPr>
      </w:pPr>
      <w:r w:rsidRPr="00640F03">
        <w:rPr>
          <w:rFonts w:eastAsia="Times New Roman"/>
          <w:lang w:val="fr-FR"/>
        </w:rPr>
        <w:t>OPINION DISSIDENTE COMMUNE AUX JUGES LEMMENS, GROZEV, EICKE ET SCHEMBRI ORLAND</w:t>
      </w:r>
    </w:p>
    <w:p w:rsidRPr="00640F03" w:rsidR="0003196A" w:rsidP="00640F03" w:rsidRDefault="0003196A" w14:paraId="77C4E36C" w14:textId="651693B1">
      <w:pPr>
        <w:pStyle w:val="ECHRCoverTitle4"/>
        <w:spacing w:after="120"/>
        <w:rPr>
          <w:rFonts w:eastAsia="Times New Roman"/>
          <w:lang w:val="fr-FR"/>
        </w:rPr>
      </w:pPr>
      <w:r w:rsidRPr="00640F03">
        <w:rPr>
          <w:rFonts w:eastAsia="Times New Roman"/>
          <w:lang w:val="fr-FR"/>
        </w:rPr>
        <w:t>(Traduction)</w:t>
      </w:r>
    </w:p>
    <w:p w:rsidRPr="00640F03" w:rsidR="0003196A" w:rsidP="00640F03" w:rsidRDefault="002B16D0" w14:paraId="08A8CD6D" w14:textId="2879A1CC">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sidR="00EE1D70">
        <w:rPr>
          <w:lang w:val="fr-FR"/>
        </w:rPr>
        <w:t>  </w:t>
      </w:r>
      <w:r w:rsidRPr="00640F03" w:rsidR="0003196A">
        <w:rPr>
          <w:lang w:val="fr-FR"/>
        </w:rPr>
        <w:t>Nous regrettons de ne pouvoir partager la conclusion de la majorité selon laquelle la présente demande d</w:t>
      </w:r>
      <w:r w:rsidRPr="00640F03" w:rsidR="00640F03">
        <w:rPr>
          <w:lang w:val="fr-FR"/>
        </w:rPr>
        <w:t>’</w:t>
      </w:r>
      <w:r w:rsidRPr="00640F03" w:rsidR="0003196A">
        <w:rPr>
          <w:lang w:val="fr-FR"/>
        </w:rPr>
        <w:t>avis consultatif ne relève pas de la compétence de la Cour.</w:t>
      </w:r>
    </w:p>
    <w:p w:rsidRPr="00640F03" w:rsidR="0003196A" w:rsidP="00640F03" w:rsidRDefault="0003196A" w14:paraId="2235CBB0" w14:textId="4D943A30">
      <w:pPr>
        <w:pStyle w:val="JuPara"/>
        <w:rPr>
          <w:lang w:val="fr-FR"/>
        </w:rPr>
      </w:pPr>
      <w:r w:rsidRPr="00640F03">
        <w:rPr>
          <w:lang w:val="fr-FR"/>
        </w:rPr>
        <w:t>À notre avis, non seulement la Cour est compétente, de manière générale, pour rendre des avis consultatifs au titre de l</w:t>
      </w:r>
      <w:r w:rsidRPr="00640F03" w:rsidR="00640F03">
        <w:rPr>
          <w:lang w:val="fr-FR"/>
        </w:rPr>
        <w:t>’</w:t>
      </w:r>
      <w:r w:rsidRPr="00640F03">
        <w:rPr>
          <w:lang w:val="fr-FR"/>
        </w:rPr>
        <w:t>article</w:t>
      </w:r>
      <w:r w:rsidRPr="00640F03" w:rsidR="00850B29">
        <w:rPr>
          <w:lang w:val="fr-FR"/>
        </w:rPr>
        <w:t> </w:t>
      </w:r>
      <w:r w:rsidRPr="00640F03">
        <w:rPr>
          <w:lang w:val="fr-FR"/>
        </w:rPr>
        <w:t>29 de la Convention d</w:t>
      </w:r>
      <w:r w:rsidRPr="00640F03" w:rsidR="00640F03">
        <w:rPr>
          <w:lang w:val="fr-FR"/>
        </w:rPr>
        <w:t>’</w:t>
      </w:r>
      <w:r w:rsidRPr="00640F03">
        <w:rPr>
          <w:lang w:val="fr-FR"/>
        </w:rPr>
        <w:t>Oviedo – comme le reconnaît la majorité –, mais encore rien dans les deux questions posées à la Cour ne les rend irrecevables à un examen par elle.</w:t>
      </w:r>
    </w:p>
    <w:p w:rsidRPr="00640F03" w:rsidR="002B16D0" w:rsidP="00640F03" w:rsidRDefault="0003196A" w14:paraId="5B605659" w14:textId="000F2F5B">
      <w:pPr>
        <w:pStyle w:val="JuHIRoman"/>
        <w:numPr>
          <w:ilvl w:val="0"/>
          <w:numId w:val="0"/>
        </w:numPr>
        <w:ind w:left="426" w:hanging="426"/>
        <w:rPr>
          <w:lang w:val="fr-FR"/>
        </w:rPr>
      </w:pPr>
      <w:bookmarkStart w:name="_Hlk82418025" w:id="40"/>
      <w:r w:rsidRPr="00640F03">
        <w:rPr>
          <w:lang w:val="fr-FR"/>
        </w:rPr>
        <w:t>I.</w:t>
      </w:r>
      <w:r w:rsidRPr="00640F03" w:rsidR="00CC43E3">
        <w:rPr>
          <w:lang w:val="fr-FR"/>
        </w:rPr>
        <w:t xml:space="preserve"> </w:t>
      </w:r>
      <w:r w:rsidRPr="00640F03">
        <w:rPr>
          <w:lang w:val="fr-FR"/>
        </w:rPr>
        <w:t>La compétence de la Cour au titre de l</w:t>
      </w:r>
      <w:r w:rsidRPr="00640F03" w:rsidR="00640F03">
        <w:rPr>
          <w:lang w:val="fr-FR"/>
        </w:rPr>
        <w:t>’</w:t>
      </w:r>
      <w:r w:rsidRPr="00640F03">
        <w:rPr>
          <w:lang w:val="fr-FR"/>
        </w:rPr>
        <w:t>article</w:t>
      </w:r>
      <w:r w:rsidRPr="00640F03" w:rsidR="00850B29">
        <w:rPr>
          <w:lang w:val="fr-FR"/>
        </w:rPr>
        <w:t> </w:t>
      </w:r>
      <w:r w:rsidRPr="00640F03">
        <w:rPr>
          <w:lang w:val="fr-FR"/>
        </w:rPr>
        <w:t>29 de la</w:t>
      </w:r>
      <w:r w:rsidRPr="00640F03" w:rsidR="00EE1D70">
        <w:rPr>
          <w:lang w:val="fr-FR"/>
        </w:rPr>
        <w:t xml:space="preserve"> </w:t>
      </w:r>
      <w:r w:rsidRPr="00640F03">
        <w:rPr>
          <w:lang w:val="fr-FR"/>
        </w:rPr>
        <w:t>Convention d</w:t>
      </w:r>
      <w:r w:rsidRPr="00640F03" w:rsidR="00640F03">
        <w:rPr>
          <w:lang w:val="fr-FR"/>
        </w:rPr>
        <w:t>’</w:t>
      </w:r>
      <w:r w:rsidRPr="00640F03">
        <w:rPr>
          <w:lang w:val="fr-FR"/>
        </w:rPr>
        <w:t>Oviedo</w:t>
      </w:r>
    </w:p>
    <w:bookmarkEnd w:id="40"/>
    <w:p w:rsidRPr="00640F03" w:rsidR="0003196A" w:rsidP="00640F03" w:rsidRDefault="002B16D0" w14:paraId="39E4F4BE" w14:textId="4D0141CD">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Nous parvenons à la même conclusion que la majorité quant à la compétence consultative de la Cour au titre de la Convention d</w:t>
      </w:r>
      <w:r w:rsidRPr="00640F03" w:rsidR="00640F03">
        <w:rPr>
          <w:lang w:val="fr-FR"/>
        </w:rPr>
        <w:t>’</w:t>
      </w:r>
      <w:r w:rsidRPr="00640F03" w:rsidR="0003196A">
        <w:rPr>
          <w:lang w:val="fr-FR"/>
        </w:rPr>
        <w:t>Oviedo, mais nous le faisons avec beaucoup moins d</w:t>
      </w:r>
      <w:r w:rsidRPr="00640F03" w:rsidR="00640F03">
        <w:rPr>
          <w:lang w:val="fr-FR"/>
        </w:rPr>
        <w:t>’</w:t>
      </w:r>
      <w:r w:rsidRPr="00640F03" w:rsidR="0003196A">
        <w:rPr>
          <w:lang w:val="fr-FR"/>
        </w:rPr>
        <w:t>hésitation.</w:t>
      </w:r>
    </w:p>
    <w:p w:rsidRPr="00640F03" w:rsidR="0003196A" w:rsidP="00640F03" w:rsidRDefault="0003196A" w14:paraId="21618F32" w14:textId="37FFA18B">
      <w:pPr>
        <w:pStyle w:val="JuPara"/>
        <w:rPr>
          <w:lang w:val="fr-FR"/>
        </w:rPr>
      </w:pPr>
      <w:r w:rsidRPr="00640F03">
        <w:rPr>
          <w:lang w:val="fr-FR"/>
        </w:rPr>
        <w:t>La majorité analyse la compétence que la Convention d</w:t>
      </w:r>
      <w:r w:rsidRPr="00640F03" w:rsidR="00640F03">
        <w:rPr>
          <w:lang w:val="fr-FR"/>
        </w:rPr>
        <w:t>’</w:t>
      </w:r>
      <w:r w:rsidRPr="00640F03">
        <w:rPr>
          <w:lang w:val="fr-FR"/>
        </w:rPr>
        <w:t>Oviedo attribue à la Cour au regard de ce qu</w:t>
      </w:r>
      <w:r w:rsidRPr="00640F03" w:rsidR="00640F03">
        <w:rPr>
          <w:lang w:val="fr-FR"/>
        </w:rPr>
        <w:t>’</w:t>
      </w:r>
      <w:r w:rsidRPr="00640F03">
        <w:rPr>
          <w:lang w:val="fr-FR"/>
        </w:rPr>
        <w:t>elle appelle la « fonction judiciaire première » que la Cour tire de la Convention européenne des droits de l</w:t>
      </w:r>
      <w:r w:rsidRPr="00640F03" w:rsidR="00640F03">
        <w:rPr>
          <w:lang w:val="fr-FR"/>
        </w:rPr>
        <w:t>’</w:t>
      </w:r>
      <w:r w:rsidRPr="00640F03">
        <w:rPr>
          <w:lang w:val="fr-FR"/>
        </w:rPr>
        <w:t>homme (« la Convention »). Nous pensons que la Convention d</w:t>
      </w:r>
      <w:r w:rsidRPr="00640F03" w:rsidR="00640F03">
        <w:rPr>
          <w:lang w:val="fr-FR"/>
        </w:rPr>
        <w:t>’</w:t>
      </w:r>
      <w:r w:rsidRPr="00640F03">
        <w:rPr>
          <w:lang w:val="fr-FR"/>
        </w:rPr>
        <w:t>Oviedo devrait être interprétée de manière plus autonome. Il ne s</w:t>
      </w:r>
      <w:r w:rsidRPr="00640F03" w:rsidR="00640F03">
        <w:rPr>
          <w:lang w:val="fr-FR"/>
        </w:rPr>
        <w:t>’</w:t>
      </w:r>
      <w:r w:rsidRPr="00640F03">
        <w:rPr>
          <w:lang w:val="fr-FR"/>
        </w:rPr>
        <w:t>agit pas d</w:t>
      </w:r>
      <w:r w:rsidRPr="00640F03" w:rsidR="00640F03">
        <w:rPr>
          <w:lang w:val="fr-FR"/>
        </w:rPr>
        <w:t>’</w:t>
      </w:r>
      <w:r w:rsidRPr="00640F03">
        <w:rPr>
          <w:lang w:val="fr-FR"/>
        </w:rPr>
        <w:t>une simple « annexe » à la Convention mais d</w:t>
      </w:r>
      <w:r w:rsidRPr="00640F03" w:rsidR="00640F03">
        <w:rPr>
          <w:lang w:val="fr-FR"/>
        </w:rPr>
        <w:t>’</w:t>
      </w:r>
      <w:r w:rsidRPr="00640F03">
        <w:rPr>
          <w:lang w:val="fr-FR"/>
        </w:rPr>
        <w:t>un instrument distinct qui dispose de sa propre logique interne. Il est vrai qu</w:t>
      </w:r>
      <w:r w:rsidRPr="00640F03" w:rsidR="00640F03">
        <w:rPr>
          <w:lang w:val="fr-FR"/>
        </w:rPr>
        <w:t>’</w:t>
      </w:r>
      <w:r w:rsidRPr="00640F03">
        <w:rPr>
          <w:lang w:val="fr-FR"/>
        </w:rPr>
        <w:t>il existe des liens importants entre ces deux traités et que la Cour est intégrée dans le dispositif institutionnel de la Convention d</w:t>
      </w:r>
      <w:r w:rsidRPr="00640F03" w:rsidR="00640F03">
        <w:rPr>
          <w:lang w:val="fr-FR"/>
        </w:rPr>
        <w:t>’</w:t>
      </w:r>
      <w:r w:rsidRPr="00640F03">
        <w:rPr>
          <w:lang w:val="fr-FR"/>
        </w:rPr>
        <w:t>Oviedo, mais cela ne signifie pas que cette dernière est hiérarchiquement subordonnée à la Convention. Selon nous, les dispositions de la Convention d</w:t>
      </w:r>
      <w:r w:rsidRPr="00640F03" w:rsidR="00640F03">
        <w:rPr>
          <w:lang w:val="fr-FR"/>
        </w:rPr>
        <w:t>’</w:t>
      </w:r>
      <w:r w:rsidRPr="00640F03">
        <w:rPr>
          <w:lang w:val="fr-FR"/>
        </w:rPr>
        <w:t>Oviedo ne sont pas soumises aux limitations qui découlent de la logique spécifique inhérente à la Convention.</w:t>
      </w:r>
    </w:p>
    <w:p w:rsidRPr="00640F03" w:rsidR="0003196A" w:rsidP="00640F03" w:rsidRDefault="002B16D0" w14:paraId="615A31CE" w14:textId="1A171F69">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29 de la Convention d</w:t>
      </w:r>
      <w:r w:rsidRPr="00640F03" w:rsidR="00640F03">
        <w:rPr>
          <w:lang w:val="fr-FR"/>
        </w:rPr>
        <w:t>’</w:t>
      </w:r>
      <w:r w:rsidRPr="00640F03" w:rsidR="0003196A">
        <w:rPr>
          <w:lang w:val="fr-FR"/>
        </w:rPr>
        <w:t>Oviedo donne à la Cour la compétence pour rendre « des avis consultatifs sur des questions juridiques concernant l</w:t>
      </w:r>
      <w:r w:rsidRPr="00640F03" w:rsidR="00640F03">
        <w:rPr>
          <w:lang w:val="fr-FR"/>
        </w:rPr>
        <w:t>’</w:t>
      </w:r>
      <w:r w:rsidRPr="00640F03" w:rsidR="0003196A">
        <w:rPr>
          <w:lang w:val="fr-FR"/>
        </w:rPr>
        <w:t>interprétation » de cette convention, à la demande du Gouvernement d</w:t>
      </w:r>
      <w:r w:rsidRPr="00640F03" w:rsidR="00640F03">
        <w:rPr>
          <w:lang w:val="fr-FR"/>
        </w:rPr>
        <w:t>’</w:t>
      </w:r>
      <w:r w:rsidRPr="00640F03" w:rsidR="0003196A">
        <w:rPr>
          <w:lang w:val="fr-FR"/>
        </w:rPr>
        <w:t>une Partie ou du comité compétent, qui est désormais le Comité de Bioéthique du Conseil de l</w:t>
      </w:r>
      <w:r w:rsidRPr="00640F03" w:rsidR="00640F03">
        <w:rPr>
          <w:lang w:val="fr-FR"/>
        </w:rPr>
        <w:t>’</w:t>
      </w:r>
      <w:r w:rsidRPr="00640F03" w:rsidR="0003196A">
        <w:rPr>
          <w:lang w:val="fr-FR"/>
        </w:rPr>
        <w:t>Europe (« le DH-BIO »).</w:t>
      </w:r>
    </w:p>
    <w:p w:rsidRPr="00640F03" w:rsidR="0003196A" w:rsidP="00640F03" w:rsidRDefault="0003196A" w14:paraId="0DA0A0A7" w14:textId="770D8594">
      <w:pPr>
        <w:pStyle w:val="JuPara"/>
        <w:rPr>
          <w:lang w:val="fr-FR"/>
        </w:rPr>
      </w:pPr>
      <w:r w:rsidRPr="00640F03">
        <w:rPr>
          <w:lang w:val="fr-FR"/>
        </w:rPr>
        <w:t>Le texte de cette disposition est, d</w:t>
      </w:r>
      <w:r w:rsidRPr="00640F03" w:rsidR="00640F03">
        <w:rPr>
          <w:lang w:val="fr-FR"/>
        </w:rPr>
        <w:t>’</w:t>
      </w:r>
      <w:r w:rsidRPr="00640F03">
        <w:rPr>
          <w:lang w:val="fr-FR"/>
        </w:rPr>
        <w:t>après nous, très clair. L</w:t>
      </w:r>
      <w:r w:rsidRPr="00640F03" w:rsidR="00640F03">
        <w:rPr>
          <w:lang w:val="fr-FR"/>
        </w:rPr>
        <w:t>’</w:t>
      </w:r>
      <w:r w:rsidRPr="00640F03">
        <w:rPr>
          <w:lang w:val="fr-FR"/>
        </w:rPr>
        <w:t>article</w:t>
      </w:r>
      <w:r w:rsidRPr="00640F03" w:rsidR="00DE1DB7">
        <w:rPr>
          <w:lang w:val="fr-FR"/>
        </w:rPr>
        <w:t> </w:t>
      </w:r>
      <w:r w:rsidRPr="00640F03">
        <w:rPr>
          <w:lang w:val="fr-FR"/>
        </w:rPr>
        <w:t>29 ne pose aucune limite à la compétence de la Cour. En particulier, il ne prévoit aucune limitation similaire à celles énoncées par l</w:t>
      </w:r>
      <w:r w:rsidRPr="00640F03" w:rsidR="00640F03">
        <w:rPr>
          <w:lang w:val="fr-FR"/>
        </w:rPr>
        <w:t>’</w:t>
      </w:r>
      <w:r w:rsidRPr="00640F03">
        <w:rPr>
          <w:lang w:val="fr-FR"/>
        </w:rPr>
        <w:t>article</w:t>
      </w:r>
      <w:r w:rsidRPr="00640F03" w:rsidR="00DE1DB7">
        <w:rPr>
          <w:lang w:val="fr-FR"/>
        </w:rPr>
        <w:t> </w:t>
      </w:r>
      <w:r w:rsidRPr="00640F03">
        <w:rPr>
          <w:lang w:val="fr-FR"/>
        </w:rPr>
        <w:t>47 §</w:t>
      </w:r>
      <w:r w:rsidRPr="00640F03" w:rsidR="00DE1DB7">
        <w:rPr>
          <w:lang w:val="fr-FR"/>
        </w:rPr>
        <w:t> </w:t>
      </w:r>
      <w:r w:rsidRPr="00640F03">
        <w:rPr>
          <w:lang w:val="fr-FR"/>
        </w:rPr>
        <w:t>2 de la Convention relativement aux « avis consultatifs sur des questions juridiques concernant l</w:t>
      </w:r>
      <w:r w:rsidRPr="00640F03" w:rsidR="00640F03">
        <w:rPr>
          <w:lang w:val="fr-FR"/>
        </w:rPr>
        <w:t>’</w:t>
      </w:r>
      <w:r w:rsidRPr="00640F03">
        <w:rPr>
          <w:lang w:val="fr-FR"/>
        </w:rPr>
        <w:t xml:space="preserve">interprétation de la Convention et de ses </w:t>
      </w:r>
      <w:r w:rsidRPr="00640F03" w:rsidR="00AE349B">
        <w:rPr>
          <w:lang w:val="fr-FR"/>
        </w:rPr>
        <w:t>P</w:t>
      </w:r>
      <w:r w:rsidRPr="00640F03">
        <w:rPr>
          <w:lang w:val="fr-FR"/>
        </w:rPr>
        <w:t>rotocoles », que la Cour peut donner à la demande du Comité des Ministres. L</w:t>
      </w:r>
      <w:r w:rsidRPr="00640F03" w:rsidR="00640F03">
        <w:rPr>
          <w:lang w:val="fr-FR"/>
        </w:rPr>
        <w:t>’</w:t>
      </w:r>
      <w:r w:rsidRPr="00640F03">
        <w:rPr>
          <w:lang w:val="fr-FR"/>
        </w:rPr>
        <w:t>article</w:t>
      </w:r>
      <w:r w:rsidRPr="00640F03" w:rsidR="00DE1DB7">
        <w:rPr>
          <w:lang w:val="fr-FR"/>
        </w:rPr>
        <w:t> </w:t>
      </w:r>
      <w:r w:rsidRPr="00640F03">
        <w:rPr>
          <w:lang w:val="fr-FR"/>
        </w:rPr>
        <w:t>47 §</w:t>
      </w:r>
      <w:r w:rsidRPr="00640F03" w:rsidR="00DE1DB7">
        <w:rPr>
          <w:lang w:val="fr-FR"/>
        </w:rPr>
        <w:t> </w:t>
      </w:r>
      <w:r w:rsidRPr="00640F03">
        <w:rPr>
          <w:lang w:val="fr-FR"/>
        </w:rPr>
        <w:t>2 dispose que « [c]es avis ne peuvent porter ni sur les questions ayant trait au contenu ou à l</w:t>
      </w:r>
      <w:r w:rsidRPr="00640F03" w:rsidR="00640F03">
        <w:rPr>
          <w:lang w:val="fr-FR"/>
        </w:rPr>
        <w:t>’</w:t>
      </w:r>
      <w:r w:rsidRPr="00640F03">
        <w:rPr>
          <w:lang w:val="fr-FR"/>
        </w:rPr>
        <w:t>étendue des droits et libertés définis au titre I de la Convention et dans les protocoles ni sur les autres questions dont la Cour ou le Comité des Ministres pourraient avoir à connaître par suite de l</w:t>
      </w:r>
      <w:r w:rsidRPr="00640F03" w:rsidR="00640F03">
        <w:rPr>
          <w:lang w:val="fr-FR"/>
        </w:rPr>
        <w:t>’</w:t>
      </w:r>
      <w:r w:rsidRPr="00640F03">
        <w:rPr>
          <w:lang w:val="fr-FR"/>
        </w:rPr>
        <w:t>introduction d</w:t>
      </w:r>
      <w:r w:rsidRPr="00640F03" w:rsidR="00640F03">
        <w:rPr>
          <w:lang w:val="fr-FR"/>
        </w:rPr>
        <w:t>’</w:t>
      </w:r>
      <w:r w:rsidRPr="00640F03">
        <w:rPr>
          <w:lang w:val="fr-FR"/>
        </w:rPr>
        <w:t xml:space="preserve">un recours prévu par la Convention ». Cette restriction est parfaitement compréhensible dans le contexte de la Convention : les rédacteurs du Protocole </w:t>
      </w:r>
      <w:r w:rsidRPr="00640F03" w:rsidR="00287C16">
        <w:rPr>
          <w:iCs/>
          <w:lang w:val="fr-FR"/>
        </w:rPr>
        <w:t>n</w:t>
      </w:r>
      <w:r w:rsidRPr="00640F03" w:rsidR="00287C16">
        <w:rPr>
          <w:iCs/>
          <w:vertAlign w:val="superscript"/>
          <w:lang w:val="fr-FR"/>
        </w:rPr>
        <w:t>o</w:t>
      </w:r>
      <w:r w:rsidRPr="00640F03" w:rsidR="00287C16">
        <w:rPr>
          <w:iCs/>
          <w:lang w:val="fr-FR"/>
        </w:rPr>
        <w:t xml:space="preserve"> 2 </w:t>
      </w:r>
      <w:r w:rsidRPr="00640F03">
        <w:rPr>
          <w:lang w:val="fr-FR"/>
        </w:rPr>
        <w:t>(article</w:t>
      </w:r>
      <w:r w:rsidRPr="00640F03" w:rsidR="00DE1DB7">
        <w:rPr>
          <w:lang w:val="fr-FR"/>
        </w:rPr>
        <w:t> </w:t>
      </w:r>
      <w:r w:rsidRPr="00640F03">
        <w:rPr>
          <w:lang w:val="fr-FR"/>
        </w:rPr>
        <w:t>47) voulaient éviter que la Cour puisse donner une interprétation d</w:t>
      </w:r>
      <w:r w:rsidRPr="00640F03" w:rsidR="00640F03">
        <w:rPr>
          <w:lang w:val="fr-FR"/>
        </w:rPr>
        <w:t>’</w:t>
      </w:r>
      <w:r w:rsidRPr="00640F03">
        <w:rPr>
          <w:lang w:val="fr-FR"/>
        </w:rPr>
        <w:t>une disposition de la Convention que la Cour ou le Comité des Ministres pourraient avoir à examiner dans le contexte d</w:t>
      </w:r>
      <w:r w:rsidRPr="00640F03" w:rsidR="00640F03">
        <w:rPr>
          <w:lang w:val="fr-FR"/>
        </w:rPr>
        <w:t>’</w:t>
      </w:r>
      <w:r w:rsidRPr="00640F03">
        <w:rPr>
          <w:lang w:val="fr-FR"/>
        </w:rPr>
        <w:t>une procédure contentieuse. Aucun chevauchement de ce type n</w:t>
      </w:r>
      <w:r w:rsidRPr="00640F03" w:rsidR="00640F03">
        <w:rPr>
          <w:lang w:val="fr-FR"/>
        </w:rPr>
        <w:t>’</w:t>
      </w:r>
      <w:r w:rsidRPr="00640F03">
        <w:rPr>
          <w:lang w:val="fr-FR"/>
        </w:rPr>
        <w:t>est possible entre la procédure consultative au titre de la Convention d</w:t>
      </w:r>
      <w:r w:rsidRPr="00640F03" w:rsidR="00640F03">
        <w:rPr>
          <w:lang w:val="fr-FR"/>
        </w:rPr>
        <w:t>’</w:t>
      </w:r>
      <w:r w:rsidRPr="00640F03">
        <w:rPr>
          <w:lang w:val="fr-FR"/>
        </w:rPr>
        <w:t>Oviedo et la procédure contentieuse régie par la Convention. L</w:t>
      </w:r>
      <w:r w:rsidRPr="00640F03" w:rsidR="00640F03">
        <w:rPr>
          <w:lang w:val="fr-FR"/>
        </w:rPr>
        <w:t>’</w:t>
      </w:r>
      <w:r w:rsidRPr="00640F03">
        <w:rPr>
          <w:lang w:val="fr-FR"/>
        </w:rPr>
        <w:t>objet de ces deux types de procédure est, au moins formellement, totalement différent. Selon nous, il est donc tout à fait logique que l</w:t>
      </w:r>
      <w:r w:rsidRPr="00640F03" w:rsidR="00640F03">
        <w:rPr>
          <w:lang w:val="fr-FR"/>
        </w:rPr>
        <w:t>’</w:t>
      </w:r>
      <w:r w:rsidRPr="00640F03">
        <w:rPr>
          <w:lang w:val="fr-FR"/>
        </w:rPr>
        <w:t>article</w:t>
      </w:r>
      <w:r w:rsidRPr="00640F03" w:rsidR="00DE1DB7">
        <w:rPr>
          <w:lang w:val="fr-FR"/>
        </w:rPr>
        <w:t> </w:t>
      </w:r>
      <w:r w:rsidRPr="00640F03">
        <w:rPr>
          <w:lang w:val="fr-FR"/>
        </w:rPr>
        <w:t>29 de la Convention d</w:t>
      </w:r>
      <w:r w:rsidRPr="00640F03" w:rsidR="00640F03">
        <w:rPr>
          <w:lang w:val="fr-FR"/>
        </w:rPr>
        <w:t>’</w:t>
      </w:r>
      <w:r w:rsidRPr="00640F03">
        <w:rPr>
          <w:lang w:val="fr-FR"/>
        </w:rPr>
        <w:t>Oviedo ne contienne aucune limitation similaire à celles énoncées par l</w:t>
      </w:r>
      <w:r w:rsidRPr="00640F03" w:rsidR="00640F03">
        <w:rPr>
          <w:lang w:val="fr-FR"/>
        </w:rPr>
        <w:t>’</w:t>
      </w:r>
      <w:r w:rsidRPr="00640F03">
        <w:rPr>
          <w:lang w:val="fr-FR"/>
        </w:rPr>
        <w:t>article</w:t>
      </w:r>
      <w:r w:rsidRPr="00640F03" w:rsidR="00DE1DB7">
        <w:rPr>
          <w:lang w:val="fr-FR"/>
        </w:rPr>
        <w:t> </w:t>
      </w:r>
      <w:r w:rsidRPr="00640F03">
        <w:rPr>
          <w:lang w:val="fr-FR"/>
        </w:rPr>
        <w:t>47 §</w:t>
      </w:r>
      <w:r w:rsidRPr="00640F03" w:rsidR="00DE1DB7">
        <w:rPr>
          <w:lang w:val="fr-FR"/>
        </w:rPr>
        <w:t> </w:t>
      </w:r>
      <w:r w:rsidRPr="00640F03">
        <w:rPr>
          <w:lang w:val="fr-FR"/>
        </w:rPr>
        <w:t>2 de la Convention.</w:t>
      </w:r>
    </w:p>
    <w:p w:rsidRPr="00640F03" w:rsidR="0003196A" w:rsidP="00640F03" w:rsidRDefault="002B16D0" w14:paraId="3887074C" w14:textId="7AF04FA0">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La majorité lit toutefois dans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29 de la Convention d</w:t>
      </w:r>
      <w:r w:rsidRPr="00640F03" w:rsidR="00640F03">
        <w:rPr>
          <w:lang w:val="fr-FR"/>
        </w:rPr>
        <w:t>’</w:t>
      </w:r>
      <w:r w:rsidRPr="00640F03" w:rsidR="0003196A">
        <w:rPr>
          <w:lang w:val="fr-FR"/>
        </w:rPr>
        <w:t>Oviedo les mêmes exceptions que celles prévues à l</w:t>
      </w:r>
      <w:r w:rsidRPr="00640F03" w:rsidR="00640F03">
        <w:rPr>
          <w:lang w:val="fr-FR"/>
        </w:rPr>
        <w:t>’</w:t>
      </w:r>
      <w:r w:rsidRPr="00640F03" w:rsidR="0003196A">
        <w:rPr>
          <w:lang w:val="fr-FR"/>
        </w:rPr>
        <w:t>article</w:t>
      </w:r>
      <w:r w:rsidRPr="00640F03" w:rsidR="00850B29">
        <w:rPr>
          <w:lang w:val="fr-FR"/>
        </w:rPr>
        <w:t> </w:t>
      </w:r>
      <w:r w:rsidRPr="00640F03" w:rsidR="0003196A">
        <w:rPr>
          <w:lang w:val="fr-FR"/>
        </w:rPr>
        <w:t>47 §</w:t>
      </w:r>
      <w:r w:rsidRPr="00640F03" w:rsidR="00850B29">
        <w:rPr>
          <w:lang w:val="fr-FR"/>
        </w:rPr>
        <w:t> </w:t>
      </w:r>
      <w:r w:rsidRPr="00640F03" w:rsidR="0003196A">
        <w:rPr>
          <w:lang w:val="fr-FR"/>
        </w:rPr>
        <w:t>2 (paragraphes 50</w:t>
      </w:r>
      <w:r w:rsidRPr="00640F03" w:rsidR="0003196A">
        <w:rPr>
          <w:lang w:val="fr-FR"/>
        </w:rPr>
        <w:noBreakHyphen/>
        <w:t>52 et</w:t>
      </w:r>
      <w:r w:rsidRPr="00640F03" w:rsidR="00DE1DB7">
        <w:rPr>
          <w:lang w:val="fr-FR"/>
        </w:rPr>
        <w:t> </w:t>
      </w:r>
      <w:r w:rsidRPr="00640F03" w:rsidR="0003196A">
        <w:rPr>
          <w:lang w:val="fr-FR"/>
        </w:rPr>
        <w:t>54 de la décision). Nous regrettons de ne pouvoir souscrire à cette analyse.</w:t>
      </w:r>
    </w:p>
    <w:p w:rsidRPr="00640F03" w:rsidR="0003196A" w:rsidP="00640F03" w:rsidRDefault="0003196A" w14:paraId="5799D068" w14:textId="3810789F">
      <w:pPr>
        <w:pStyle w:val="JuPara"/>
        <w:rPr>
          <w:lang w:val="fr-FR"/>
        </w:rPr>
      </w:pPr>
      <w:r w:rsidRPr="00640F03">
        <w:rPr>
          <w:lang w:val="fr-FR"/>
        </w:rPr>
        <w:t>Nous ne pensons pas que le texte de l</w:t>
      </w:r>
      <w:r w:rsidRPr="00640F03" w:rsidR="00640F03">
        <w:rPr>
          <w:lang w:val="fr-FR"/>
        </w:rPr>
        <w:t>’</w:t>
      </w:r>
      <w:r w:rsidRPr="00640F03">
        <w:rPr>
          <w:lang w:val="fr-FR"/>
        </w:rPr>
        <w:t>article</w:t>
      </w:r>
      <w:r w:rsidRPr="00640F03" w:rsidR="00850B29">
        <w:rPr>
          <w:lang w:val="fr-FR"/>
        </w:rPr>
        <w:t> </w:t>
      </w:r>
      <w:r w:rsidRPr="00640F03">
        <w:rPr>
          <w:lang w:val="fr-FR"/>
        </w:rPr>
        <w:t>29 permette une telle interprétation (paragraphe</w:t>
      </w:r>
      <w:r w:rsidRPr="00640F03" w:rsidR="00850B29">
        <w:rPr>
          <w:lang w:val="fr-FR"/>
        </w:rPr>
        <w:t> </w:t>
      </w:r>
      <w:r w:rsidRPr="00640F03" w:rsidR="00FE4244">
        <w:rPr>
          <w:lang w:val="fr-FR"/>
        </w:rPr>
        <w:t xml:space="preserve">3 </w:t>
      </w:r>
      <w:r w:rsidRPr="00640F03">
        <w:rPr>
          <w:lang w:val="fr-FR"/>
        </w:rPr>
        <w:t>ci-dessus). En outre, celle-ci nous paraît difficile à concilier avec l</w:t>
      </w:r>
      <w:r w:rsidRPr="00640F03" w:rsidR="00640F03">
        <w:rPr>
          <w:lang w:val="fr-FR"/>
        </w:rPr>
        <w:t>’</w:t>
      </w:r>
      <w:r w:rsidRPr="00640F03" w:rsidR="00287C16">
        <w:rPr>
          <w:lang w:val="fr-FR"/>
        </w:rPr>
        <w:t xml:space="preserve">objet et le </w:t>
      </w:r>
      <w:r w:rsidRPr="00640F03">
        <w:rPr>
          <w:lang w:val="fr-FR"/>
        </w:rPr>
        <w:t>but de cette disposition. En effet, comme l</w:t>
      </w:r>
      <w:r w:rsidRPr="00640F03" w:rsidR="00640F03">
        <w:rPr>
          <w:lang w:val="fr-FR"/>
        </w:rPr>
        <w:t>’</w:t>
      </w:r>
      <w:r w:rsidRPr="00640F03">
        <w:rPr>
          <w:lang w:val="fr-FR"/>
        </w:rPr>
        <w:t>énonce le rapport explicatif de la Convention d</w:t>
      </w:r>
      <w:r w:rsidRPr="00640F03" w:rsidR="00640F03">
        <w:rPr>
          <w:lang w:val="fr-FR"/>
        </w:rPr>
        <w:t>’</w:t>
      </w:r>
      <w:r w:rsidRPr="00640F03">
        <w:rPr>
          <w:lang w:val="fr-FR"/>
        </w:rPr>
        <w:t>Oviedo dans son paragraphe</w:t>
      </w:r>
      <w:r w:rsidRPr="00640F03" w:rsidR="00DE1DB7">
        <w:rPr>
          <w:lang w:val="fr-FR"/>
        </w:rPr>
        <w:t> </w:t>
      </w:r>
      <w:r w:rsidRPr="00640F03">
        <w:rPr>
          <w:lang w:val="fr-FR"/>
        </w:rPr>
        <w:t>9, « [n]on seulement la philosophie [de la Convention d</w:t>
      </w:r>
      <w:r w:rsidRPr="00640F03" w:rsidR="00640F03">
        <w:rPr>
          <w:lang w:val="fr-FR"/>
        </w:rPr>
        <w:t>’</w:t>
      </w:r>
      <w:r w:rsidRPr="00640F03">
        <w:rPr>
          <w:lang w:val="fr-FR"/>
        </w:rPr>
        <w:t>Oviedo et de la Convention], mais aussi nombre de principes éthiques et de notions juridiques sont communs ». Attribuer à la Cour une compétence consultative, établie afin d</w:t>
      </w:r>
      <w:r w:rsidRPr="00640F03" w:rsidR="00640F03">
        <w:rPr>
          <w:lang w:val="fr-FR"/>
        </w:rPr>
        <w:t>’</w:t>
      </w:r>
      <w:r w:rsidRPr="00640F03">
        <w:rPr>
          <w:lang w:val="fr-FR"/>
        </w:rPr>
        <w:t>assurer la conformité avec la Convention, vise évidemment à « garantir une interprétation uniforme [des] notions [partagées] et à éviter qu</w:t>
      </w:r>
      <w:r w:rsidRPr="00640F03" w:rsidR="00640F03">
        <w:rPr>
          <w:lang w:val="fr-FR"/>
        </w:rPr>
        <w:t>’</w:t>
      </w:r>
      <w:r w:rsidRPr="00640F03">
        <w:rPr>
          <w:lang w:val="fr-FR"/>
        </w:rPr>
        <w:t>elles reçoivent des interprétations divergentes au titre de chacune de ces conventions » (paragraphe</w:t>
      </w:r>
      <w:r w:rsidRPr="00640F03" w:rsidR="00DE1DB7">
        <w:rPr>
          <w:lang w:val="fr-FR"/>
        </w:rPr>
        <w:t> </w:t>
      </w:r>
      <w:r w:rsidRPr="00640F03">
        <w:rPr>
          <w:lang w:val="fr-FR"/>
        </w:rPr>
        <w:t>44 de la présente décision). Un tel objectif plaide pour une ample compétence de la Cour au titre de la Convention d</w:t>
      </w:r>
      <w:r w:rsidRPr="00640F03" w:rsidR="00640F03">
        <w:rPr>
          <w:lang w:val="fr-FR"/>
        </w:rPr>
        <w:t>’</w:t>
      </w:r>
      <w:r w:rsidRPr="00640F03">
        <w:rPr>
          <w:lang w:val="fr-FR"/>
        </w:rPr>
        <w:t>Oviedo, et non pour des restrictions à cette compétence. Une interprétation uniforme peut difficilement être garantie, et des interprétations divergentes peuvent difficilement être évitées, si la Cour n</w:t>
      </w:r>
      <w:r w:rsidRPr="00640F03" w:rsidR="00640F03">
        <w:rPr>
          <w:lang w:val="fr-FR"/>
        </w:rPr>
        <w:t>’</w:t>
      </w:r>
      <w:r w:rsidRPr="00640F03">
        <w:rPr>
          <w:lang w:val="fr-FR"/>
        </w:rPr>
        <w:t>est pas en mesure d</w:t>
      </w:r>
      <w:r w:rsidRPr="00640F03" w:rsidR="00640F03">
        <w:rPr>
          <w:lang w:val="fr-FR"/>
        </w:rPr>
        <w:t>’</w:t>
      </w:r>
      <w:r w:rsidRPr="00640F03">
        <w:rPr>
          <w:lang w:val="fr-FR"/>
        </w:rPr>
        <w:t>examiner des questions qui pourraient également se poser dans une procédure contentieuse introduite au titre de la Convention.</w:t>
      </w:r>
    </w:p>
    <w:p w:rsidRPr="00640F03" w:rsidR="0003196A" w:rsidP="00640F03" w:rsidRDefault="002B16D0" w14:paraId="321F35C1" w14:textId="48EA3D37">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La majorité tire argument des travaux préparatoires de la Convention d</w:t>
      </w:r>
      <w:r w:rsidRPr="00640F03" w:rsidR="00640F03">
        <w:rPr>
          <w:lang w:val="fr-FR"/>
        </w:rPr>
        <w:t>’</w:t>
      </w:r>
      <w:r w:rsidRPr="00640F03" w:rsidR="0003196A">
        <w:rPr>
          <w:lang w:val="fr-FR"/>
        </w:rPr>
        <w:t>Oviedo, et en particulier de l</w:t>
      </w:r>
      <w:r w:rsidRPr="00640F03" w:rsidR="00640F03">
        <w:rPr>
          <w:lang w:val="fr-FR"/>
        </w:rPr>
        <w:t>’</w:t>
      </w:r>
      <w:r w:rsidRPr="00640F03" w:rsidR="0003196A">
        <w:rPr>
          <w:lang w:val="fr-FR"/>
        </w:rPr>
        <w:t>avis rendu par la Cour le 6</w:t>
      </w:r>
      <w:r w:rsidRPr="00640F03" w:rsidR="00DE1DB7">
        <w:rPr>
          <w:lang w:val="fr-FR"/>
        </w:rPr>
        <w:t> </w:t>
      </w:r>
      <w:r w:rsidRPr="00640F03" w:rsidR="0003196A">
        <w:rPr>
          <w:lang w:val="fr-FR"/>
        </w:rPr>
        <w:t>novembre 1995 sur le projet de la future Convention d</w:t>
      </w:r>
      <w:r w:rsidRPr="00640F03" w:rsidR="00640F03">
        <w:rPr>
          <w:lang w:val="fr-FR"/>
        </w:rPr>
        <w:t>’</w:t>
      </w:r>
      <w:r w:rsidRPr="00640F03" w:rsidR="0003196A">
        <w:rPr>
          <w:lang w:val="fr-FR"/>
        </w:rPr>
        <w:t>Oviedo (Cour (95) 413 ; paragraphes 14-15 et 44 de la présente décision). Notre interprétation des travaux préparatoires est quelque peu différente.</w:t>
      </w:r>
    </w:p>
    <w:p w:rsidRPr="00640F03" w:rsidR="0003196A" w:rsidP="00640F03" w:rsidRDefault="0003196A" w14:paraId="725E08F9" w14:textId="117759B4">
      <w:pPr>
        <w:pStyle w:val="JuPara"/>
        <w:rPr>
          <w:lang w:val="fr-FR"/>
        </w:rPr>
      </w:pPr>
      <w:r w:rsidRPr="00640F03">
        <w:rPr>
          <w:lang w:val="fr-FR"/>
        </w:rPr>
        <w:t>Tout d</w:t>
      </w:r>
      <w:r w:rsidRPr="00640F03" w:rsidR="00640F03">
        <w:rPr>
          <w:lang w:val="fr-FR"/>
        </w:rPr>
        <w:t>’</w:t>
      </w:r>
      <w:r w:rsidRPr="00640F03">
        <w:rPr>
          <w:lang w:val="fr-FR"/>
        </w:rPr>
        <w:t>abord, à l</w:t>
      </w:r>
      <w:r w:rsidRPr="00640F03" w:rsidR="00640F03">
        <w:rPr>
          <w:lang w:val="fr-FR"/>
        </w:rPr>
        <w:t>’</w:t>
      </w:r>
      <w:r w:rsidRPr="00640F03">
        <w:rPr>
          <w:lang w:val="fr-FR"/>
        </w:rPr>
        <w:t>époque, la Cour se félicitait dans l</w:t>
      </w:r>
      <w:r w:rsidRPr="00640F03" w:rsidR="00640F03">
        <w:rPr>
          <w:lang w:val="fr-FR"/>
        </w:rPr>
        <w:t>’</w:t>
      </w:r>
      <w:r w:rsidRPr="00640F03">
        <w:rPr>
          <w:lang w:val="fr-FR"/>
        </w:rPr>
        <w:t>ensemble de la disposition qui allait devenir l</w:t>
      </w:r>
      <w:r w:rsidRPr="00640F03" w:rsidR="00640F03">
        <w:rPr>
          <w:lang w:val="fr-FR"/>
        </w:rPr>
        <w:t>’</w:t>
      </w:r>
      <w:r w:rsidRPr="00640F03">
        <w:rPr>
          <w:lang w:val="fr-FR"/>
        </w:rPr>
        <w:t>article</w:t>
      </w:r>
      <w:r w:rsidRPr="00640F03" w:rsidR="00DE1DB7">
        <w:rPr>
          <w:lang w:val="fr-FR"/>
        </w:rPr>
        <w:t> </w:t>
      </w:r>
      <w:r w:rsidRPr="00640F03">
        <w:rPr>
          <w:lang w:val="fr-FR"/>
        </w:rPr>
        <w:t>29 de la Convention d</w:t>
      </w:r>
      <w:r w:rsidRPr="00640F03" w:rsidR="00640F03">
        <w:rPr>
          <w:lang w:val="fr-FR"/>
        </w:rPr>
        <w:t>’</w:t>
      </w:r>
      <w:r w:rsidRPr="00640F03">
        <w:rPr>
          <w:lang w:val="fr-FR"/>
        </w:rPr>
        <w:t>Oviedo. Elle jugeait compréhensible « le souci de ses rédacteurs d</w:t>
      </w:r>
      <w:r w:rsidRPr="00640F03" w:rsidR="00640F03">
        <w:rPr>
          <w:lang w:val="fr-FR"/>
        </w:rPr>
        <w:t>’</w:t>
      </w:r>
      <w:r w:rsidRPr="00640F03">
        <w:rPr>
          <w:lang w:val="fr-FR"/>
        </w:rPr>
        <w:t>instituer un système qui permettrait d</w:t>
      </w:r>
      <w:r w:rsidRPr="00640F03" w:rsidR="00640F03">
        <w:rPr>
          <w:lang w:val="fr-FR"/>
        </w:rPr>
        <w:t>’</w:t>
      </w:r>
      <w:r w:rsidRPr="00640F03">
        <w:rPr>
          <w:lang w:val="fr-FR"/>
        </w:rPr>
        <w:t>obtenir, au sujet desdites dispositions, une interprétation uniforme faisant autorité pour tous les États contractants » et souscrivait à l</w:t>
      </w:r>
      <w:r w:rsidRPr="00640F03" w:rsidR="00640F03">
        <w:rPr>
          <w:lang w:val="fr-FR"/>
        </w:rPr>
        <w:t>’</w:t>
      </w:r>
      <w:r w:rsidRPr="00640F03">
        <w:rPr>
          <w:lang w:val="fr-FR"/>
        </w:rPr>
        <w:t>idée que ce but pourrait être atteint en confiant cette fonction à la Cour (paragraphe</w:t>
      </w:r>
      <w:r w:rsidRPr="00640F03" w:rsidR="00DE1DB7">
        <w:rPr>
          <w:lang w:val="fr-FR"/>
        </w:rPr>
        <w:t> </w:t>
      </w:r>
      <w:r w:rsidRPr="00640F03">
        <w:rPr>
          <w:lang w:val="fr-FR"/>
        </w:rPr>
        <w:t>3 de l</w:t>
      </w:r>
      <w:r w:rsidRPr="00640F03" w:rsidR="00640F03">
        <w:rPr>
          <w:lang w:val="fr-FR"/>
        </w:rPr>
        <w:t>’</w:t>
      </w:r>
      <w:r w:rsidRPr="00640F03">
        <w:rPr>
          <w:lang w:val="fr-FR"/>
        </w:rPr>
        <w:t>avis de la Cour, cité au paragraphe 14 de la présente décision). Elle se déclarait expressément « favorable au principe d</w:t>
      </w:r>
      <w:r w:rsidRPr="00640F03" w:rsidR="00640F03">
        <w:rPr>
          <w:lang w:val="fr-FR"/>
        </w:rPr>
        <w:t>’</w:t>
      </w:r>
      <w:r w:rsidRPr="00640F03">
        <w:rPr>
          <w:lang w:val="fr-FR"/>
        </w:rPr>
        <w:t>assumer une compétence interprétative dans ce domaine » (paragraphe</w:t>
      </w:r>
      <w:r w:rsidRPr="00640F03" w:rsidR="00DE1DB7">
        <w:rPr>
          <w:lang w:val="fr-FR"/>
        </w:rPr>
        <w:t> </w:t>
      </w:r>
      <w:r w:rsidRPr="00640F03">
        <w:rPr>
          <w:lang w:val="fr-FR"/>
        </w:rPr>
        <w:t>5 de l</w:t>
      </w:r>
      <w:r w:rsidRPr="00640F03" w:rsidR="00640F03">
        <w:rPr>
          <w:lang w:val="fr-FR"/>
        </w:rPr>
        <w:t>’</w:t>
      </w:r>
      <w:r w:rsidRPr="00640F03">
        <w:rPr>
          <w:lang w:val="fr-FR"/>
        </w:rPr>
        <w:t>avis de la Cour, cité au paragraphe</w:t>
      </w:r>
      <w:r w:rsidRPr="00640F03" w:rsidR="00DE1DB7">
        <w:rPr>
          <w:lang w:val="fr-FR"/>
        </w:rPr>
        <w:t> </w:t>
      </w:r>
      <w:r w:rsidRPr="00640F03">
        <w:rPr>
          <w:lang w:val="fr-FR"/>
        </w:rPr>
        <w:t>14 de la présente décision).</w:t>
      </w:r>
    </w:p>
    <w:p w:rsidRPr="00640F03" w:rsidR="0003196A" w:rsidP="00640F03" w:rsidRDefault="0003196A" w14:paraId="0B9D53B7" w14:textId="745FAF15">
      <w:pPr>
        <w:pStyle w:val="JuPara"/>
        <w:rPr>
          <w:lang w:val="fr-FR"/>
        </w:rPr>
      </w:pPr>
      <w:r w:rsidRPr="00640F03">
        <w:rPr>
          <w:lang w:val="fr-FR"/>
        </w:rPr>
        <w:t>Ensuite, s</w:t>
      </w:r>
      <w:r w:rsidRPr="00640F03" w:rsidR="00640F03">
        <w:rPr>
          <w:lang w:val="fr-FR"/>
        </w:rPr>
        <w:t>’</w:t>
      </w:r>
      <w:r w:rsidRPr="00640F03">
        <w:rPr>
          <w:lang w:val="fr-FR"/>
        </w:rPr>
        <w:t>il est vrai que la Cour émettait une réserve relativement à la compétence contentieuse qu</w:t>
      </w:r>
      <w:r w:rsidRPr="00640F03" w:rsidR="00640F03">
        <w:rPr>
          <w:lang w:val="fr-FR"/>
        </w:rPr>
        <w:t>’</w:t>
      </w:r>
      <w:r w:rsidRPr="00640F03">
        <w:rPr>
          <w:lang w:val="fr-FR"/>
        </w:rPr>
        <w:t>elle tire de la Convention, il convient toutefois de lire cette réserve dans son contexte. La Cour était préoccupée par le projet de disposition qui lui permettait de statuer à titre préjudiciel à la demande d</w:t>
      </w:r>
      <w:r w:rsidRPr="00640F03" w:rsidR="00640F03">
        <w:rPr>
          <w:lang w:val="fr-FR"/>
        </w:rPr>
        <w:t>’</w:t>
      </w:r>
      <w:r w:rsidRPr="00640F03">
        <w:rPr>
          <w:lang w:val="fr-FR"/>
        </w:rPr>
        <w:t>une juridiction interne, en ce qu</w:t>
      </w:r>
      <w:r w:rsidRPr="00640F03" w:rsidR="00640F03">
        <w:rPr>
          <w:lang w:val="fr-FR"/>
        </w:rPr>
        <w:t>’</w:t>
      </w:r>
      <w:r w:rsidRPr="00640F03">
        <w:rPr>
          <w:lang w:val="fr-FR"/>
        </w:rPr>
        <w:t>elle y voyait un risque que l</w:t>
      </w:r>
      <w:r w:rsidRPr="00640F03" w:rsidR="00640F03">
        <w:rPr>
          <w:lang w:val="fr-FR"/>
        </w:rPr>
        <w:t>’</w:t>
      </w:r>
      <w:r w:rsidRPr="00640F03">
        <w:rPr>
          <w:lang w:val="fr-FR"/>
        </w:rPr>
        <w:t>avis consultatif qu</w:t>
      </w:r>
      <w:r w:rsidRPr="00640F03" w:rsidR="00640F03">
        <w:rPr>
          <w:lang w:val="fr-FR"/>
        </w:rPr>
        <w:t>’</w:t>
      </w:r>
      <w:r w:rsidRPr="00640F03">
        <w:rPr>
          <w:lang w:val="fr-FR"/>
        </w:rPr>
        <w:t>elle rendrait dans le cadre d</w:t>
      </w:r>
      <w:r w:rsidRPr="00640F03" w:rsidR="00640F03">
        <w:rPr>
          <w:lang w:val="fr-FR"/>
        </w:rPr>
        <w:t>’</w:t>
      </w:r>
      <w:r w:rsidRPr="00640F03">
        <w:rPr>
          <w:lang w:val="fr-FR"/>
        </w:rPr>
        <w:t>une affaire pendante devant la juridiction interne « pourrait la gêner si elle se trouvait saisie ultérieurement par le biais notamment des articles 2, 8 et 14 de la Convention, des faits de la cause qui a[vait] amené la juridiction interne à solliciter de la Cour l</w:t>
      </w:r>
      <w:r w:rsidRPr="00640F03" w:rsidR="00640F03">
        <w:rPr>
          <w:lang w:val="fr-FR"/>
        </w:rPr>
        <w:t>’</w:t>
      </w:r>
      <w:r w:rsidRPr="00640F03">
        <w:rPr>
          <w:lang w:val="fr-FR"/>
        </w:rPr>
        <w:t>interprétation d</w:t>
      </w:r>
      <w:r w:rsidRPr="00640F03" w:rsidR="00640F03">
        <w:rPr>
          <w:lang w:val="fr-FR"/>
        </w:rPr>
        <w:t>’</w:t>
      </w:r>
      <w:r w:rsidRPr="00640F03">
        <w:rPr>
          <w:lang w:val="fr-FR"/>
        </w:rPr>
        <w:t>une clause de la Convention de bioéthique » (paragraphe</w:t>
      </w:r>
      <w:r w:rsidRPr="00640F03" w:rsidR="00DE1DB7">
        <w:rPr>
          <w:lang w:val="fr-FR"/>
        </w:rPr>
        <w:t> </w:t>
      </w:r>
      <w:r w:rsidRPr="00640F03">
        <w:rPr>
          <w:lang w:val="fr-FR"/>
        </w:rPr>
        <w:t>5 de l</w:t>
      </w:r>
      <w:r w:rsidRPr="00640F03" w:rsidR="00640F03">
        <w:rPr>
          <w:lang w:val="fr-FR"/>
        </w:rPr>
        <w:t>’</w:t>
      </w:r>
      <w:r w:rsidRPr="00640F03">
        <w:rPr>
          <w:lang w:val="fr-FR"/>
        </w:rPr>
        <w:t>avis de la Cour). Cette préoccupation a été pleinement prise en compte par les rédacteurs de la Convention d</w:t>
      </w:r>
      <w:r w:rsidRPr="00640F03" w:rsidR="00640F03">
        <w:rPr>
          <w:lang w:val="fr-FR"/>
        </w:rPr>
        <w:t>’</w:t>
      </w:r>
      <w:r w:rsidRPr="00640F03">
        <w:rPr>
          <w:lang w:val="fr-FR"/>
        </w:rPr>
        <w:t>Oviedo : la possibilité pour une juridiction nationale de saisir la Cour d</w:t>
      </w:r>
      <w:r w:rsidRPr="00640F03" w:rsidR="00640F03">
        <w:rPr>
          <w:lang w:val="fr-FR"/>
        </w:rPr>
        <w:t>’</w:t>
      </w:r>
      <w:r w:rsidRPr="00640F03">
        <w:rPr>
          <w:lang w:val="fr-FR"/>
        </w:rPr>
        <w:t>une question préjudicielle a été totalement supprimée de l</w:t>
      </w:r>
      <w:r w:rsidRPr="00640F03" w:rsidR="00640F03">
        <w:rPr>
          <w:lang w:val="fr-FR"/>
        </w:rPr>
        <w:t>’</w:t>
      </w:r>
      <w:r w:rsidRPr="00640F03">
        <w:rPr>
          <w:lang w:val="fr-FR"/>
        </w:rPr>
        <w:t>article</w:t>
      </w:r>
      <w:r w:rsidRPr="00640F03" w:rsidR="00DE1DB7">
        <w:rPr>
          <w:lang w:val="fr-FR"/>
        </w:rPr>
        <w:t> </w:t>
      </w:r>
      <w:r w:rsidRPr="00640F03">
        <w:rPr>
          <w:lang w:val="fr-FR"/>
        </w:rPr>
        <w:t>29 de la Convention d</w:t>
      </w:r>
      <w:r w:rsidRPr="00640F03" w:rsidR="00640F03">
        <w:rPr>
          <w:lang w:val="fr-FR"/>
        </w:rPr>
        <w:t>’</w:t>
      </w:r>
      <w:r w:rsidRPr="00640F03">
        <w:rPr>
          <w:lang w:val="fr-FR"/>
        </w:rPr>
        <w:t>Oviedo. De surcroît, suivant une autre suggestion de la Cour (paragraphe 5 de l</w:t>
      </w:r>
      <w:r w:rsidRPr="00640F03" w:rsidR="00640F03">
        <w:rPr>
          <w:lang w:val="fr-FR"/>
        </w:rPr>
        <w:t>’</w:t>
      </w:r>
      <w:r w:rsidRPr="00640F03">
        <w:rPr>
          <w:lang w:val="fr-FR"/>
        </w:rPr>
        <w:t>avis de la Cour), les rédacteurs de la Convention d</w:t>
      </w:r>
      <w:r w:rsidRPr="00640F03" w:rsidR="00640F03">
        <w:rPr>
          <w:lang w:val="fr-FR"/>
        </w:rPr>
        <w:t>’</w:t>
      </w:r>
      <w:r w:rsidRPr="00640F03">
        <w:rPr>
          <w:lang w:val="fr-FR"/>
        </w:rPr>
        <w:t>Oviedo ont ajouté la condition qu</w:t>
      </w:r>
      <w:r w:rsidRPr="00640F03" w:rsidR="00640F03">
        <w:rPr>
          <w:lang w:val="fr-FR"/>
        </w:rPr>
        <w:t>’</w:t>
      </w:r>
      <w:r w:rsidRPr="00640F03">
        <w:rPr>
          <w:lang w:val="fr-FR"/>
        </w:rPr>
        <w:t>une demande d</w:t>
      </w:r>
      <w:r w:rsidRPr="00640F03" w:rsidR="00640F03">
        <w:rPr>
          <w:lang w:val="fr-FR"/>
        </w:rPr>
        <w:t>’</w:t>
      </w:r>
      <w:r w:rsidRPr="00640F03">
        <w:rPr>
          <w:lang w:val="fr-FR"/>
        </w:rPr>
        <w:t>avis consultatif (soumise par un gouvernement ou par le comité compétent, actuellement le DH-BIO) ne devait comporter « aucune référence directe à un litige concret se déroulant devant une juridiction ».</w:t>
      </w:r>
    </w:p>
    <w:p w:rsidRPr="00640F03" w:rsidR="0003196A" w:rsidP="00640F03" w:rsidRDefault="0003196A" w14:paraId="1F70F393" w14:textId="230297B4">
      <w:pPr>
        <w:pStyle w:val="JuPara"/>
        <w:rPr>
          <w:lang w:val="fr-FR"/>
        </w:rPr>
      </w:pPr>
      <w:r w:rsidRPr="00640F03">
        <w:rPr>
          <w:lang w:val="fr-FR"/>
        </w:rPr>
        <w:t>Si des conclusions peuvent être tirées des travaux préparatoires, elles indiquent à notre avis, d</w:t>
      </w:r>
      <w:r w:rsidRPr="00640F03" w:rsidR="00640F03">
        <w:rPr>
          <w:lang w:val="fr-FR"/>
        </w:rPr>
        <w:t>’</w:t>
      </w:r>
      <w:r w:rsidRPr="00640F03">
        <w:rPr>
          <w:lang w:val="fr-FR"/>
        </w:rPr>
        <w:t>une part, que l</w:t>
      </w:r>
      <w:r w:rsidRPr="00640F03" w:rsidR="00640F03">
        <w:rPr>
          <w:lang w:val="fr-FR"/>
        </w:rPr>
        <w:t>’</w:t>
      </w:r>
      <w:r w:rsidRPr="00640F03">
        <w:rPr>
          <w:lang w:val="fr-FR"/>
        </w:rPr>
        <w:t>intention des rédacteurs, avec le soutien de la Cour, était d</w:t>
      </w:r>
      <w:r w:rsidRPr="00640F03" w:rsidR="00640F03">
        <w:rPr>
          <w:lang w:val="fr-FR"/>
        </w:rPr>
        <w:t>’</w:t>
      </w:r>
      <w:r w:rsidRPr="00640F03">
        <w:rPr>
          <w:lang w:val="fr-FR"/>
        </w:rPr>
        <w:t>accorder à celle-ci une large compétence consultative au titre de la Convention d</w:t>
      </w:r>
      <w:r w:rsidRPr="00640F03" w:rsidR="00640F03">
        <w:rPr>
          <w:lang w:val="fr-FR"/>
        </w:rPr>
        <w:t>’</w:t>
      </w:r>
      <w:r w:rsidRPr="00640F03">
        <w:rPr>
          <w:lang w:val="fr-FR"/>
        </w:rPr>
        <w:t>Oviedo et, d</w:t>
      </w:r>
      <w:r w:rsidRPr="00640F03" w:rsidR="00640F03">
        <w:rPr>
          <w:lang w:val="fr-FR"/>
        </w:rPr>
        <w:t>’</w:t>
      </w:r>
      <w:r w:rsidRPr="00640F03">
        <w:rPr>
          <w:lang w:val="fr-FR"/>
        </w:rPr>
        <w:t xml:space="preserve">autre part, que </w:t>
      </w:r>
      <w:bookmarkStart w:name="_Hlk80779698" w:id="41"/>
      <w:r w:rsidRPr="00640F03">
        <w:rPr>
          <w:lang w:val="fr-FR"/>
        </w:rPr>
        <w:t>tout risque de chevauchement entre une demande d</w:t>
      </w:r>
      <w:r w:rsidRPr="00640F03" w:rsidR="00640F03">
        <w:rPr>
          <w:lang w:val="fr-FR"/>
        </w:rPr>
        <w:t>’</w:t>
      </w:r>
      <w:r w:rsidRPr="00640F03">
        <w:rPr>
          <w:lang w:val="fr-FR"/>
        </w:rPr>
        <w:t>avis consultatif au titre de la Convention d</w:t>
      </w:r>
      <w:r w:rsidRPr="00640F03" w:rsidR="00640F03">
        <w:rPr>
          <w:lang w:val="fr-FR"/>
        </w:rPr>
        <w:t>’</w:t>
      </w:r>
      <w:r w:rsidRPr="00640F03">
        <w:rPr>
          <w:lang w:val="fr-FR"/>
        </w:rPr>
        <w:t>Oviedo et une requête ultérieure introduite au titre de la Convention a été écarté grâce à la formulation de l</w:t>
      </w:r>
      <w:r w:rsidRPr="00640F03" w:rsidR="00640F03">
        <w:rPr>
          <w:lang w:val="fr-FR"/>
        </w:rPr>
        <w:t>’</w:t>
      </w:r>
      <w:r w:rsidRPr="00640F03">
        <w:rPr>
          <w:lang w:val="fr-FR"/>
        </w:rPr>
        <w:t>article 29.</w:t>
      </w:r>
      <w:bookmarkStart w:name="_Hlk82418178" w:id="42"/>
      <w:bookmarkEnd w:id="41"/>
    </w:p>
    <w:p w:rsidRPr="00640F03" w:rsidR="0003196A" w:rsidP="00640F03" w:rsidRDefault="0003196A" w14:paraId="00D98B42" w14:textId="75D00035">
      <w:pPr>
        <w:pStyle w:val="JuHIRoman"/>
        <w:numPr>
          <w:ilvl w:val="0"/>
          <w:numId w:val="0"/>
        </w:numPr>
        <w:ind w:left="397" w:hanging="397"/>
        <w:rPr>
          <w:lang w:val="fr-FR"/>
        </w:rPr>
      </w:pPr>
      <w:r w:rsidRPr="00640F03">
        <w:rPr>
          <w:lang w:val="fr-FR"/>
        </w:rPr>
        <w:t>II.</w:t>
      </w:r>
      <w:r w:rsidRPr="00640F03" w:rsidR="00CC43E3">
        <w:rPr>
          <w:lang w:val="fr-FR"/>
        </w:rPr>
        <w:tab/>
      </w:r>
      <w:r w:rsidRPr="00640F03">
        <w:rPr>
          <w:lang w:val="fr-FR"/>
        </w:rPr>
        <w:t>La recevabilité de la présente demande</w:t>
      </w:r>
    </w:p>
    <w:bookmarkEnd w:id="42"/>
    <w:p w:rsidRPr="00640F03" w:rsidR="0003196A" w:rsidP="00640F03" w:rsidRDefault="002B16D0" w14:paraId="44E2D794" w14:textId="08E52525">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C</w:t>
      </w:r>
      <w:r w:rsidRPr="00640F03" w:rsidR="00640F03">
        <w:rPr>
          <w:lang w:val="fr-FR"/>
        </w:rPr>
        <w:t>’</w:t>
      </w:r>
      <w:r w:rsidRPr="00640F03" w:rsidR="0003196A">
        <w:rPr>
          <w:lang w:val="fr-FR"/>
        </w:rPr>
        <w:t>est sur la base d</w:t>
      </w:r>
      <w:r w:rsidRPr="00640F03" w:rsidR="00640F03">
        <w:rPr>
          <w:lang w:val="fr-FR"/>
        </w:rPr>
        <w:t>’</w:t>
      </w:r>
      <w:r w:rsidRPr="00640F03" w:rsidR="0003196A">
        <w:rPr>
          <w:lang w:val="fr-FR"/>
        </w:rPr>
        <w:t>une interprétation large de la compétence consultative de la Cour au titre de l</w:t>
      </w:r>
      <w:r w:rsidRPr="00640F03" w:rsidR="00640F03">
        <w:rPr>
          <w:lang w:val="fr-FR"/>
        </w:rPr>
        <w:t>’</w:t>
      </w:r>
      <w:r w:rsidRPr="00640F03" w:rsidR="0003196A">
        <w:rPr>
          <w:lang w:val="fr-FR"/>
        </w:rPr>
        <w:t>article</w:t>
      </w:r>
      <w:r w:rsidRPr="00640F03" w:rsidR="00850B29">
        <w:rPr>
          <w:lang w:val="fr-FR"/>
        </w:rPr>
        <w:t> </w:t>
      </w:r>
      <w:r w:rsidRPr="00640F03" w:rsidR="0003196A">
        <w:rPr>
          <w:lang w:val="fr-FR"/>
        </w:rPr>
        <w:t>29 de la Convention d</w:t>
      </w:r>
      <w:r w:rsidRPr="00640F03" w:rsidR="00640F03">
        <w:rPr>
          <w:lang w:val="fr-FR"/>
        </w:rPr>
        <w:t>’</w:t>
      </w:r>
      <w:r w:rsidRPr="00640F03" w:rsidR="0003196A">
        <w:rPr>
          <w:lang w:val="fr-FR"/>
        </w:rPr>
        <w:t>Oviedo que nous en venons maintenant à la question de savoir si la présente demande satisfait aux exigences fixées par cette disposition. Nous considérons qu</w:t>
      </w:r>
      <w:r w:rsidRPr="00640F03" w:rsidR="00640F03">
        <w:rPr>
          <w:lang w:val="fr-FR"/>
        </w:rPr>
        <w:t>’</w:t>
      </w:r>
      <w:r w:rsidRPr="00640F03" w:rsidR="0003196A">
        <w:rPr>
          <w:lang w:val="fr-FR"/>
        </w:rPr>
        <w:t>il s</w:t>
      </w:r>
      <w:r w:rsidRPr="00640F03" w:rsidR="00640F03">
        <w:rPr>
          <w:lang w:val="fr-FR"/>
        </w:rPr>
        <w:t>’</w:t>
      </w:r>
      <w:r w:rsidRPr="00640F03" w:rsidR="0003196A">
        <w:rPr>
          <w:lang w:val="fr-FR"/>
        </w:rPr>
        <w:t>agit d</w:t>
      </w:r>
      <w:r w:rsidRPr="00640F03" w:rsidR="00640F03">
        <w:rPr>
          <w:lang w:val="fr-FR"/>
        </w:rPr>
        <w:t>’</w:t>
      </w:r>
      <w:r w:rsidRPr="00640F03" w:rsidR="0003196A">
        <w:rPr>
          <w:lang w:val="fr-FR"/>
        </w:rPr>
        <w:t>une question relative à la recevabilité de la demande et des questions qui y sont posées.</w:t>
      </w:r>
    </w:p>
    <w:p w:rsidRPr="00640F03" w:rsidR="0003196A" w:rsidP="00640F03" w:rsidRDefault="002B16D0" w14:paraId="4D751561" w14:textId="62C0690E">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Une demande formulée au titre de l</w:t>
      </w:r>
      <w:r w:rsidRPr="00640F03" w:rsidR="00640F03">
        <w:rPr>
          <w:lang w:val="fr-FR"/>
        </w:rPr>
        <w:t>’</w:t>
      </w:r>
      <w:r w:rsidRPr="00640F03" w:rsidR="0003196A">
        <w:rPr>
          <w:lang w:val="fr-FR"/>
        </w:rPr>
        <w:t>article</w:t>
      </w:r>
      <w:r w:rsidRPr="00640F03" w:rsidR="00850B29">
        <w:rPr>
          <w:lang w:val="fr-FR"/>
        </w:rPr>
        <w:t> </w:t>
      </w:r>
      <w:r w:rsidRPr="00640F03" w:rsidR="0003196A">
        <w:rPr>
          <w:lang w:val="fr-FR"/>
        </w:rPr>
        <w:t>29 de la Convention d</w:t>
      </w:r>
      <w:r w:rsidRPr="00640F03" w:rsidR="00640F03">
        <w:rPr>
          <w:lang w:val="fr-FR"/>
        </w:rPr>
        <w:t>’</w:t>
      </w:r>
      <w:r w:rsidRPr="00640F03" w:rsidR="0003196A">
        <w:rPr>
          <w:lang w:val="fr-FR"/>
        </w:rPr>
        <w:t>Oviedo est recevable si elle a été soumise par le Gouvernement d</w:t>
      </w:r>
      <w:r w:rsidRPr="00640F03" w:rsidR="00640F03">
        <w:rPr>
          <w:lang w:val="fr-FR"/>
        </w:rPr>
        <w:t>’</w:t>
      </w:r>
      <w:r w:rsidRPr="00640F03" w:rsidR="0003196A">
        <w:rPr>
          <w:lang w:val="fr-FR"/>
        </w:rPr>
        <w:t>une Partie ou par le DH-BIO, si elle ne fait aucune référence directe à une quelconque procédure dont une juridiction aurait été saisie et si elle porte sur « des questions juridiques concernant l</w:t>
      </w:r>
      <w:r w:rsidRPr="00640F03" w:rsidR="00640F03">
        <w:rPr>
          <w:lang w:val="fr-FR"/>
        </w:rPr>
        <w:t>’</w:t>
      </w:r>
      <w:r w:rsidRPr="00640F03" w:rsidR="0003196A">
        <w:rPr>
          <w:lang w:val="fr-FR"/>
        </w:rPr>
        <w:t>interprétation de la présente Convention ». En l</w:t>
      </w:r>
      <w:r w:rsidRPr="00640F03" w:rsidR="00640F03">
        <w:rPr>
          <w:lang w:val="fr-FR"/>
        </w:rPr>
        <w:t>’</w:t>
      </w:r>
      <w:r w:rsidRPr="00640F03" w:rsidR="0003196A">
        <w:rPr>
          <w:lang w:val="fr-FR"/>
        </w:rPr>
        <w:t>espèce, les deux premières conditions sont remplies, comme l</w:t>
      </w:r>
      <w:r w:rsidRPr="00640F03" w:rsidR="00640F03">
        <w:rPr>
          <w:lang w:val="fr-FR"/>
        </w:rPr>
        <w:t>’</w:t>
      </w:r>
      <w:r w:rsidRPr="00640F03" w:rsidR="0003196A">
        <w:rPr>
          <w:lang w:val="fr-FR"/>
        </w:rPr>
        <w:t>admet la majorité (paragraphes</w:t>
      </w:r>
      <w:r w:rsidRPr="00640F03" w:rsidR="00850B29">
        <w:rPr>
          <w:lang w:val="fr-FR"/>
        </w:rPr>
        <w:t> </w:t>
      </w:r>
      <w:r w:rsidRPr="00640F03" w:rsidR="0003196A">
        <w:rPr>
          <w:lang w:val="fr-FR"/>
        </w:rPr>
        <w:t xml:space="preserve">56-57 de la </w:t>
      </w:r>
      <w:r w:rsidRPr="00640F03" w:rsidR="00AE349B">
        <w:rPr>
          <w:lang w:val="fr-FR"/>
        </w:rPr>
        <w:t xml:space="preserve">présente </w:t>
      </w:r>
      <w:r w:rsidRPr="00640F03" w:rsidR="0003196A">
        <w:rPr>
          <w:lang w:val="fr-FR"/>
        </w:rPr>
        <w:t>décision). La difficulté réside dans la troisième condition.</w:t>
      </w:r>
    </w:p>
    <w:p w:rsidRPr="00640F03" w:rsidR="0003196A" w:rsidP="00640F03" w:rsidRDefault="002B16D0" w14:paraId="727395CE" w14:textId="095190E9">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Pour autant que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29 exige que les questions posées à la Cour revêtent un caractère « juridique », nous souscrivons à l</w:t>
      </w:r>
      <w:r w:rsidRPr="00640F03" w:rsidR="00640F03">
        <w:rPr>
          <w:lang w:val="fr-FR"/>
        </w:rPr>
        <w:t>’</w:t>
      </w:r>
      <w:r w:rsidRPr="00640F03" w:rsidR="0003196A">
        <w:rPr>
          <w:lang w:val="fr-FR"/>
        </w:rPr>
        <w:t>analyse de la majorité selon laquelle cette exigence exclut les questions « d</w:t>
      </w:r>
      <w:r w:rsidRPr="00640F03" w:rsidR="00640F03">
        <w:rPr>
          <w:lang w:val="fr-FR"/>
        </w:rPr>
        <w:t>’</w:t>
      </w:r>
      <w:r w:rsidRPr="00640F03" w:rsidR="0003196A">
        <w:rPr>
          <w:lang w:val="fr-FR"/>
        </w:rPr>
        <w:t>opportunité politique » (paragraphe</w:t>
      </w:r>
      <w:r w:rsidRPr="00640F03" w:rsidR="00DE1DB7">
        <w:rPr>
          <w:lang w:val="fr-FR"/>
        </w:rPr>
        <w:t> </w:t>
      </w:r>
      <w:r w:rsidRPr="00640F03" w:rsidR="0003196A">
        <w:rPr>
          <w:lang w:val="fr-FR"/>
        </w:rPr>
        <w:t xml:space="preserve">48 de la </w:t>
      </w:r>
      <w:r w:rsidRPr="00640F03" w:rsidR="00AE349B">
        <w:rPr>
          <w:lang w:val="fr-FR"/>
        </w:rPr>
        <w:t xml:space="preserve">présente </w:t>
      </w:r>
      <w:r w:rsidRPr="00640F03" w:rsidR="0003196A">
        <w:rPr>
          <w:lang w:val="fr-FR"/>
        </w:rPr>
        <w:t>décision). La Cour est un organe judiciaire chargé de traiter des questions juridiques, et non un organe investi du pouvoir de prendre des décisions sur des questions relevant d</w:t>
      </w:r>
      <w:r w:rsidRPr="00640F03" w:rsidR="00640F03">
        <w:rPr>
          <w:lang w:val="fr-FR"/>
        </w:rPr>
        <w:t>’</w:t>
      </w:r>
      <w:r w:rsidRPr="00640F03" w:rsidR="0003196A">
        <w:rPr>
          <w:lang w:val="fr-FR"/>
        </w:rPr>
        <w:t>un choix politique.</w:t>
      </w:r>
    </w:p>
    <w:p w:rsidRPr="00640F03" w:rsidR="0003196A" w:rsidP="00640F03" w:rsidRDefault="0003196A" w14:paraId="568397DD" w14:textId="036473F0">
      <w:pPr>
        <w:pStyle w:val="JuPara"/>
        <w:rPr>
          <w:lang w:val="fr-FR"/>
        </w:rPr>
      </w:pPr>
      <w:r w:rsidRPr="00640F03">
        <w:rPr>
          <w:lang w:val="fr-FR"/>
        </w:rPr>
        <w:t>Nous considérons toutefois que l</w:t>
      </w:r>
      <w:r w:rsidRPr="00640F03" w:rsidR="00640F03">
        <w:rPr>
          <w:lang w:val="fr-FR"/>
        </w:rPr>
        <w:t>’</w:t>
      </w:r>
      <w:r w:rsidRPr="00640F03">
        <w:rPr>
          <w:lang w:val="fr-FR"/>
        </w:rPr>
        <w:t>article</w:t>
      </w:r>
      <w:r w:rsidRPr="00640F03" w:rsidR="00DE1DB7">
        <w:rPr>
          <w:lang w:val="fr-FR"/>
        </w:rPr>
        <w:t> </w:t>
      </w:r>
      <w:r w:rsidRPr="00640F03">
        <w:rPr>
          <w:lang w:val="fr-FR"/>
        </w:rPr>
        <w:t>29 ne saurait exclure les demandes d</w:t>
      </w:r>
      <w:r w:rsidRPr="00640F03" w:rsidR="00640F03">
        <w:rPr>
          <w:lang w:val="fr-FR"/>
        </w:rPr>
        <w:t>’</w:t>
      </w:r>
      <w:r w:rsidRPr="00640F03">
        <w:rPr>
          <w:lang w:val="fr-FR"/>
        </w:rPr>
        <w:t>avis sur une question juridique au seul motif que la réponse de la Cour pourrait être source d</w:t>
      </w:r>
      <w:r w:rsidRPr="00640F03" w:rsidR="00640F03">
        <w:rPr>
          <w:lang w:val="fr-FR"/>
        </w:rPr>
        <w:t>’</w:t>
      </w:r>
      <w:r w:rsidRPr="00640F03">
        <w:rPr>
          <w:lang w:val="fr-FR"/>
        </w:rPr>
        <w:t>interprétation pour un éventuel projet de protocole à la Convention d</w:t>
      </w:r>
      <w:r w:rsidRPr="00640F03" w:rsidR="00640F03">
        <w:rPr>
          <w:lang w:val="fr-FR"/>
        </w:rPr>
        <w:t>’</w:t>
      </w:r>
      <w:r w:rsidRPr="00640F03">
        <w:rPr>
          <w:lang w:val="fr-FR"/>
        </w:rPr>
        <w:t>Oviedo. Nous sommes d</w:t>
      </w:r>
      <w:r w:rsidRPr="00640F03" w:rsidR="00640F03">
        <w:rPr>
          <w:lang w:val="fr-FR"/>
        </w:rPr>
        <w:t>’</w:t>
      </w:r>
      <w:r w:rsidRPr="00640F03">
        <w:rPr>
          <w:lang w:val="fr-FR"/>
        </w:rPr>
        <w:t>avis que le fait que le DH-BIO a précisé qu</w:t>
      </w:r>
      <w:r w:rsidRPr="00640F03" w:rsidR="00640F03">
        <w:rPr>
          <w:lang w:val="fr-FR"/>
        </w:rPr>
        <w:t>’</w:t>
      </w:r>
      <w:r w:rsidRPr="00640F03">
        <w:rPr>
          <w:lang w:val="fr-FR"/>
        </w:rPr>
        <w:t>il avait décidé de soumettre deux questions à la Cour « dans le but d</w:t>
      </w:r>
      <w:r w:rsidRPr="00640F03" w:rsidR="00640F03">
        <w:rPr>
          <w:lang w:val="fr-FR"/>
        </w:rPr>
        <w:t>’</w:t>
      </w:r>
      <w:r w:rsidRPr="00640F03">
        <w:rPr>
          <w:lang w:val="fr-FR"/>
        </w:rPr>
        <w:t>éclairer les actuels et futurs travaux du DH-BIO en la matière » (paragraphe</w:t>
      </w:r>
      <w:r w:rsidRPr="00640F03" w:rsidR="00DE1DB7">
        <w:rPr>
          <w:lang w:val="fr-FR"/>
        </w:rPr>
        <w:t> </w:t>
      </w:r>
      <w:r w:rsidRPr="00640F03">
        <w:rPr>
          <w:lang w:val="fr-FR"/>
        </w:rPr>
        <w:t>2 de la présente décision), ce qui peut être compris comme une allusion aux débats internes concernant le projet de Protocole additionnel relatif à la protection des droits de l</w:t>
      </w:r>
      <w:r w:rsidRPr="00640F03" w:rsidR="00640F03">
        <w:rPr>
          <w:lang w:val="fr-FR"/>
        </w:rPr>
        <w:t>’</w:t>
      </w:r>
      <w:r w:rsidRPr="00640F03">
        <w:rPr>
          <w:lang w:val="fr-FR"/>
        </w:rPr>
        <w:t>homme et de la dignité des personnes atteintes de troubles mentaux à l</w:t>
      </w:r>
      <w:r w:rsidRPr="00640F03" w:rsidR="00640F03">
        <w:rPr>
          <w:lang w:val="fr-FR"/>
        </w:rPr>
        <w:t>’</w:t>
      </w:r>
      <w:r w:rsidRPr="00640F03">
        <w:rPr>
          <w:lang w:val="fr-FR"/>
        </w:rPr>
        <w:t>égard du placement et du traitement involontaires (paragraphes 24-28 et 59 de la décision), ne devrait nullement influer sur la recevabilité de la demande. C</w:t>
      </w:r>
      <w:r w:rsidRPr="00640F03" w:rsidR="00640F03">
        <w:rPr>
          <w:lang w:val="fr-FR"/>
        </w:rPr>
        <w:t>’</w:t>
      </w:r>
      <w:r w:rsidRPr="00640F03">
        <w:rPr>
          <w:lang w:val="fr-FR"/>
        </w:rPr>
        <w:t>est l</w:t>
      </w:r>
      <w:r w:rsidRPr="00640F03" w:rsidR="00640F03">
        <w:rPr>
          <w:lang w:val="fr-FR"/>
        </w:rPr>
        <w:t>’</w:t>
      </w:r>
      <w:r w:rsidRPr="00640F03">
        <w:rPr>
          <w:lang w:val="fr-FR"/>
        </w:rPr>
        <w:t>objet de la demande qui compte, et non le but dans lequel un avis est sollicité.</w:t>
      </w:r>
    </w:p>
    <w:p w:rsidRPr="00640F03" w:rsidR="0003196A" w:rsidP="00640F03" w:rsidRDefault="002B16D0" w14:paraId="0BD9D35C" w14:textId="671FCD40">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Pour autant que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29 exige, par ailleurs, que les questions posées concernent « l</w:t>
      </w:r>
      <w:r w:rsidRPr="00640F03" w:rsidR="00640F03">
        <w:rPr>
          <w:lang w:val="fr-FR"/>
        </w:rPr>
        <w:t>’</w:t>
      </w:r>
      <w:r w:rsidRPr="00640F03" w:rsidR="0003196A">
        <w:rPr>
          <w:lang w:val="fr-FR"/>
        </w:rPr>
        <w:t>interprétation de la présente Convention », nous considérons que « l</w:t>
      </w:r>
      <w:r w:rsidRPr="00640F03" w:rsidR="00640F03">
        <w:rPr>
          <w:lang w:val="fr-FR"/>
        </w:rPr>
        <w:t>’</w:t>
      </w:r>
      <w:r w:rsidRPr="00640F03" w:rsidR="0003196A">
        <w:rPr>
          <w:lang w:val="fr-FR"/>
        </w:rPr>
        <w:t>interprétation » qui peut être demandée à la Cour ne doit pas nécessairement se borner à la Convention d</w:t>
      </w:r>
      <w:r w:rsidRPr="00640F03" w:rsidR="00640F03">
        <w:rPr>
          <w:lang w:val="fr-FR"/>
        </w:rPr>
        <w:t>’</w:t>
      </w:r>
      <w:r w:rsidRPr="00640F03" w:rsidR="0003196A">
        <w:rPr>
          <w:lang w:val="fr-FR"/>
        </w:rPr>
        <w:t>Oviedo telle qu</w:t>
      </w:r>
      <w:r w:rsidRPr="00640F03" w:rsidR="00640F03">
        <w:rPr>
          <w:lang w:val="fr-FR"/>
        </w:rPr>
        <w:t>’</w:t>
      </w:r>
      <w:r w:rsidRPr="00640F03" w:rsidR="0003196A">
        <w:rPr>
          <w:lang w:val="fr-FR"/>
        </w:rPr>
        <w:t>elle était entendue en 1997, alors que tout développement ultérieur des principes contenus dans la Convention d</w:t>
      </w:r>
      <w:r w:rsidRPr="00640F03" w:rsidR="00640F03">
        <w:rPr>
          <w:lang w:val="fr-FR"/>
        </w:rPr>
        <w:t>’</w:t>
      </w:r>
      <w:r w:rsidRPr="00640F03" w:rsidR="0003196A">
        <w:rPr>
          <w:lang w:val="fr-FR"/>
        </w:rPr>
        <w:t>Oviedo devrait être le résultat exclusif de protocoles additionnels adoptés par les Parties contractantes à la Convention d</w:t>
      </w:r>
      <w:r w:rsidRPr="00640F03" w:rsidR="00640F03">
        <w:rPr>
          <w:lang w:val="fr-FR"/>
        </w:rPr>
        <w:t>’</w:t>
      </w:r>
      <w:r w:rsidRPr="00640F03" w:rsidR="0003196A">
        <w:rPr>
          <w:lang w:val="fr-FR"/>
        </w:rPr>
        <w:t>Oviedo conformément à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 xml:space="preserve">31 de celle-ci (paragraphe 49 de la </w:t>
      </w:r>
      <w:r w:rsidRPr="00640F03" w:rsidR="00AE349B">
        <w:rPr>
          <w:lang w:val="fr-FR"/>
        </w:rPr>
        <w:t xml:space="preserve">présente </w:t>
      </w:r>
      <w:r w:rsidRPr="00640F03" w:rsidR="0003196A">
        <w:rPr>
          <w:lang w:val="fr-FR"/>
        </w:rPr>
        <w:t>décision).</w:t>
      </w:r>
    </w:p>
    <w:p w:rsidRPr="00640F03" w:rsidR="0003196A" w:rsidP="00640F03" w:rsidRDefault="0003196A" w14:paraId="6D8865C9" w14:textId="227E569A">
      <w:pPr>
        <w:pStyle w:val="JuPara"/>
        <w:rPr>
          <w:lang w:val="fr-FR"/>
        </w:rPr>
      </w:pPr>
      <w:r w:rsidRPr="00640F03">
        <w:rPr>
          <w:lang w:val="fr-FR"/>
        </w:rPr>
        <w:t>Nous observons que la majorité rejette catégoriquement l</w:t>
      </w:r>
      <w:r w:rsidRPr="00640F03" w:rsidR="00640F03">
        <w:rPr>
          <w:lang w:val="fr-FR"/>
        </w:rPr>
        <w:t>’</w:t>
      </w:r>
      <w:r w:rsidRPr="00640F03">
        <w:rPr>
          <w:lang w:val="fr-FR"/>
        </w:rPr>
        <w:t>idée de la Convention d</w:t>
      </w:r>
      <w:r w:rsidRPr="00640F03" w:rsidR="00640F03">
        <w:rPr>
          <w:lang w:val="fr-FR"/>
        </w:rPr>
        <w:t>’</w:t>
      </w:r>
      <w:r w:rsidRPr="00640F03">
        <w:rPr>
          <w:lang w:val="fr-FR"/>
        </w:rPr>
        <w:t>Oviedo comme un « instrument vivant » (</w:t>
      </w:r>
      <w:r w:rsidRPr="00640F03">
        <w:rPr>
          <w:i/>
          <w:iCs/>
          <w:lang w:val="fr-FR"/>
        </w:rPr>
        <w:t>ibidem</w:t>
      </w:r>
      <w:r w:rsidRPr="00640F03">
        <w:rPr>
          <w:lang w:val="fr-FR"/>
        </w:rPr>
        <w:t>). Nous pensons que cette question nécessite une réflexion plus approfondie et que les choses pourraient ne pas être aussi évidentes. Certes, les rédacteurs de la Convention d</w:t>
      </w:r>
      <w:r w:rsidRPr="00640F03" w:rsidR="00640F03">
        <w:rPr>
          <w:lang w:val="fr-FR"/>
        </w:rPr>
        <w:t>’</w:t>
      </w:r>
      <w:r w:rsidRPr="00640F03">
        <w:rPr>
          <w:lang w:val="fr-FR"/>
        </w:rPr>
        <w:t xml:space="preserve">Oviedo ont opté pour le </w:t>
      </w:r>
      <w:r w:rsidRPr="00640F03">
        <w:rPr>
          <w:i/>
          <w:iCs/>
          <w:lang w:val="fr-FR"/>
        </w:rPr>
        <w:t>développement</w:t>
      </w:r>
      <w:r w:rsidRPr="00640F03">
        <w:rPr>
          <w:lang w:val="fr-FR"/>
        </w:rPr>
        <w:t xml:space="preserve"> des principes généraux au travers de protocoles spécifiques ; mais ces protocoles visent aussi à </w:t>
      </w:r>
      <w:r w:rsidRPr="00640F03">
        <w:rPr>
          <w:i/>
          <w:iCs/>
          <w:lang w:val="fr-FR"/>
        </w:rPr>
        <w:t>préciser</w:t>
      </w:r>
      <w:r w:rsidRPr="00640F03">
        <w:rPr>
          <w:lang w:val="fr-FR"/>
        </w:rPr>
        <w:t xml:space="preserve"> le sens dans des domaines spécifiques de principes qui sont « valables pour l</w:t>
      </w:r>
      <w:r w:rsidRPr="00640F03" w:rsidR="00640F03">
        <w:rPr>
          <w:lang w:val="fr-FR"/>
        </w:rPr>
        <w:t>’</w:t>
      </w:r>
      <w:r w:rsidRPr="00640F03">
        <w:rPr>
          <w:lang w:val="fr-FR"/>
        </w:rPr>
        <w:t>ensemble des applications de la biologie et de la médecine humaines » (</w:t>
      </w:r>
      <w:r w:rsidRPr="00640F03" w:rsidR="00AE349B">
        <w:rPr>
          <w:lang w:val="fr-FR"/>
        </w:rPr>
        <w:t xml:space="preserve">paragraphe </w:t>
      </w:r>
      <w:r w:rsidRPr="00640F03">
        <w:rPr>
          <w:lang w:val="fr-FR"/>
        </w:rPr>
        <w:t>167</w:t>
      </w:r>
      <w:r w:rsidRPr="00640F03" w:rsidR="00AE349B">
        <w:rPr>
          <w:lang w:val="fr-FR"/>
        </w:rPr>
        <w:t xml:space="preserve"> du rapport explicatif</w:t>
      </w:r>
      <w:r w:rsidRPr="00640F03">
        <w:rPr>
          <w:lang w:val="fr-FR"/>
        </w:rPr>
        <w:t>).</w:t>
      </w:r>
    </w:p>
    <w:p w:rsidRPr="00640F03" w:rsidR="0003196A" w:rsidP="00640F03" w:rsidRDefault="0003196A" w14:paraId="6BC02685" w14:textId="085103F3">
      <w:pPr>
        <w:pStyle w:val="JuPara"/>
        <w:rPr>
          <w:lang w:val="fr-FR"/>
        </w:rPr>
      </w:pPr>
      <w:r w:rsidRPr="00640F03">
        <w:rPr>
          <w:lang w:val="fr-FR"/>
        </w:rPr>
        <w:t>En tout état de cause, le fait que la Convention d</w:t>
      </w:r>
      <w:r w:rsidRPr="00640F03" w:rsidR="00640F03">
        <w:rPr>
          <w:lang w:val="fr-FR"/>
        </w:rPr>
        <w:t>’</w:t>
      </w:r>
      <w:r w:rsidRPr="00640F03">
        <w:rPr>
          <w:lang w:val="fr-FR"/>
        </w:rPr>
        <w:t>Oviedo prévoit la possibilité d</w:t>
      </w:r>
      <w:r w:rsidRPr="00640F03" w:rsidR="00640F03">
        <w:rPr>
          <w:lang w:val="fr-FR"/>
        </w:rPr>
        <w:t>’</w:t>
      </w:r>
      <w:r w:rsidRPr="00640F03">
        <w:rPr>
          <w:lang w:val="fr-FR"/>
        </w:rPr>
        <w:t xml:space="preserve">un </w:t>
      </w:r>
      <w:r w:rsidRPr="00640F03">
        <w:rPr>
          <w:i/>
          <w:iCs/>
          <w:lang w:val="fr-FR"/>
        </w:rPr>
        <w:t>développement</w:t>
      </w:r>
      <w:r w:rsidRPr="00640F03">
        <w:rPr>
          <w:lang w:val="fr-FR"/>
        </w:rPr>
        <w:t xml:space="preserve"> de ses principes au travers de protocoles additionnels concernant des domaines spécifiques n</w:t>
      </w:r>
      <w:r w:rsidRPr="00640F03" w:rsidR="00640F03">
        <w:rPr>
          <w:lang w:val="fr-FR"/>
        </w:rPr>
        <w:t>’</w:t>
      </w:r>
      <w:r w:rsidRPr="00640F03">
        <w:rPr>
          <w:lang w:val="fr-FR"/>
        </w:rPr>
        <w:t xml:space="preserve">interdit pas, selon nous, une </w:t>
      </w:r>
      <w:r w:rsidRPr="00640F03">
        <w:rPr>
          <w:i/>
          <w:iCs/>
          <w:lang w:val="fr-FR"/>
        </w:rPr>
        <w:t>interprétation</w:t>
      </w:r>
      <w:r w:rsidRPr="00640F03">
        <w:rPr>
          <w:lang w:val="fr-FR"/>
        </w:rPr>
        <w:t xml:space="preserve"> du sens des dispositions de la Convention d</w:t>
      </w:r>
      <w:r w:rsidRPr="00640F03" w:rsidR="00640F03">
        <w:rPr>
          <w:lang w:val="fr-FR"/>
        </w:rPr>
        <w:t>’</w:t>
      </w:r>
      <w:r w:rsidRPr="00640F03">
        <w:rPr>
          <w:lang w:val="fr-FR"/>
        </w:rPr>
        <w:t>Oviedo elle</w:t>
      </w:r>
      <w:r w:rsidRPr="00640F03">
        <w:rPr>
          <w:lang w:val="fr-FR"/>
        </w:rPr>
        <w:noBreakHyphen/>
        <w:t>même, même si c</w:t>
      </w:r>
      <w:r w:rsidRPr="00640F03" w:rsidR="00640F03">
        <w:rPr>
          <w:lang w:val="fr-FR"/>
        </w:rPr>
        <w:t>’</w:t>
      </w:r>
      <w:r w:rsidRPr="00640F03">
        <w:rPr>
          <w:lang w:val="fr-FR"/>
        </w:rPr>
        <w:t>est en vue de l</w:t>
      </w:r>
      <w:r w:rsidRPr="00640F03" w:rsidR="00640F03">
        <w:rPr>
          <w:lang w:val="fr-FR"/>
        </w:rPr>
        <w:t>’</w:t>
      </w:r>
      <w:r w:rsidRPr="00640F03">
        <w:rPr>
          <w:lang w:val="fr-FR"/>
        </w:rPr>
        <w:t>application de ces principes à un domaine spécifique.</w:t>
      </w:r>
    </w:p>
    <w:p w:rsidRPr="00640F03" w:rsidR="0003196A" w:rsidP="00640F03" w:rsidRDefault="002B16D0" w14:paraId="2903AFE4" w14:textId="7E25DC89">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Concernant les questions spécifiques posées à la Cour dans la présente demande, nous sommes d</w:t>
      </w:r>
      <w:r w:rsidRPr="00640F03" w:rsidR="00640F03">
        <w:rPr>
          <w:lang w:val="fr-FR"/>
        </w:rPr>
        <w:t>’</w:t>
      </w:r>
      <w:r w:rsidRPr="00640F03" w:rsidR="0003196A">
        <w:rPr>
          <w:lang w:val="fr-FR"/>
        </w:rPr>
        <w:t>avis qu</w:t>
      </w:r>
      <w:r w:rsidRPr="00640F03" w:rsidR="00640F03">
        <w:rPr>
          <w:lang w:val="fr-FR"/>
        </w:rPr>
        <w:t>’</w:t>
      </w:r>
      <w:r w:rsidRPr="00640F03" w:rsidR="0003196A">
        <w:rPr>
          <w:lang w:val="fr-FR"/>
        </w:rPr>
        <w:t>elles ont pour objet de clarifier quelles sont les exigences minimales découlant des articles 7 et 26 de la Convention d</w:t>
      </w:r>
      <w:r w:rsidRPr="00640F03" w:rsidR="00640F03">
        <w:rPr>
          <w:lang w:val="fr-FR"/>
        </w:rPr>
        <w:t>’</w:t>
      </w:r>
      <w:r w:rsidRPr="00640F03" w:rsidR="0003196A">
        <w:rPr>
          <w:lang w:val="fr-FR"/>
        </w:rPr>
        <w:t>Oviedo dans le domaine spécifique du traitement des troubles mentaux. Le DH-BIO invite la Cour à tenir compte, dans son avis, de la Convention, de sa jurisprudence et de la Convention d</w:t>
      </w:r>
      <w:r w:rsidRPr="00640F03" w:rsidR="00640F03">
        <w:rPr>
          <w:lang w:val="fr-FR"/>
        </w:rPr>
        <w:t>’</w:t>
      </w:r>
      <w:r w:rsidRPr="00640F03" w:rsidR="0003196A">
        <w:rPr>
          <w:lang w:val="fr-FR"/>
        </w:rPr>
        <w:t>Oviedo.</w:t>
      </w:r>
    </w:p>
    <w:p w:rsidRPr="00640F03" w:rsidR="0003196A" w:rsidP="00640F03" w:rsidRDefault="0003196A" w14:paraId="6FD99019" w14:textId="74E9570A">
      <w:pPr>
        <w:pStyle w:val="JuPara"/>
        <w:rPr>
          <w:lang w:val="fr-FR"/>
        </w:rPr>
      </w:pPr>
      <w:r w:rsidRPr="00640F03">
        <w:rPr>
          <w:lang w:val="fr-FR"/>
        </w:rPr>
        <w:t>Ces questions concernent l</w:t>
      </w:r>
      <w:r w:rsidRPr="00640F03" w:rsidR="00640F03">
        <w:rPr>
          <w:lang w:val="fr-FR"/>
        </w:rPr>
        <w:t>’</w:t>
      </w:r>
      <w:r w:rsidRPr="00640F03">
        <w:rPr>
          <w:lang w:val="fr-FR"/>
        </w:rPr>
        <w:t>interprétation de la Convention d</w:t>
      </w:r>
      <w:r w:rsidRPr="00640F03" w:rsidR="00640F03">
        <w:rPr>
          <w:lang w:val="fr-FR"/>
        </w:rPr>
        <w:t>’</w:t>
      </w:r>
      <w:r w:rsidRPr="00640F03">
        <w:rPr>
          <w:lang w:val="fr-FR"/>
        </w:rPr>
        <w:t>Oviedo, et non une politique quelconque que les autorités compétentes devraient adopter. Le fait que l</w:t>
      </w:r>
      <w:r w:rsidRPr="00640F03" w:rsidR="00640F03">
        <w:rPr>
          <w:lang w:val="fr-FR"/>
        </w:rPr>
        <w:t>’</w:t>
      </w:r>
      <w:r w:rsidRPr="00640F03">
        <w:rPr>
          <w:lang w:val="fr-FR"/>
        </w:rPr>
        <w:t>avis de la Cour puisse contenir des éléments qui pourraient aider le DH-BIO dans son examen du projet de Protocole additionnel relatif au placement et au traitement involontaires des personnes atteintes de troubles mentaux ne change en rien notre conclusion.</w:t>
      </w:r>
    </w:p>
    <w:p w:rsidRPr="00640F03" w:rsidR="0003196A" w:rsidP="00640F03" w:rsidRDefault="0003196A" w14:paraId="49B84296" w14:textId="1B8A2DFD">
      <w:pPr>
        <w:pStyle w:val="JuPara"/>
        <w:rPr>
          <w:lang w:val="fr-FR"/>
        </w:rPr>
      </w:pPr>
      <w:r w:rsidRPr="00640F03">
        <w:rPr>
          <w:lang w:val="fr-FR"/>
        </w:rPr>
        <w:t>Nous concluons donc que les deux questions répondent aux exigences de l</w:t>
      </w:r>
      <w:r w:rsidRPr="00640F03" w:rsidR="00640F03">
        <w:rPr>
          <w:lang w:val="fr-FR"/>
        </w:rPr>
        <w:t>’</w:t>
      </w:r>
      <w:r w:rsidRPr="00640F03">
        <w:rPr>
          <w:lang w:val="fr-FR"/>
        </w:rPr>
        <w:t>article</w:t>
      </w:r>
      <w:r w:rsidRPr="00640F03" w:rsidR="001F52CF">
        <w:rPr>
          <w:lang w:val="fr-FR"/>
        </w:rPr>
        <w:t> </w:t>
      </w:r>
      <w:r w:rsidRPr="00640F03">
        <w:rPr>
          <w:lang w:val="fr-FR"/>
        </w:rPr>
        <w:t>29 de la Convention d</w:t>
      </w:r>
      <w:r w:rsidRPr="00640F03" w:rsidR="00640F03">
        <w:rPr>
          <w:lang w:val="fr-FR"/>
        </w:rPr>
        <w:t>’</w:t>
      </w:r>
      <w:r w:rsidRPr="00640F03">
        <w:rPr>
          <w:lang w:val="fr-FR"/>
        </w:rPr>
        <w:t>Oviedo et que la demande aurait dû être déclarée recevable.</w:t>
      </w:r>
      <w:bookmarkStart w:name="_Hlk82418278" w:id="43"/>
    </w:p>
    <w:p w:rsidRPr="00640F03" w:rsidR="0003196A" w:rsidP="00640F03" w:rsidRDefault="0003196A" w14:paraId="7739DDC6" w14:textId="35D661E3">
      <w:pPr>
        <w:pStyle w:val="JuHIRoman"/>
        <w:numPr>
          <w:ilvl w:val="0"/>
          <w:numId w:val="0"/>
        </w:numPr>
        <w:ind w:left="397" w:hanging="397"/>
        <w:rPr>
          <w:lang w:val="fr-FR"/>
        </w:rPr>
      </w:pPr>
      <w:r w:rsidRPr="00640F03">
        <w:rPr>
          <w:lang w:val="fr-FR"/>
        </w:rPr>
        <w:t>III.</w:t>
      </w:r>
      <w:r w:rsidRPr="00640F03" w:rsidR="002B16D0">
        <w:rPr>
          <w:lang w:val="fr-FR"/>
        </w:rPr>
        <w:t>  </w:t>
      </w:r>
      <w:r w:rsidRPr="00640F03">
        <w:rPr>
          <w:lang w:val="fr-FR"/>
        </w:rPr>
        <w:t>L</w:t>
      </w:r>
      <w:r w:rsidRPr="00640F03" w:rsidR="00640F03">
        <w:rPr>
          <w:lang w:val="fr-FR"/>
        </w:rPr>
        <w:t>’</w:t>
      </w:r>
      <w:r w:rsidRPr="00640F03">
        <w:rPr>
          <w:lang w:val="fr-FR"/>
        </w:rPr>
        <w:t>absence de réponse aux questions posées à la Cour</w:t>
      </w:r>
    </w:p>
    <w:bookmarkEnd w:id="43"/>
    <w:p w:rsidRPr="00640F03" w:rsidR="0003196A" w:rsidP="00640F03" w:rsidRDefault="002B16D0" w14:paraId="01FDFB6E" w14:textId="03AB2783">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Nous regrettons qu</w:t>
      </w:r>
      <w:r w:rsidRPr="00640F03" w:rsidR="00640F03">
        <w:rPr>
          <w:lang w:val="fr-FR"/>
        </w:rPr>
        <w:t>’</w:t>
      </w:r>
      <w:r w:rsidRPr="00640F03" w:rsidR="0003196A">
        <w:rPr>
          <w:lang w:val="fr-FR"/>
        </w:rPr>
        <w:t>en conséquence de sa conclusion quant à la compétence de la Cour la majorité n</w:t>
      </w:r>
      <w:r w:rsidRPr="00640F03" w:rsidR="00640F03">
        <w:rPr>
          <w:lang w:val="fr-FR"/>
        </w:rPr>
        <w:t>’</w:t>
      </w:r>
      <w:r w:rsidRPr="00640F03" w:rsidR="0003196A">
        <w:rPr>
          <w:lang w:val="fr-FR"/>
        </w:rPr>
        <w:t>entre pas dans un débat sur le fond des deux questions posées par le DH-BIO. Il s</w:t>
      </w:r>
      <w:r w:rsidRPr="00640F03" w:rsidR="00640F03">
        <w:rPr>
          <w:lang w:val="fr-FR"/>
        </w:rPr>
        <w:t>’</w:t>
      </w:r>
      <w:r w:rsidRPr="00640F03" w:rsidR="0003196A">
        <w:rPr>
          <w:lang w:val="fr-FR"/>
        </w:rPr>
        <w:t>agit de questions importantes et nous pensons que la Cour aurait pu y apporter une réponse significative.</w:t>
      </w:r>
    </w:p>
    <w:p w:rsidRPr="00640F03" w:rsidR="0003196A" w:rsidP="00640F03" w:rsidRDefault="0003196A" w14:paraId="21AFBD43" w14:textId="63D73194">
      <w:pPr>
        <w:pStyle w:val="JuPara"/>
        <w:rPr>
          <w:lang w:val="fr-FR"/>
        </w:rPr>
      </w:pPr>
      <w:r w:rsidRPr="00640F03">
        <w:rPr>
          <w:lang w:val="fr-FR"/>
        </w:rPr>
        <w:t>Selon la majorité, la Cour ne doit pas être impliquée dans un domaine qui relève largement de la compétence d</w:t>
      </w:r>
      <w:r w:rsidRPr="00640F03" w:rsidR="00640F03">
        <w:rPr>
          <w:lang w:val="fr-FR"/>
        </w:rPr>
        <w:t>’</w:t>
      </w:r>
      <w:r w:rsidRPr="00640F03">
        <w:rPr>
          <w:lang w:val="fr-FR"/>
        </w:rPr>
        <w:t>autres acteurs en vertu de la Convention d</w:t>
      </w:r>
      <w:r w:rsidRPr="00640F03" w:rsidR="00640F03">
        <w:rPr>
          <w:lang w:val="fr-FR"/>
        </w:rPr>
        <w:t>’</w:t>
      </w:r>
      <w:r w:rsidRPr="00640F03">
        <w:rPr>
          <w:lang w:val="fr-FR"/>
        </w:rPr>
        <w:t>Oviedo. Bien que nous soyons en désaccord avec cette interprétation, nous admettons que nous ne sommes qu</w:t>
      </w:r>
      <w:r w:rsidRPr="00640F03" w:rsidR="00640F03">
        <w:rPr>
          <w:lang w:val="fr-FR"/>
        </w:rPr>
        <w:t>’</w:t>
      </w:r>
      <w:r w:rsidRPr="00640F03">
        <w:rPr>
          <w:lang w:val="fr-FR"/>
        </w:rPr>
        <w:t>une minorité parmi les juges de la Grande Chambre. Dans ces circonstances, il ne nous semble pas approprié de prétendre pouvoir fournir des réponses alors que celles-ci n</w:t>
      </w:r>
      <w:r w:rsidRPr="00640F03" w:rsidR="00640F03">
        <w:rPr>
          <w:lang w:val="fr-FR"/>
        </w:rPr>
        <w:t>’</w:t>
      </w:r>
      <w:r w:rsidRPr="00640F03">
        <w:rPr>
          <w:lang w:val="fr-FR"/>
        </w:rPr>
        <w:t>ont pas fait l</w:t>
      </w:r>
      <w:r w:rsidRPr="00640F03" w:rsidR="00640F03">
        <w:rPr>
          <w:lang w:val="fr-FR"/>
        </w:rPr>
        <w:t>’</w:t>
      </w:r>
      <w:r w:rsidRPr="00640F03">
        <w:rPr>
          <w:lang w:val="fr-FR"/>
        </w:rPr>
        <w:t>objet de délibérations collégiales de fond.</w:t>
      </w:r>
    </w:p>
    <w:p w:rsidRPr="00640F03" w:rsidR="0003196A" w:rsidP="00640F03" w:rsidRDefault="002B16D0" w14:paraId="070F34FB" w14:textId="43F9DDBD">
      <w:pPr>
        <w:pStyle w:val="JuPara"/>
        <w:rPr>
          <w:lang w:val="fr-FR"/>
        </w:rPr>
      </w:pPr>
      <w:r w:rsidRPr="00640F03">
        <w:rPr>
          <w:lang w:val="fr-FR"/>
        </w:rPr>
        <w:fldChar w:fldCharType="begin"/>
      </w:r>
      <w:r w:rsidRPr="00640F03">
        <w:rPr>
          <w:lang w:val="fr-FR"/>
        </w:rPr>
        <w:instrText xml:space="preserve"> AUTONUM  \* Arabic </w:instrText>
      </w:r>
      <w:r w:rsidRPr="00640F03">
        <w:rPr>
          <w:lang w:val="fr-FR"/>
        </w:rPr>
        <w:fldChar w:fldCharType="end"/>
      </w:r>
      <w:r w:rsidRPr="00640F03">
        <w:rPr>
          <w:lang w:val="fr-FR"/>
        </w:rPr>
        <w:t>  </w:t>
      </w:r>
      <w:r w:rsidRPr="00640F03" w:rsidR="0003196A">
        <w:rPr>
          <w:lang w:val="fr-FR"/>
        </w:rPr>
        <w:t>Nous notons que la majorité, dans une sorte d</w:t>
      </w:r>
      <w:r w:rsidRPr="00640F03" w:rsidR="00640F03">
        <w:rPr>
          <w:lang w:val="fr-FR"/>
        </w:rPr>
        <w:t>’</w:t>
      </w:r>
      <w:r w:rsidRPr="00640F03" w:rsidR="0003196A">
        <w:rPr>
          <w:i/>
          <w:iCs/>
          <w:lang w:val="fr-FR"/>
        </w:rPr>
        <w:t>obiter dictum</w:t>
      </w:r>
      <w:r w:rsidRPr="00640F03" w:rsidR="0003196A">
        <w:rPr>
          <w:lang w:val="fr-FR"/>
        </w:rPr>
        <w:t>, formule une observation générale sur les problèmes de fond soulevés par la première question, relativement à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7 de la Convention d</w:t>
      </w:r>
      <w:r w:rsidRPr="00640F03" w:rsidR="00640F03">
        <w:rPr>
          <w:lang w:val="fr-FR"/>
        </w:rPr>
        <w:t>’</w:t>
      </w:r>
      <w:r w:rsidRPr="00640F03" w:rsidR="0003196A">
        <w:rPr>
          <w:lang w:val="fr-FR"/>
        </w:rPr>
        <w:t xml:space="preserve">Oviedo (paragraphe 69 de la </w:t>
      </w:r>
      <w:r w:rsidRPr="00640F03" w:rsidR="00AE349B">
        <w:rPr>
          <w:lang w:val="fr-FR"/>
        </w:rPr>
        <w:t xml:space="preserve">présente </w:t>
      </w:r>
      <w:r w:rsidRPr="00640F03" w:rsidR="0003196A">
        <w:rPr>
          <w:lang w:val="fr-FR"/>
        </w:rPr>
        <w:t>décision). Nous sommes d</w:t>
      </w:r>
      <w:r w:rsidRPr="00640F03" w:rsidR="00640F03">
        <w:rPr>
          <w:lang w:val="fr-FR"/>
        </w:rPr>
        <w:t>’</w:t>
      </w:r>
      <w:r w:rsidRPr="00640F03" w:rsidR="0003196A">
        <w:rPr>
          <w:lang w:val="fr-FR"/>
        </w:rPr>
        <w:t>accord sur le fait que les garanties prévues en droit interne qui correspondent aux « conditions de protection » exigées par l</w:t>
      </w:r>
      <w:r w:rsidRPr="00640F03" w:rsidR="00640F03">
        <w:rPr>
          <w:lang w:val="fr-FR"/>
        </w:rPr>
        <w:t>’</w:t>
      </w:r>
      <w:r w:rsidRPr="00640F03" w:rsidR="0003196A">
        <w:rPr>
          <w:lang w:val="fr-FR"/>
        </w:rPr>
        <w:t>article</w:t>
      </w:r>
      <w:r w:rsidRPr="00640F03" w:rsidR="00DE1DB7">
        <w:rPr>
          <w:lang w:val="fr-FR"/>
        </w:rPr>
        <w:t> </w:t>
      </w:r>
      <w:r w:rsidRPr="00640F03" w:rsidR="0003196A">
        <w:rPr>
          <w:lang w:val="fr-FR"/>
        </w:rPr>
        <w:t>7 de la Convention d</w:t>
      </w:r>
      <w:r w:rsidRPr="00640F03" w:rsidR="00640F03">
        <w:rPr>
          <w:lang w:val="fr-FR"/>
        </w:rPr>
        <w:t>’</w:t>
      </w:r>
      <w:r w:rsidRPr="00640F03" w:rsidR="0003196A">
        <w:rPr>
          <w:lang w:val="fr-FR"/>
        </w:rPr>
        <w:t>Oviedo « doivent être de nature à satisfaire à tout le moins aux exigences des dispositions pertinentes de la Convention, telles qu</w:t>
      </w:r>
      <w:r w:rsidRPr="00640F03" w:rsidR="00640F03">
        <w:rPr>
          <w:lang w:val="fr-FR"/>
        </w:rPr>
        <w:t>’</w:t>
      </w:r>
      <w:r w:rsidRPr="00640F03" w:rsidR="0003196A">
        <w:rPr>
          <w:lang w:val="fr-FR"/>
        </w:rPr>
        <w:t>interprétées par la Cour dans sa jurisprudence ». Nous souscrivons également à la référence à l</w:t>
      </w:r>
      <w:r w:rsidRPr="00640F03" w:rsidR="00640F03">
        <w:rPr>
          <w:lang w:val="fr-FR"/>
        </w:rPr>
        <w:t>’</w:t>
      </w:r>
      <w:r w:rsidRPr="00640F03" w:rsidR="0003196A">
        <w:rPr>
          <w:lang w:val="fr-FR"/>
        </w:rPr>
        <w:t>« approche dynamique dans l</w:t>
      </w:r>
      <w:r w:rsidRPr="00640F03" w:rsidR="00640F03">
        <w:rPr>
          <w:lang w:val="fr-FR"/>
        </w:rPr>
        <w:t>’</w:t>
      </w:r>
      <w:r w:rsidRPr="00640F03" w:rsidR="0003196A">
        <w:rPr>
          <w:lang w:val="fr-FR"/>
        </w:rPr>
        <w:t>interprétation de la Convention, guidée notamment par des normes juridiques et médicales en évolution constante, tant au niveau national qu</w:t>
      </w:r>
      <w:r w:rsidRPr="00640F03" w:rsidR="00640F03">
        <w:rPr>
          <w:lang w:val="fr-FR"/>
        </w:rPr>
        <w:t>’</w:t>
      </w:r>
      <w:r w:rsidRPr="00640F03" w:rsidR="0003196A">
        <w:rPr>
          <w:lang w:val="fr-FR"/>
        </w:rPr>
        <w:t>au niveau international ».</w:t>
      </w:r>
    </w:p>
    <w:p w:rsidRPr="00640F03" w:rsidR="00154417" w:rsidP="00640F03" w:rsidRDefault="0003196A" w14:paraId="3053BFA2" w14:textId="254985DB">
      <w:pPr>
        <w:pStyle w:val="JuPara"/>
        <w:rPr>
          <w:lang w:val="fr-FR"/>
        </w:rPr>
      </w:pPr>
      <w:r w:rsidRPr="00640F03">
        <w:rPr>
          <w:lang w:val="fr-FR"/>
        </w:rPr>
        <w:t>Mais nous aurions préféré que la Cour approfondisse son analyse sur la base de ces points de départ. Nous regrettons de ne pouvoir faire plus.</w:t>
      </w:r>
      <w:bookmarkEnd w:id="1"/>
    </w:p>
    <w:p w:rsidRPr="00640F03" w:rsidR="0041416D" w:rsidP="00640F03" w:rsidRDefault="0041416D" w14:paraId="10A0F62F" w14:textId="77777777">
      <w:pPr>
        <w:pStyle w:val="JuPara"/>
        <w:rPr>
          <w:lang w:val="fr-FR"/>
        </w:rPr>
      </w:pPr>
    </w:p>
    <w:sectPr w:rsidRPr="00640F03" w:rsidR="0041416D" w:rsidSect="0003196A">
      <w:headerReference w:type="default" r:id="rId16"/>
      <w:endnotePr>
        <w:numFmt w:val="decimal"/>
      </w:endnotePr>
      <w:pgSz w:w="11907" w:h="16840" w:code="9"/>
      <w:pgMar w:top="2126" w:right="2274" w:bottom="2274" w:left="2274" w:header="170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4ED7" w14:textId="77777777" w:rsidR="006E0F85" w:rsidRDefault="006E0F85" w:rsidP="00F6518C">
      <w:r>
        <w:separator/>
      </w:r>
    </w:p>
  </w:endnote>
  <w:endnote w:type="continuationSeparator" w:id="0">
    <w:p w14:paraId="2D3D5828" w14:textId="77777777" w:rsidR="006E0F85" w:rsidRDefault="006E0F85" w:rsidP="00F6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704374"/>
      <w:docPartObj>
        <w:docPartGallery w:val="Page Numbers (Bottom of Page)"/>
        <w:docPartUnique/>
      </w:docPartObj>
    </w:sdtPr>
    <w:sdtEndPr/>
    <w:sdtContent>
      <w:sdt>
        <w:sdtPr>
          <w:rPr>
            <w:rFonts w:ascii="Times New Roman" w:hAnsi="Times New Roman" w:cs="Times New Roman"/>
            <w:sz w:val="18"/>
            <w:szCs w:val="18"/>
          </w:rPr>
          <w:id w:val="1274980107"/>
          <w:docPartObj>
            <w:docPartGallery w:val="Page Numbers (Bottom of Page)"/>
            <w:docPartUnique/>
          </w:docPartObj>
        </w:sdtPr>
        <w:sdtEndPr/>
        <w:sdtContent>
          <w:p w14:paraId="7BDBA194" w14:textId="3D818A39" w:rsidR="006E0F85" w:rsidRPr="004E12C2" w:rsidRDefault="006E0F85" w:rsidP="004E12C2">
            <w:pPr>
              <w:pStyle w:val="Footer"/>
              <w:jc w:val="center"/>
              <w:rPr>
                <w:rFonts w:ascii="Times New Roman" w:hAnsi="Times New Roman" w:cs="Times New Roman"/>
                <w:sz w:val="18"/>
                <w:szCs w:val="18"/>
              </w:rPr>
            </w:pPr>
            <w:r w:rsidRPr="00965B51">
              <w:rPr>
                <w:rFonts w:ascii="Times New Roman" w:hAnsi="Times New Roman" w:cs="Times New Roman"/>
                <w:sz w:val="18"/>
                <w:szCs w:val="18"/>
              </w:rPr>
              <w:fldChar w:fldCharType="begin"/>
            </w:r>
            <w:r w:rsidRPr="00965B51">
              <w:rPr>
                <w:rFonts w:ascii="Times New Roman" w:hAnsi="Times New Roman" w:cs="Times New Roman"/>
                <w:sz w:val="18"/>
                <w:szCs w:val="18"/>
              </w:rPr>
              <w:instrText>PAGE   \* MERGEFORMAT</w:instrText>
            </w:r>
            <w:r w:rsidRPr="00965B51">
              <w:rPr>
                <w:rFonts w:ascii="Times New Roman" w:hAnsi="Times New Roman" w:cs="Times New Roman"/>
                <w:sz w:val="18"/>
                <w:szCs w:val="18"/>
              </w:rPr>
              <w:fldChar w:fldCharType="separate"/>
            </w:r>
            <w:r>
              <w:rPr>
                <w:rFonts w:ascii="Times New Roman" w:hAnsi="Times New Roman" w:cs="Times New Roman"/>
                <w:sz w:val="18"/>
                <w:szCs w:val="18"/>
              </w:rPr>
              <w:t>2</w:t>
            </w:r>
            <w:r w:rsidRPr="00965B51">
              <w:rPr>
                <w:rFonts w:ascii="Times New Roman" w:hAnsi="Times New Roman" w:cs="Times New Roman"/>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2C90" w14:textId="77777777" w:rsidR="006E0F85" w:rsidRPr="00150BFA" w:rsidRDefault="006E0F85" w:rsidP="00002C2E">
    <w:pPr>
      <w:jc w:val="center"/>
    </w:pPr>
    <w:r>
      <w:rPr>
        <w:noProof/>
        <w:lang w:val="en-US" w:eastAsia="ja-JP"/>
      </w:rPr>
      <w:drawing>
        <wp:inline distT="0" distB="0" distL="0" distR="0" wp14:anchorId="76BC3EDC" wp14:editId="2EC4713D">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38185685" w14:textId="77777777" w:rsidR="006E0F85" w:rsidRPr="00A737D1" w:rsidRDefault="006E0F85" w:rsidP="00002C2E">
    <w:pPr>
      <w:pStyle w:val="Footer"/>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70563468"/>
      <w:docPartObj>
        <w:docPartGallery w:val="Page Numbers (Bottom of Page)"/>
        <w:docPartUnique/>
      </w:docPartObj>
    </w:sdtPr>
    <w:sdtEndPr>
      <w:rPr>
        <w:noProof/>
      </w:rPr>
    </w:sdtEndPr>
    <w:sdtContent>
      <w:p w14:paraId="74FFC465" w14:textId="1A9EE26C" w:rsidR="006E0F85" w:rsidRPr="004E5B0D" w:rsidRDefault="006E0F85" w:rsidP="004E5B0D">
        <w:pPr>
          <w:pStyle w:val="Footer"/>
          <w:jc w:val="center"/>
          <w:rPr>
            <w:rFonts w:ascii="Times New Roman" w:hAnsi="Times New Roman" w:cs="Times New Roman"/>
            <w:sz w:val="20"/>
            <w:szCs w:val="20"/>
          </w:rPr>
        </w:pPr>
        <w:r w:rsidRPr="004E5B0D">
          <w:rPr>
            <w:rFonts w:ascii="Times New Roman" w:hAnsi="Times New Roman" w:cs="Times New Roman"/>
            <w:sz w:val="20"/>
            <w:szCs w:val="20"/>
          </w:rPr>
          <w:fldChar w:fldCharType="begin"/>
        </w:r>
        <w:r w:rsidRPr="004E5B0D">
          <w:rPr>
            <w:rFonts w:ascii="Times New Roman" w:hAnsi="Times New Roman" w:cs="Times New Roman"/>
            <w:sz w:val="20"/>
            <w:szCs w:val="20"/>
          </w:rPr>
          <w:instrText xml:space="preserve"> PAGE   \* MERGEFORMAT </w:instrText>
        </w:r>
        <w:r w:rsidRPr="004E5B0D">
          <w:rPr>
            <w:rFonts w:ascii="Times New Roman" w:hAnsi="Times New Roman" w:cs="Times New Roman"/>
            <w:sz w:val="20"/>
            <w:szCs w:val="20"/>
          </w:rPr>
          <w:fldChar w:fldCharType="separate"/>
        </w:r>
        <w:r w:rsidRPr="004E5B0D">
          <w:rPr>
            <w:rFonts w:ascii="Times New Roman" w:hAnsi="Times New Roman" w:cs="Times New Roman"/>
            <w:noProof/>
            <w:sz w:val="20"/>
            <w:szCs w:val="20"/>
          </w:rPr>
          <w:t>2</w:t>
        </w:r>
        <w:r w:rsidRPr="004E5B0D">
          <w:rPr>
            <w:rFonts w:ascii="Times New Roman" w:hAnsi="Times New Roman" w:cs="Times New Roman"/>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010136"/>
      <w:docPartObj>
        <w:docPartGallery w:val="Page Numbers (Bottom of Page)"/>
        <w:docPartUnique/>
      </w:docPartObj>
    </w:sdtPr>
    <w:sdtEndPr/>
    <w:sdtContent>
      <w:sdt>
        <w:sdtPr>
          <w:rPr>
            <w:rFonts w:ascii="Times New Roman" w:hAnsi="Times New Roman" w:cs="Times New Roman"/>
            <w:sz w:val="18"/>
            <w:szCs w:val="18"/>
          </w:rPr>
          <w:id w:val="1558115864"/>
          <w:docPartObj>
            <w:docPartGallery w:val="Page Numbers (Bottom of Page)"/>
            <w:docPartUnique/>
          </w:docPartObj>
        </w:sdtPr>
        <w:sdtEndPr/>
        <w:sdtContent>
          <w:p w14:paraId="2DC3FF57" w14:textId="77777777" w:rsidR="006E0F85" w:rsidRPr="00BC59AA" w:rsidRDefault="006E0F85" w:rsidP="00C87713">
            <w:pPr>
              <w:pStyle w:val="Footer"/>
              <w:jc w:val="center"/>
              <w:rPr>
                <w:rFonts w:ascii="Times New Roman" w:hAnsi="Times New Roman" w:cs="Times New Roman"/>
                <w:sz w:val="18"/>
                <w:szCs w:val="18"/>
              </w:rPr>
            </w:pPr>
            <w:r w:rsidRPr="00965B51">
              <w:rPr>
                <w:rFonts w:ascii="Times New Roman" w:hAnsi="Times New Roman" w:cs="Times New Roman"/>
                <w:sz w:val="18"/>
                <w:szCs w:val="18"/>
              </w:rPr>
              <w:fldChar w:fldCharType="begin"/>
            </w:r>
            <w:r w:rsidRPr="00965B51">
              <w:rPr>
                <w:rFonts w:ascii="Times New Roman" w:hAnsi="Times New Roman" w:cs="Times New Roman"/>
                <w:sz w:val="18"/>
                <w:szCs w:val="18"/>
              </w:rPr>
              <w:instrText>PAGE   \* MERGEFORMAT</w:instrText>
            </w:r>
            <w:r w:rsidRPr="00965B51">
              <w:rPr>
                <w:rFonts w:ascii="Times New Roman" w:hAnsi="Times New Roman" w:cs="Times New Roman"/>
                <w:sz w:val="18"/>
                <w:szCs w:val="18"/>
              </w:rPr>
              <w:fldChar w:fldCharType="separate"/>
            </w:r>
            <w:r>
              <w:rPr>
                <w:rFonts w:ascii="Times New Roman" w:hAnsi="Times New Roman" w:cs="Times New Roman"/>
                <w:sz w:val="18"/>
                <w:szCs w:val="18"/>
              </w:rPr>
              <w:t>14</w:t>
            </w:r>
            <w:r w:rsidRPr="00965B51">
              <w:rPr>
                <w:rFonts w:ascii="Times New Roman" w:hAnsi="Times New Roman" w:cs="Times New Roman"/>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74E91" w14:textId="77777777" w:rsidR="006E0F85" w:rsidRDefault="006E0F85" w:rsidP="00F6518C">
      <w:r>
        <w:separator/>
      </w:r>
    </w:p>
  </w:footnote>
  <w:footnote w:type="continuationSeparator" w:id="0">
    <w:p w14:paraId="5C813F7A" w14:textId="77777777" w:rsidR="006E0F85" w:rsidRDefault="006E0F85" w:rsidP="00F6518C">
      <w:r>
        <w:continuationSeparator/>
      </w:r>
    </w:p>
  </w:footnote>
  <w:footnote w:id="1">
    <w:p w14:paraId="43D69629" w14:textId="5EF8CEDF" w:rsidR="006E0F85" w:rsidRPr="001C7D8E" w:rsidRDefault="006E0F85" w:rsidP="00EE08C4">
      <w:pPr>
        <w:pStyle w:val="FootnoteText"/>
        <w:jc w:val="both"/>
        <w:rPr>
          <w:rFonts w:ascii="Times New Roman" w:hAnsi="Times New Roman" w:cs="Times New Roman"/>
          <w:lang w:val="fr-FR"/>
        </w:rPr>
      </w:pPr>
      <w:r w:rsidRPr="0030576C">
        <w:rPr>
          <w:rStyle w:val="FootnoteReference"/>
          <w:rFonts w:ascii="Times New Roman" w:hAnsi="Times New Roman" w:cs="Times New Roman"/>
        </w:rPr>
        <w:footnoteRef/>
      </w:r>
      <w:r w:rsidRPr="001C7D8E">
        <w:rPr>
          <w:rFonts w:ascii="Times New Roman" w:hAnsi="Times New Roman" w:cs="Times New Roman"/>
          <w:lang w:val="fr-FR"/>
        </w:rPr>
        <w:t xml:space="preserve"> Protocole additionnel à la Convention sur les </w:t>
      </w:r>
      <w:r>
        <w:rPr>
          <w:rFonts w:ascii="Times New Roman" w:hAnsi="Times New Roman" w:cs="Times New Roman"/>
          <w:lang w:val="fr-FR"/>
        </w:rPr>
        <w:t>d</w:t>
      </w:r>
      <w:r w:rsidRPr="001C7D8E">
        <w:rPr>
          <w:rFonts w:ascii="Times New Roman" w:hAnsi="Times New Roman" w:cs="Times New Roman"/>
          <w:lang w:val="fr-FR"/>
        </w:rPr>
        <w:t>roits de l</w:t>
      </w:r>
      <w:r>
        <w:rPr>
          <w:rFonts w:ascii="Times New Roman" w:hAnsi="Times New Roman" w:cs="Times New Roman"/>
          <w:lang w:val="fr-FR"/>
        </w:rPr>
        <w:t>’h</w:t>
      </w:r>
      <w:r w:rsidRPr="001C7D8E">
        <w:rPr>
          <w:rFonts w:ascii="Times New Roman" w:hAnsi="Times New Roman" w:cs="Times New Roman"/>
          <w:lang w:val="fr-FR"/>
        </w:rPr>
        <w:t>omme et la biomédecine relatif à la transplantation d</w:t>
      </w:r>
      <w:r>
        <w:rPr>
          <w:rFonts w:ascii="Times New Roman" w:hAnsi="Times New Roman" w:cs="Times New Roman"/>
          <w:lang w:val="fr-FR"/>
        </w:rPr>
        <w:t>’</w:t>
      </w:r>
      <w:r w:rsidRPr="001C7D8E">
        <w:rPr>
          <w:rFonts w:ascii="Times New Roman" w:hAnsi="Times New Roman" w:cs="Times New Roman"/>
          <w:lang w:val="fr-FR"/>
        </w:rPr>
        <w:t>organes et de tissus d</w:t>
      </w:r>
      <w:r>
        <w:rPr>
          <w:rFonts w:ascii="Times New Roman" w:hAnsi="Times New Roman" w:cs="Times New Roman"/>
          <w:lang w:val="fr-FR"/>
        </w:rPr>
        <w:t>’</w:t>
      </w:r>
      <w:r w:rsidRPr="001C7D8E">
        <w:rPr>
          <w:rFonts w:ascii="Times New Roman" w:hAnsi="Times New Roman" w:cs="Times New Roman"/>
          <w:lang w:val="fr-FR"/>
        </w:rPr>
        <w:t xml:space="preserve">origine humaine, STE </w:t>
      </w:r>
      <w:r>
        <w:rPr>
          <w:rFonts w:ascii="Times New Roman" w:hAnsi="Times New Roman" w:cs="Times New Roman"/>
          <w:lang w:val="fr-FR"/>
        </w:rPr>
        <w:t>n</w:t>
      </w:r>
      <w:r w:rsidRPr="00D34DD0">
        <w:rPr>
          <w:rFonts w:ascii="Times New Roman" w:hAnsi="Times New Roman" w:cs="Times New Roman"/>
          <w:vertAlign w:val="superscript"/>
          <w:lang w:val="fr-FR"/>
        </w:rPr>
        <w:t>o</w:t>
      </w:r>
      <w:r>
        <w:rPr>
          <w:rFonts w:ascii="Times New Roman" w:hAnsi="Times New Roman" w:cs="Times New Roman"/>
          <w:lang w:val="fr-FR"/>
        </w:rPr>
        <w:t xml:space="preserve"> </w:t>
      </w:r>
      <w:r w:rsidRPr="001C7D8E">
        <w:rPr>
          <w:rFonts w:ascii="Times New Roman" w:hAnsi="Times New Roman" w:cs="Times New Roman"/>
          <w:lang w:val="fr-FR"/>
        </w:rPr>
        <w:t>186, Strasbourg, 24</w:t>
      </w:r>
      <w:r>
        <w:rPr>
          <w:rFonts w:ascii="Times New Roman" w:hAnsi="Times New Roman" w:cs="Times New Roman"/>
          <w:lang w:val="fr-FR"/>
        </w:rPr>
        <w:t xml:space="preserve"> janvier </w:t>
      </w:r>
      <w:r w:rsidRPr="001C7D8E">
        <w:rPr>
          <w:rFonts w:ascii="Times New Roman" w:hAnsi="Times New Roman" w:cs="Times New Roman"/>
          <w:lang w:val="fr-FR"/>
        </w:rPr>
        <w:t>2002.</w:t>
      </w:r>
    </w:p>
  </w:footnote>
  <w:footnote w:id="2">
    <w:p w14:paraId="1A4B8354" w14:textId="73A2B9A7" w:rsidR="006E0F85" w:rsidRPr="001C7D8E" w:rsidRDefault="006E0F85" w:rsidP="007B36F1">
      <w:pPr>
        <w:pStyle w:val="FootnoteText"/>
        <w:rPr>
          <w:rFonts w:ascii="Times New Roman" w:hAnsi="Times New Roman" w:cs="Times New Roman"/>
          <w:lang w:val="fr-FR"/>
        </w:rPr>
      </w:pPr>
      <w:r w:rsidRPr="0030576C">
        <w:rPr>
          <w:rStyle w:val="FootnoteReference"/>
          <w:rFonts w:ascii="Times New Roman" w:hAnsi="Times New Roman" w:cs="Times New Roman"/>
        </w:rPr>
        <w:footnoteRef/>
      </w:r>
      <w:r w:rsidRPr="001C7D8E">
        <w:rPr>
          <w:rFonts w:ascii="Times New Roman" w:hAnsi="Times New Roman" w:cs="Times New Roman"/>
          <w:lang w:val="fr-FR"/>
        </w:rPr>
        <w:t xml:space="preserve"> Protocole additionnel à la Convention sur les </w:t>
      </w:r>
      <w:r>
        <w:rPr>
          <w:rFonts w:ascii="Times New Roman" w:hAnsi="Times New Roman" w:cs="Times New Roman"/>
          <w:lang w:val="fr-FR"/>
        </w:rPr>
        <w:t>d</w:t>
      </w:r>
      <w:r w:rsidRPr="001C7D8E">
        <w:rPr>
          <w:rFonts w:ascii="Times New Roman" w:hAnsi="Times New Roman" w:cs="Times New Roman"/>
          <w:lang w:val="fr-FR"/>
        </w:rPr>
        <w:t>roits de l</w:t>
      </w:r>
      <w:r>
        <w:rPr>
          <w:rFonts w:ascii="Times New Roman" w:hAnsi="Times New Roman" w:cs="Times New Roman"/>
          <w:lang w:val="fr-FR"/>
        </w:rPr>
        <w:t>’h</w:t>
      </w:r>
      <w:r w:rsidRPr="001C7D8E">
        <w:rPr>
          <w:rFonts w:ascii="Times New Roman" w:hAnsi="Times New Roman" w:cs="Times New Roman"/>
          <w:lang w:val="fr-FR"/>
        </w:rPr>
        <w:t xml:space="preserve">omme et la biomédecine, relatif à la recherche biomédicale, STCE </w:t>
      </w:r>
      <w:r>
        <w:rPr>
          <w:rFonts w:ascii="Times New Roman" w:hAnsi="Times New Roman" w:cs="Times New Roman"/>
          <w:lang w:val="fr-FR"/>
        </w:rPr>
        <w:t>n</w:t>
      </w:r>
      <w:r w:rsidRPr="00D34DD0">
        <w:rPr>
          <w:rFonts w:ascii="Times New Roman" w:hAnsi="Times New Roman" w:cs="Times New Roman"/>
          <w:vertAlign w:val="superscript"/>
          <w:lang w:val="fr-FR"/>
        </w:rPr>
        <w:t>o</w:t>
      </w:r>
      <w:r>
        <w:rPr>
          <w:rFonts w:ascii="Times New Roman" w:hAnsi="Times New Roman" w:cs="Times New Roman"/>
          <w:lang w:val="fr-FR"/>
        </w:rPr>
        <w:t xml:space="preserve"> </w:t>
      </w:r>
      <w:r w:rsidRPr="001C7D8E">
        <w:rPr>
          <w:rFonts w:ascii="Times New Roman" w:hAnsi="Times New Roman" w:cs="Times New Roman"/>
          <w:lang w:val="fr-FR"/>
        </w:rPr>
        <w:t>195, Strasbourg, 25</w:t>
      </w:r>
      <w:r>
        <w:rPr>
          <w:rFonts w:ascii="Times New Roman" w:hAnsi="Times New Roman" w:cs="Times New Roman"/>
          <w:lang w:val="fr-FR"/>
        </w:rPr>
        <w:t xml:space="preserve"> janvier </w:t>
      </w:r>
      <w:r w:rsidRPr="001C7D8E">
        <w:rPr>
          <w:rFonts w:ascii="Times New Roman" w:hAnsi="Times New Roman" w:cs="Times New Roman"/>
          <w:lang w:val="fr-FR"/>
        </w:rPr>
        <w:t>2005.</w:t>
      </w:r>
    </w:p>
  </w:footnote>
  <w:footnote w:id="3">
    <w:p w14:paraId="5DF9FE96" w14:textId="10911EDB" w:rsidR="006E0F85" w:rsidRPr="001C7D8E" w:rsidRDefault="006E0F85" w:rsidP="007B36F1">
      <w:pPr>
        <w:pStyle w:val="FootnoteText"/>
        <w:rPr>
          <w:rFonts w:ascii="Times New Roman" w:hAnsi="Times New Roman" w:cs="Times New Roman"/>
          <w:lang w:val="fr-FR"/>
        </w:rPr>
      </w:pPr>
      <w:r w:rsidRPr="0030576C">
        <w:rPr>
          <w:rStyle w:val="FootnoteReference"/>
          <w:rFonts w:ascii="Times New Roman" w:hAnsi="Times New Roman" w:cs="Times New Roman"/>
        </w:rPr>
        <w:footnoteRef/>
      </w:r>
      <w:r w:rsidRPr="001C7D8E">
        <w:rPr>
          <w:rFonts w:ascii="Times New Roman" w:hAnsi="Times New Roman" w:cs="Times New Roman"/>
          <w:lang w:val="fr-FR"/>
        </w:rPr>
        <w:t xml:space="preserve"> Protocole additionnel à la Convention sur les </w:t>
      </w:r>
      <w:r>
        <w:rPr>
          <w:rFonts w:ascii="Times New Roman" w:hAnsi="Times New Roman" w:cs="Times New Roman"/>
          <w:lang w:val="fr-FR"/>
        </w:rPr>
        <w:t>d</w:t>
      </w:r>
      <w:r w:rsidRPr="001C7D8E">
        <w:rPr>
          <w:rFonts w:ascii="Times New Roman" w:hAnsi="Times New Roman" w:cs="Times New Roman"/>
          <w:lang w:val="fr-FR"/>
        </w:rPr>
        <w:t>roits de l</w:t>
      </w:r>
      <w:r>
        <w:rPr>
          <w:rFonts w:ascii="Times New Roman" w:hAnsi="Times New Roman" w:cs="Times New Roman"/>
          <w:lang w:val="fr-FR"/>
        </w:rPr>
        <w:t>’h</w:t>
      </w:r>
      <w:r w:rsidRPr="001C7D8E">
        <w:rPr>
          <w:rFonts w:ascii="Times New Roman" w:hAnsi="Times New Roman" w:cs="Times New Roman"/>
          <w:lang w:val="fr-FR"/>
        </w:rPr>
        <w:t xml:space="preserve">omme et la biomédecine relatif aux tests génétiques à des fins médicales, STCE </w:t>
      </w:r>
      <w:r>
        <w:rPr>
          <w:rFonts w:ascii="Times New Roman" w:hAnsi="Times New Roman" w:cs="Times New Roman"/>
          <w:lang w:val="fr-FR"/>
        </w:rPr>
        <w:t>n</w:t>
      </w:r>
      <w:r w:rsidRPr="00D34DD0">
        <w:rPr>
          <w:rFonts w:ascii="Times New Roman" w:hAnsi="Times New Roman" w:cs="Times New Roman"/>
          <w:vertAlign w:val="superscript"/>
          <w:lang w:val="fr-FR"/>
        </w:rPr>
        <w:t>o</w:t>
      </w:r>
      <w:r>
        <w:rPr>
          <w:rFonts w:ascii="Times New Roman" w:hAnsi="Times New Roman" w:cs="Times New Roman"/>
          <w:lang w:val="fr-FR"/>
        </w:rPr>
        <w:t xml:space="preserve"> </w:t>
      </w:r>
      <w:r w:rsidRPr="001C7D8E">
        <w:rPr>
          <w:rFonts w:ascii="Times New Roman" w:hAnsi="Times New Roman" w:cs="Times New Roman"/>
          <w:lang w:val="fr-FR"/>
        </w:rPr>
        <w:t>203, Strasbourg,</w:t>
      </w:r>
      <w:r>
        <w:rPr>
          <w:rFonts w:ascii="Times New Roman" w:hAnsi="Times New Roman" w:cs="Times New Roman"/>
          <w:lang w:val="fr-FR"/>
        </w:rPr>
        <w:t xml:space="preserve"> </w:t>
      </w:r>
      <w:r w:rsidRPr="001C7D8E">
        <w:rPr>
          <w:rFonts w:ascii="Times New Roman" w:hAnsi="Times New Roman" w:cs="Times New Roman"/>
          <w:lang w:val="fr-FR"/>
        </w:rPr>
        <w:t>27</w:t>
      </w:r>
      <w:r>
        <w:rPr>
          <w:rFonts w:ascii="Times New Roman" w:hAnsi="Times New Roman" w:cs="Times New Roman"/>
          <w:lang w:val="fr-FR"/>
        </w:rPr>
        <w:t xml:space="preserve"> juin </w:t>
      </w:r>
      <w:r w:rsidRPr="001C7D8E">
        <w:rPr>
          <w:rFonts w:ascii="Times New Roman" w:hAnsi="Times New Roman" w:cs="Times New Roman"/>
          <w:lang w:val="fr-FR"/>
        </w:rPr>
        <w:t>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AAAA" w14:textId="77777777" w:rsidR="006E0F85" w:rsidRPr="00A45145" w:rsidRDefault="006E0F85" w:rsidP="00002C2E">
    <w:pPr>
      <w:jc w:val="center"/>
    </w:pPr>
    <w:r>
      <w:rPr>
        <w:noProof/>
        <w:lang w:val="en-US" w:eastAsia="ja-JP"/>
      </w:rPr>
      <w:drawing>
        <wp:inline distT="0" distB="0" distL="0" distR="0" wp14:anchorId="01675125" wp14:editId="73A0B13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4FB0C4E" w14:textId="77777777" w:rsidR="006E0F85" w:rsidRDefault="006E0F85" w:rsidP="00002C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2305" w14:textId="52680A47" w:rsidR="006E0F85" w:rsidRPr="003E1E86" w:rsidRDefault="006E0F85" w:rsidP="00C87713">
    <w:pPr>
      <w:jc w:val="center"/>
      <w:rPr>
        <w:rFonts w:ascii="Times New Roman" w:eastAsia="Times New Roman" w:hAnsi="Times New Roman" w:cs="Times New Roman"/>
        <w:sz w:val="18"/>
        <w:lang w:val="fr-FR"/>
      </w:rPr>
    </w:pPr>
    <w:r w:rsidRPr="00175708">
      <w:rPr>
        <w:rFonts w:ascii="Times New Roman" w:eastAsia="Times New Roman" w:hAnsi="Times New Roman" w:cs="Times New Roman"/>
        <w:sz w:val="18"/>
        <w:lang w:val="fr-FR"/>
      </w:rPr>
      <w:t>DEMANDE D’INTERPRÉTATION DE LA CONVENTION D’OVIEDO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291" w14:textId="04976F3C" w:rsidR="006E0F85" w:rsidRPr="00175708" w:rsidRDefault="006E0F85" w:rsidP="00C87713">
    <w:pPr>
      <w:jc w:val="center"/>
      <w:rPr>
        <w:rFonts w:ascii="Times New Roman" w:eastAsia="Times New Roman" w:hAnsi="Times New Roman" w:cs="Times New Roman"/>
        <w:sz w:val="18"/>
        <w:lang w:val="fr-FR"/>
      </w:rPr>
    </w:pPr>
    <w:r w:rsidRPr="00175708">
      <w:rPr>
        <w:rFonts w:ascii="Times New Roman" w:eastAsia="Times New Roman" w:hAnsi="Times New Roman" w:cs="Times New Roman"/>
        <w:sz w:val="18"/>
        <w:lang w:val="fr-FR"/>
      </w:rPr>
      <w:t>DEMANDE D’INTERPRÉTATION DE LA CONVENTION D’OVIEDO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D83C" w14:textId="727A5ECC" w:rsidR="006E0F85" w:rsidRPr="00175708" w:rsidRDefault="006E0F85" w:rsidP="00BB23FA">
    <w:pPr>
      <w:jc w:val="center"/>
      <w:rPr>
        <w:rFonts w:ascii="Times New Roman" w:eastAsia="Times New Roman" w:hAnsi="Times New Roman" w:cs="Times New Roman"/>
        <w:sz w:val="18"/>
        <w:lang w:val="fr-FR"/>
      </w:rPr>
    </w:pPr>
    <w:r w:rsidRPr="00175708">
      <w:rPr>
        <w:rFonts w:ascii="Times New Roman" w:eastAsia="Times New Roman" w:hAnsi="Times New Roman" w:cs="Times New Roman"/>
        <w:sz w:val="18"/>
        <w:lang w:val="fr-FR"/>
      </w:rPr>
      <w:t>DEMANDE D’INTERPRÉTATION DE LA CONVENTION D’OVIEDO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4AC3" w14:textId="3151A4D7" w:rsidR="006E0F85" w:rsidRPr="00175708" w:rsidRDefault="006E0F85" w:rsidP="00C87713">
    <w:pPr>
      <w:jc w:val="center"/>
      <w:rPr>
        <w:rFonts w:ascii="Times New Roman" w:eastAsia="Times New Roman" w:hAnsi="Times New Roman" w:cs="Times New Roman"/>
        <w:sz w:val="18"/>
        <w:lang w:val="fr-FR"/>
      </w:rPr>
    </w:pPr>
    <w:r w:rsidRPr="00175708">
      <w:rPr>
        <w:rFonts w:ascii="Times New Roman" w:eastAsia="Times New Roman" w:hAnsi="Times New Roman" w:cs="Times New Roman"/>
        <w:sz w:val="18"/>
        <w:lang w:val="fr-FR"/>
      </w:rPr>
      <w:t>DEMANDE D’INTERPRÉTATION DE LA CONVENTION D’OVIEDO</w:t>
    </w:r>
    <w:r>
      <w:rPr>
        <w:rFonts w:ascii="Times New Roman" w:eastAsia="Times New Roman" w:hAnsi="Times New Roman" w:cs="Times New Roman"/>
        <w:sz w:val="18"/>
        <w:lang w:val="fr-FR"/>
      </w:rPr>
      <w:t xml:space="preserve"> – OPINION SÉPARÉE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A128126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lvlText w:val="(%5)"/>
      <w:lvlJc w:val="left"/>
      <w:pPr>
        <w:ind w:left="851" w:hanging="341"/>
      </w:pPr>
      <w:rPr>
        <w:rFonts w:hint="default"/>
      </w:rPr>
    </w:lvl>
    <w:lvl w:ilvl="5">
      <w:start w:val="1"/>
      <w:numFmt w:val="lowerRoman"/>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5C434B"/>
    <w:multiLevelType w:val="hybridMultilevel"/>
    <w:tmpl w:val="946A3206"/>
    <w:lvl w:ilvl="0" w:tplc="A1500E06">
      <w:start w:val="1"/>
      <w:numFmt w:val="lowerRoman"/>
      <w:pStyle w:val="JuHi"/>
      <w:lvlText w:val="%1."/>
      <w:lvlJc w:val="right"/>
      <w:pPr>
        <w:ind w:left="1400" w:hanging="360"/>
      </w:p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4EED2F4B"/>
    <w:multiLevelType w:val="hybridMultilevel"/>
    <w:tmpl w:val="0FEAC450"/>
    <w:lvl w:ilvl="0" w:tplc="BF26B53E">
      <w:start w:val="1"/>
      <w:numFmt w:val="lowerLetter"/>
      <w:pStyle w:val="JuHa0"/>
      <w:lvlText w:val="%1)"/>
      <w:lvlJc w:val="left"/>
      <w:pPr>
        <w:ind w:left="1230" w:hanging="360"/>
      </w:p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7"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14"/>
  </w:num>
  <w:num w:numId="3">
    <w:abstractNumId w:val="11"/>
  </w:num>
  <w:num w:numId="4">
    <w:abstractNumId w:val="10"/>
  </w:num>
  <w:num w:numId="5">
    <w:abstractNumId w:val="15"/>
  </w:num>
  <w:num w:numId="6">
    <w:abstractNumId w:val="13"/>
  </w:num>
  <w:num w:numId="7">
    <w:abstractNumId w:val="17"/>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numFmt w:val="decimal"/>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8C"/>
    <w:rsid w:val="00000174"/>
    <w:rsid w:val="00002C2E"/>
    <w:rsid w:val="00003F0E"/>
    <w:rsid w:val="000041F8"/>
    <w:rsid w:val="000042A8"/>
    <w:rsid w:val="00004308"/>
    <w:rsid w:val="00004990"/>
    <w:rsid w:val="00005BF0"/>
    <w:rsid w:val="00007154"/>
    <w:rsid w:val="00007DAD"/>
    <w:rsid w:val="000103AE"/>
    <w:rsid w:val="00011D69"/>
    <w:rsid w:val="00012AD3"/>
    <w:rsid w:val="00013658"/>
    <w:rsid w:val="00015C2D"/>
    <w:rsid w:val="00015CA4"/>
    <w:rsid w:val="00015F00"/>
    <w:rsid w:val="00016EB3"/>
    <w:rsid w:val="00021048"/>
    <w:rsid w:val="00022C1D"/>
    <w:rsid w:val="000315B0"/>
    <w:rsid w:val="0003196A"/>
    <w:rsid w:val="00032173"/>
    <w:rsid w:val="00034357"/>
    <w:rsid w:val="00034987"/>
    <w:rsid w:val="000353A8"/>
    <w:rsid w:val="000415F0"/>
    <w:rsid w:val="00043CDD"/>
    <w:rsid w:val="00052B02"/>
    <w:rsid w:val="00055E01"/>
    <w:rsid w:val="000602DF"/>
    <w:rsid w:val="00060956"/>
    <w:rsid w:val="00061B05"/>
    <w:rsid w:val="000632D5"/>
    <w:rsid w:val="000644EE"/>
    <w:rsid w:val="000647D3"/>
    <w:rsid w:val="0006764A"/>
    <w:rsid w:val="00070658"/>
    <w:rsid w:val="000709BA"/>
    <w:rsid w:val="00072072"/>
    <w:rsid w:val="000731BB"/>
    <w:rsid w:val="000749B8"/>
    <w:rsid w:val="00074C8D"/>
    <w:rsid w:val="00074EC4"/>
    <w:rsid w:val="00076C4E"/>
    <w:rsid w:val="000770D1"/>
    <w:rsid w:val="000813A7"/>
    <w:rsid w:val="000838D1"/>
    <w:rsid w:val="000851EE"/>
    <w:rsid w:val="00090015"/>
    <w:rsid w:val="000914AB"/>
    <w:rsid w:val="00091E0E"/>
    <w:rsid w:val="000925AD"/>
    <w:rsid w:val="000932CC"/>
    <w:rsid w:val="00094BA0"/>
    <w:rsid w:val="000A07C8"/>
    <w:rsid w:val="000A24EB"/>
    <w:rsid w:val="000A7976"/>
    <w:rsid w:val="000B1757"/>
    <w:rsid w:val="000B6923"/>
    <w:rsid w:val="000B6F69"/>
    <w:rsid w:val="000C1F48"/>
    <w:rsid w:val="000C2B9F"/>
    <w:rsid w:val="000C5F3C"/>
    <w:rsid w:val="000C6C70"/>
    <w:rsid w:val="000C6DCC"/>
    <w:rsid w:val="000D47AA"/>
    <w:rsid w:val="000D523D"/>
    <w:rsid w:val="000D721F"/>
    <w:rsid w:val="000E069B"/>
    <w:rsid w:val="000E0E82"/>
    <w:rsid w:val="000E115B"/>
    <w:rsid w:val="000E1DC5"/>
    <w:rsid w:val="000E223F"/>
    <w:rsid w:val="000E2AAE"/>
    <w:rsid w:val="000E469D"/>
    <w:rsid w:val="000E5B58"/>
    <w:rsid w:val="000E7484"/>
    <w:rsid w:val="000E7D45"/>
    <w:rsid w:val="000F1A3F"/>
    <w:rsid w:val="000F1BD8"/>
    <w:rsid w:val="000F4750"/>
    <w:rsid w:val="000F7851"/>
    <w:rsid w:val="000F7873"/>
    <w:rsid w:val="001002FC"/>
    <w:rsid w:val="00104B0D"/>
    <w:rsid w:val="00104E23"/>
    <w:rsid w:val="00106E5B"/>
    <w:rsid w:val="00111B0C"/>
    <w:rsid w:val="00120A73"/>
    <w:rsid w:val="00120D6C"/>
    <w:rsid w:val="00123728"/>
    <w:rsid w:val="00124466"/>
    <w:rsid w:val="001257EC"/>
    <w:rsid w:val="00133D33"/>
    <w:rsid w:val="001347AF"/>
    <w:rsid w:val="00134D64"/>
    <w:rsid w:val="00135A30"/>
    <w:rsid w:val="0013612C"/>
    <w:rsid w:val="00137FF6"/>
    <w:rsid w:val="00141650"/>
    <w:rsid w:val="001423B5"/>
    <w:rsid w:val="00143C15"/>
    <w:rsid w:val="00147F06"/>
    <w:rsid w:val="00153219"/>
    <w:rsid w:val="00154417"/>
    <w:rsid w:val="00155F07"/>
    <w:rsid w:val="00156EE3"/>
    <w:rsid w:val="00162A12"/>
    <w:rsid w:val="00166530"/>
    <w:rsid w:val="00167B2D"/>
    <w:rsid w:val="00175708"/>
    <w:rsid w:val="0018068E"/>
    <w:rsid w:val="001832BD"/>
    <w:rsid w:val="00190AC4"/>
    <w:rsid w:val="001935ED"/>
    <w:rsid w:val="001943B5"/>
    <w:rsid w:val="00195117"/>
    <w:rsid w:val="00195134"/>
    <w:rsid w:val="00195F07"/>
    <w:rsid w:val="00196931"/>
    <w:rsid w:val="001A145B"/>
    <w:rsid w:val="001A1B76"/>
    <w:rsid w:val="001A2D32"/>
    <w:rsid w:val="001A5067"/>
    <w:rsid w:val="001A674C"/>
    <w:rsid w:val="001A77AA"/>
    <w:rsid w:val="001A78F3"/>
    <w:rsid w:val="001B29C3"/>
    <w:rsid w:val="001B2BAD"/>
    <w:rsid w:val="001B3B24"/>
    <w:rsid w:val="001C0F98"/>
    <w:rsid w:val="001C2A42"/>
    <w:rsid w:val="001C477F"/>
    <w:rsid w:val="001C5249"/>
    <w:rsid w:val="001C5B98"/>
    <w:rsid w:val="001D0320"/>
    <w:rsid w:val="001D63ED"/>
    <w:rsid w:val="001D7348"/>
    <w:rsid w:val="001E035B"/>
    <w:rsid w:val="001E0961"/>
    <w:rsid w:val="001E3EAE"/>
    <w:rsid w:val="001E6F32"/>
    <w:rsid w:val="001F1370"/>
    <w:rsid w:val="001F1AA3"/>
    <w:rsid w:val="001F2145"/>
    <w:rsid w:val="001F46FF"/>
    <w:rsid w:val="001F52CF"/>
    <w:rsid w:val="001F6262"/>
    <w:rsid w:val="001F67B0"/>
    <w:rsid w:val="001F7244"/>
    <w:rsid w:val="001F76DA"/>
    <w:rsid w:val="001F7B3D"/>
    <w:rsid w:val="00202DE3"/>
    <w:rsid w:val="00203FFB"/>
    <w:rsid w:val="002041D3"/>
    <w:rsid w:val="002041EC"/>
    <w:rsid w:val="00205F9F"/>
    <w:rsid w:val="00210338"/>
    <w:rsid w:val="0021095D"/>
    <w:rsid w:val="002115FC"/>
    <w:rsid w:val="002138A0"/>
    <w:rsid w:val="0021423C"/>
    <w:rsid w:val="00215B86"/>
    <w:rsid w:val="002178B8"/>
    <w:rsid w:val="002254F8"/>
    <w:rsid w:val="00230D00"/>
    <w:rsid w:val="00230DB9"/>
    <w:rsid w:val="00231DF7"/>
    <w:rsid w:val="00231F09"/>
    <w:rsid w:val="00231FD1"/>
    <w:rsid w:val="002339E0"/>
    <w:rsid w:val="00233CF8"/>
    <w:rsid w:val="0023516A"/>
    <w:rsid w:val="0023575D"/>
    <w:rsid w:val="00236CCF"/>
    <w:rsid w:val="00237148"/>
    <w:rsid w:val="0024222D"/>
    <w:rsid w:val="002424E6"/>
    <w:rsid w:val="00244B0E"/>
    <w:rsid w:val="00244F6C"/>
    <w:rsid w:val="00246F8C"/>
    <w:rsid w:val="00250A4A"/>
    <w:rsid w:val="002532C5"/>
    <w:rsid w:val="00256CE9"/>
    <w:rsid w:val="00260C03"/>
    <w:rsid w:val="0026540E"/>
    <w:rsid w:val="0026599B"/>
    <w:rsid w:val="002670B2"/>
    <w:rsid w:val="00270161"/>
    <w:rsid w:val="00275123"/>
    <w:rsid w:val="002766CA"/>
    <w:rsid w:val="002800ED"/>
    <w:rsid w:val="00281A29"/>
    <w:rsid w:val="00282240"/>
    <w:rsid w:val="00287C16"/>
    <w:rsid w:val="00293EC7"/>
    <w:rsid w:val="002948AD"/>
    <w:rsid w:val="002A01CC"/>
    <w:rsid w:val="002A0ACC"/>
    <w:rsid w:val="002A5776"/>
    <w:rsid w:val="002A61B1"/>
    <w:rsid w:val="002A663C"/>
    <w:rsid w:val="002A7B13"/>
    <w:rsid w:val="002B0D41"/>
    <w:rsid w:val="002B16D0"/>
    <w:rsid w:val="002B200D"/>
    <w:rsid w:val="002B444B"/>
    <w:rsid w:val="002B5887"/>
    <w:rsid w:val="002B6CF8"/>
    <w:rsid w:val="002C0692"/>
    <w:rsid w:val="002C0E27"/>
    <w:rsid w:val="002C133E"/>
    <w:rsid w:val="002C3040"/>
    <w:rsid w:val="002C4E7C"/>
    <w:rsid w:val="002C7BDE"/>
    <w:rsid w:val="002D008B"/>
    <w:rsid w:val="002D022D"/>
    <w:rsid w:val="002D05C2"/>
    <w:rsid w:val="002D24BB"/>
    <w:rsid w:val="002D5AD6"/>
    <w:rsid w:val="002E557F"/>
    <w:rsid w:val="002F2AF7"/>
    <w:rsid w:val="002F3425"/>
    <w:rsid w:val="002F42E4"/>
    <w:rsid w:val="002F7E1C"/>
    <w:rsid w:val="00301A75"/>
    <w:rsid w:val="0030206C"/>
    <w:rsid w:val="00302F70"/>
    <w:rsid w:val="0030336F"/>
    <w:rsid w:val="0030375E"/>
    <w:rsid w:val="00304AF0"/>
    <w:rsid w:val="00307D02"/>
    <w:rsid w:val="00310CCD"/>
    <w:rsid w:val="00312A30"/>
    <w:rsid w:val="0031358B"/>
    <w:rsid w:val="00316617"/>
    <w:rsid w:val="00320F72"/>
    <w:rsid w:val="00321483"/>
    <w:rsid w:val="00323475"/>
    <w:rsid w:val="0032351C"/>
    <w:rsid w:val="0032463E"/>
    <w:rsid w:val="00326224"/>
    <w:rsid w:val="003324DC"/>
    <w:rsid w:val="0033265E"/>
    <w:rsid w:val="00333A40"/>
    <w:rsid w:val="00337EE4"/>
    <w:rsid w:val="00340FFD"/>
    <w:rsid w:val="003412B5"/>
    <w:rsid w:val="00344E54"/>
    <w:rsid w:val="003506B1"/>
    <w:rsid w:val="00350E76"/>
    <w:rsid w:val="00351459"/>
    <w:rsid w:val="00352029"/>
    <w:rsid w:val="00353FED"/>
    <w:rsid w:val="0035582F"/>
    <w:rsid w:val="00356AC7"/>
    <w:rsid w:val="0035740C"/>
    <w:rsid w:val="003609FA"/>
    <w:rsid w:val="00362081"/>
    <w:rsid w:val="0036414D"/>
    <w:rsid w:val="00365C5F"/>
    <w:rsid w:val="003670D6"/>
    <w:rsid w:val="00367C41"/>
    <w:rsid w:val="003710C8"/>
    <w:rsid w:val="00371BC4"/>
    <w:rsid w:val="00372E09"/>
    <w:rsid w:val="0037452F"/>
    <w:rsid w:val="003750BE"/>
    <w:rsid w:val="00376DF8"/>
    <w:rsid w:val="00382721"/>
    <w:rsid w:val="0038575A"/>
    <w:rsid w:val="00387B9D"/>
    <w:rsid w:val="00390805"/>
    <w:rsid w:val="00390B26"/>
    <w:rsid w:val="00391ED1"/>
    <w:rsid w:val="0039364F"/>
    <w:rsid w:val="00396686"/>
    <w:rsid w:val="0039778E"/>
    <w:rsid w:val="003A066F"/>
    <w:rsid w:val="003B242B"/>
    <w:rsid w:val="003B3AB0"/>
    <w:rsid w:val="003B4941"/>
    <w:rsid w:val="003B6BFD"/>
    <w:rsid w:val="003C224F"/>
    <w:rsid w:val="003C5714"/>
    <w:rsid w:val="003C6B9F"/>
    <w:rsid w:val="003C6E2A"/>
    <w:rsid w:val="003D0299"/>
    <w:rsid w:val="003D12A8"/>
    <w:rsid w:val="003D4588"/>
    <w:rsid w:val="003E1E86"/>
    <w:rsid w:val="003E3BAD"/>
    <w:rsid w:val="003E5719"/>
    <w:rsid w:val="003E6D80"/>
    <w:rsid w:val="003E7D43"/>
    <w:rsid w:val="003F05FA"/>
    <w:rsid w:val="003F244A"/>
    <w:rsid w:val="003F2CA4"/>
    <w:rsid w:val="003F30B8"/>
    <w:rsid w:val="003F4158"/>
    <w:rsid w:val="003F4C45"/>
    <w:rsid w:val="003F5321"/>
    <w:rsid w:val="003F5F7B"/>
    <w:rsid w:val="003F6CFB"/>
    <w:rsid w:val="003F7854"/>
    <w:rsid w:val="003F7D64"/>
    <w:rsid w:val="00412FA2"/>
    <w:rsid w:val="0041416D"/>
    <w:rsid w:val="00414300"/>
    <w:rsid w:val="00415CD1"/>
    <w:rsid w:val="00416299"/>
    <w:rsid w:val="00416FC8"/>
    <w:rsid w:val="004245C8"/>
    <w:rsid w:val="00424D0B"/>
    <w:rsid w:val="0042518F"/>
    <w:rsid w:val="00425C67"/>
    <w:rsid w:val="00427E7A"/>
    <w:rsid w:val="00430B4F"/>
    <w:rsid w:val="00430BAB"/>
    <w:rsid w:val="00432C9F"/>
    <w:rsid w:val="00433AB6"/>
    <w:rsid w:val="00436C49"/>
    <w:rsid w:val="00437A6F"/>
    <w:rsid w:val="00440605"/>
    <w:rsid w:val="00442EC1"/>
    <w:rsid w:val="00445366"/>
    <w:rsid w:val="00447F5B"/>
    <w:rsid w:val="00452E7D"/>
    <w:rsid w:val="00454823"/>
    <w:rsid w:val="004559A8"/>
    <w:rsid w:val="00455FBA"/>
    <w:rsid w:val="00461DB0"/>
    <w:rsid w:val="00461E63"/>
    <w:rsid w:val="00462525"/>
    <w:rsid w:val="00463926"/>
    <w:rsid w:val="00463D5D"/>
    <w:rsid w:val="00464C9A"/>
    <w:rsid w:val="00467807"/>
    <w:rsid w:val="00471989"/>
    <w:rsid w:val="00474F3D"/>
    <w:rsid w:val="00476F70"/>
    <w:rsid w:val="00477E3A"/>
    <w:rsid w:val="00480A1D"/>
    <w:rsid w:val="00480E22"/>
    <w:rsid w:val="00483E5F"/>
    <w:rsid w:val="00485FF9"/>
    <w:rsid w:val="004907F0"/>
    <w:rsid w:val="0049140B"/>
    <w:rsid w:val="004920F3"/>
    <w:rsid w:val="004923A5"/>
    <w:rsid w:val="004935BB"/>
    <w:rsid w:val="00495E50"/>
    <w:rsid w:val="004962B5"/>
    <w:rsid w:val="00496BFB"/>
    <w:rsid w:val="00497197"/>
    <w:rsid w:val="004A0AE8"/>
    <w:rsid w:val="004A15C7"/>
    <w:rsid w:val="004B013B"/>
    <w:rsid w:val="004B112B"/>
    <w:rsid w:val="004B6416"/>
    <w:rsid w:val="004C01E4"/>
    <w:rsid w:val="004C086C"/>
    <w:rsid w:val="004C1F56"/>
    <w:rsid w:val="004C27BC"/>
    <w:rsid w:val="004C2A91"/>
    <w:rsid w:val="004C40B1"/>
    <w:rsid w:val="004D15F3"/>
    <w:rsid w:val="004D1693"/>
    <w:rsid w:val="004D1CF9"/>
    <w:rsid w:val="004D443D"/>
    <w:rsid w:val="004D4FC0"/>
    <w:rsid w:val="004D5311"/>
    <w:rsid w:val="004D5DCC"/>
    <w:rsid w:val="004E12C2"/>
    <w:rsid w:val="004E12DA"/>
    <w:rsid w:val="004E18C3"/>
    <w:rsid w:val="004E397F"/>
    <w:rsid w:val="004E5B0D"/>
    <w:rsid w:val="004F10AF"/>
    <w:rsid w:val="004F11A4"/>
    <w:rsid w:val="004F2389"/>
    <w:rsid w:val="004F304D"/>
    <w:rsid w:val="004F423D"/>
    <w:rsid w:val="004F61BE"/>
    <w:rsid w:val="004F66B1"/>
    <w:rsid w:val="004F6A3B"/>
    <w:rsid w:val="004F7D05"/>
    <w:rsid w:val="00501888"/>
    <w:rsid w:val="0050418E"/>
    <w:rsid w:val="00510FBC"/>
    <w:rsid w:val="00511B4D"/>
    <w:rsid w:val="00511C07"/>
    <w:rsid w:val="00516256"/>
    <w:rsid w:val="005173A6"/>
    <w:rsid w:val="00517E95"/>
    <w:rsid w:val="00520605"/>
    <w:rsid w:val="00520BAA"/>
    <w:rsid w:val="00521ED0"/>
    <w:rsid w:val="005222FC"/>
    <w:rsid w:val="00525208"/>
    <w:rsid w:val="005257A5"/>
    <w:rsid w:val="005264C0"/>
    <w:rsid w:val="005268D4"/>
    <w:rsid w:val="00526A8A"/>
    <w:rsid w:val="0053152D"/>
    <w:rsid w:val="005315F4"/>
    <w:rsid w:val="00531DF2"/>
    <w:rsid w:val="00533060"/>
    <w:rsid w:val="0054226E"/>
    <w:rsid w:val="00542AD1"/>
    <w:rsid w:val="005442EE"/>
    <w:rsid w:val="00547353"/>
    <w:rsid w:val="005474E7"/>
    <w:rsid w:val="00550AB9"/>
    <w:rsid w:val="005512A3"/>
    <w:rsid w:val="005578CE"/>
    <w:rsid w:val="00560B56"/>
    <w:rsid w:val="00562781"/>
    <w:rsid w:val="0056763D"/>
    <w:rsid w:val="005711CE"/>
    <w:rsid w:val="0057271C"/>
    <w:rsid w:val="00572845"/>
    <w:rsid w:val="00584A43"/>
    <w:rsid w:val="00592772"/>
    <w:rsid w:val="00593BED"/>
    <w:rsid w:val="0059574A"/>
    <w:rsid w:val="005A1B9B"/>
    <w:rsid w:val="005A6751"/>
    <w:rsid w:val="005B092E"/>
    <w:rsid w:val="005B152C"/>
    <w:rsid w:val="005B1EE0"/>
    <w:rsid w:val="005B21A0"/>
    <w:rsid w:val="005B2B24"/>
    <w:rsid w:val="005B4425"/>
    <w:rsid w:val="005B4B94"/>
    <w:rsid w:val="005B54CA"/>
    <w:rsid w:val="005C3EE8"/>
    <w:rsid w:val="005C3FFB"/>
    <w:rsid w:val="005C426D"/>
    <w:rsid w:val="005C5DF1"/>
    <w:rsid w:val="005D34F9"/>
    <w:rsid w:val="005D3EB4"/>
    <w:rsid w:val="005D4190"/>
    <w:rsid w:val="005D67A3"/>
    <w:rsid w:val="005D6F4E"/>
    <w:rsid w:val="005D7038"/>
    <w:rsid w:val="005E02FC"/>
    <w:rsid w:val="005E05A0"/>
    <w:rsid w:val="005E0AA6"/>
    <w:rsid w:val="005E2988"/>
    <w:rsid w:val="005E3085"/>
    <w:rsid w:val="005E3595"/>
    <w:rsid w:val="005E47A4"/>
    <w:rsid w:val="005E7A4A"/>
    <w:rsid w:val="005F1012"/>
    <w:rsid w:val="005F39DB"/>
    <w:rsid w:val="005F51E1"/>
    <w:rsid w:val="00601743"/>
    <w:rsid w:val="00601F1D"/>
    <w:rsid w:val="006033E0"/>
    <w:rsid w:val="00604FDA"/>
    <w:rsid w:val="00611C80"/>
    <w:rsid w:val="00620692"/>
    <w:rsid w:val="00623385"/>
    <w:rsid w:val="006237F9"/>
    <w:rsid w:val="006242CA"/>
    <w:rsid w:val="00626EF6"/>
    <w:rsid w:val="00627507"/>
    <w:rsid w:val="00633717"/>
    <w:rsid w:val="006344E1"/>
    <w:rsid w:val="00640F03"/>
    <w:rsid w:val="00644B39"/>
    <w:rsid w:val="00645A90"/>
    <w:rsid w:val="00647A91"/>
    <w:rsid w:val="006536B3"/>
    <w:rsid w:val="006545C4"/>
    <w:rsid w:val="00656B31"/>
    <w:rsid w:val="00660BEE"/>
    <w:rsid w:val="00661971"/>
    <w:rsid w:val="00661CE8"/>
    <w:rsid w:val="006623D9"/>
    <w:rsid w:val="0066481E"/>
    <w:rsid w:val="0066550C"/>
    <w:rsid w:val="006716F2"/>
    <w:rsid w:val="00672645"/>
    <w:rsid w:val="00676DA3"/>
    <w:rsid w:val="00682BF2"/>
    <w:rsid w:val="00684440"/>
    <w:rsid w:val="006859CE"/>
    <w:rsid w:val="00687187"/>
    <w:rsid w:val="0069038E"/>
    <w:rsid w:val="00691270"/>
    <w:rsid w:val="00694BA8"/>
    <w:rsid w:val="0069683E"/>
    <w:rsid w:val="006A037C"/>
    <w:rsid w:val="006A07FB"/>
    <w:rsid w:val="006A13A2"/>
    <w:rsid w:val="006A36F4"/>
    <w:rsid w:val="006A406F"/>
    <w:rsid w:val="006A5D3A"/>
    <w:rsid w:val="006A5E07"/>
    <w:rsid w:val="006A7AC0"/>
    <w:rsid w:val="006B412B"/>
    <w:rsid w:val="006B4530"/>
    <w:rsid w:val="006B7A3C"/>
    <w:rsid w:val="006B7FB9"/>
    <w:rsid w:val="006C23D4"/>
    <w:rsid w:val="006C6664"/>
    <w:rsid w:val="006C7BB0"/>
    <w:rsid w:val="006D1232"/>
    <w:rsid w:val="006D3237"/>
    <w:rsid w:val="006D3A1A"/>
    <w:rsid w:val="006D420E"/>
    <w:rsid w:val="006D4807"/>
    <w:rsid w:val="006E0F85"/>
    <w:rsid w:val="006E1B9D"/>
    <w:rsid w:val="006E2E37"/>
    <w:rsid w:val="006E3B0B"/>
    <w:rsid w:val="006E3CF1"/>
    <w:rsid w:val="006E5E85"/>
    <w:rsid w:val="006E7E80"/>
    <w:rsid w:val="006F1BFE"/>
    <w:rsid w:val="006F45F9"/>
    <w:rsid w:val="006F48CA"/>
    <w:rsid w:val="006F4F49"/>
    <w:rsid w:val="006F56A2"/>
    <w:rsid w:val="006F6413"/>
    <w:rsid w:val="006F64DD"/>
    <w:rsid w:val="00700405"/>
    <w:rsid w:val="00701F58"/>
    <w:rsid w:val="00707738"/>
    <w:rsid w:val="00715127"/>
    <w:rsid w:val="00715132"/>
    <w:rsid w:val="0071593A"/>
    <w:rsid w:val="00715E8E"/>
    <w:rsid w:val="00716549"/>
    <w:rsid w:val="00720131"/>
    <w:rsid w:val="007207F3"/>
    <w:rsid w:val="00723580"/>
    <w:rsid w:val="00723755"/>
    <w:rsid w:val="00730B27"/>
    <w:rsid w:val="0073136C"/>
    <w:rsid w:val="00731F0F"/>
    <w:rsid w:val="007331A3"/>
    <w:rsid w:val="00733250"/>
    <w:rsid w:val="00741404"/>
    <w:rsid w:val="00741C6A"/>
    <w:rsid w:val="007430E5"/>
    <w:rsid w:val="007449E5"/>
    <w:rsid w:val="00746862"/>
    <w:rsid w:val="00747FF0"/>
    <w:rsid w:val="00750865"/>
    <w:rsid w:val="0075182F"/>
    <w:rsid w:val="00754D8D"/>
    <w:rsid w:val="00761C0F"/>
    <w:rsid w:val="00764D4E"/>
    <w:rsid w:val="00765A1F"/>
    <w:rsid w:val="00765C0D"/>
    <w:rsid w:val="00771708"/>
    <w:rsid w:val="00775B6D"/>
    <w:rsid w:val="00776693"/>
    <w:rsid w:val="00776D68"/>
    <w:rsid w:val="00780844"/>
    <w:rsid w:val="00782232"/>
    <w:rsid w:val="007825AF"/>
    <w:rsid w:val="00783A78"/>
    <w:rsid w:val="007850EE"/>
    <w:rsid w:val="00785B95"/>
    <w:rsid w:val="00785DD2"/>
    <w:rsid w:val="00790BD3"/>
    <w:rsid w:val="00790E96"/>
    <w:rsid w:val="00791257"/>
    <w:rsid w:val="007918B4"/>
    <w:rsid w:val="00793366"/>
    <w:rsid w:val="007A716F"/>
    <w:rsid w:val="007B270A"/>
    <w:rsid w:val="007B36F1"/>
    <w:rsid w:val="007C0232"/>
    <w:rsid w:val="007C0695"/>
    <w:rsid w:val="007C0F5C"/>
    <w:rsid w:val="007C419A"/>
    <w:rsid w:val="007C4CC8"/>
    <w:rsid w:val="007C5426"/>
    <w:rsid w:val="007C5798"/>
    <w:rsid w:val="007C5B88"/>
    <w:rsid w:val="007D0BF8"/>
    <w:rsid w:val="007D2743"/>
    <w:rsid w:val="007D4832"/>
    <w:rsid w:val="007E0E50"/>
    <w:rsid w:val="007E1523"/>
    <w:rsid w:val="007E21B2"/>
    <w:rsid w:val="007E2C4E"/>
    <w:rsid w:val="007E6B92"/>
    <w:rsid w:val="007F1905"/>
    <w:rsid w:val="007F4044"/>
    <w:rsid w:val="00800440"/>
    <w:rsid w:val="0080062E"/>
    <w:rsid w:val="00801300"/>
    <w:rsid w:val="00801F92"/>
    <w:rsid w:val="00802161"/>
    <w:rsid w:val="008028D4"/>
    <w:rsid w:val="00802C64"/>
    <w:rsid w:val="00805E52"/>
    <w:rsid w:val="008061D0"/>
    <w:rsid w:val="00807B70"/>
    <w:rsid w:val="00810B38"/>
    <w:rsid w:val="0081101B"/>
    <w:rsid w:val="008204C7"/>
    <w:rsid w:val="00820992"/>
    <w:rsid w:val="00821B9F"/>
    <w:rsid w:val="00822146"/>
    <w:rsid w:val="0082249E"/>
    <w:rsid w:val="00823602"/>
    <w:rsid w:val="008255F5"/>
    <w:rsid w:val="00825894"/>
    <w:rsid w:val="00827068"/>
    <w:rsid w:val="0083014E"/>
    <w:rsid w:val="0083214A"/>
    <w:rsid w:val="00833717"/>
    <w:rsid w:val="00834220"/>
    <w:rsid w:val="00835544"/>
    <w:rsid w:val="00841846"/>
    <w:rsid w:val="00841EBB"/>
    <w:rsid w:val="0084301D"/>
    <w:rsid w:val="00844D1B"/>
    <w:rsid w:val="00845654"/>
    <w:rsid w:val="00845723"/>
    <w:rsid w:val="00847AC8"/>
    <w:rsid w:val="00850B29"/>
    <w:rsid w:val="00851821"/>
    <w:rsid w:val="00851EF9"/>
    <w:rsid w:val="00856F3D"/>
    <w:rsid w:val="008577FD"/>
    <w:rsid w:val="00860B03"/>
    <w:rsid w:val="00862427"/>
    <w:rsid w:val="0086497A"/>
    <w:rsid w:val="008704B3"/>
    <w:rsid w:val="00871242"/>
    <w:rsid w:val="008713A1"/>
    <w:rsid w:val="008714E0"/>
    <w:rsid w:val="008732FF"/>
    <w:rsid w:val="008733A9"/>
    <w:rsid w:val="00875139"/>
    <w:rsid w:val="008754AB"/>
    <w:rsid w:val="00876FD5"/>
    <w:rsid w:val="0088060C"/>
    <w:rsid w:val="00880805"/>
    <w:rsid w:val="008831E7"/>
    <w:rsid w:val="00893576"/>
    <w:rsid w:val="00893E73"/>
    <w:rsid w:val="008944DC"/>
    <w:rsid w:val="00897FC6"/>
    <w:rsid w:val="008A0FF7"/>
    <w:rsid w:val="008A322D"/>
    <w:rsid w:val="008A470F"/>
    <w:rsid w:val="008A4AA3"/>
    <w:rsid w:val="008B02DC"/>
    <w:rsid w:val="008B57CE"/>
    <w:rsid w:val="008B7751"/>
    <w:rsid w:val="008C0E70"/>
    <w:rsid w:val="008C225B"/>
    <w:rsid w:val="008C26DE"/>
    <w:rsid w:val="008C2FE4"/>
    <w:rsid w:val="008C760B"/>
    <w:rsid w:val="008D2225"/>
    <w:rsid w:val="008D4752"/>
    <w:rsid w:val="008D4F7C"/>
    <w:rsid w:val="008D6D33"/>
    <w:rsid w:val="008E2146"/>
    <w:rsid w:val="008E271C"/>
    <w:rsid w:val="008E418E"/>
    <w:rsid w:val="008E426A"/>
    <w:rsid w:val="008E5BC6"/>
    <w:rsid w:val="008E6A25"/>
    <w:rsid w:val="008E7034"/>
    <w:rsid w:val="008E7965"/>
    <w:rsid w:val="008F0017"/>
    <w:rsid w:val="008F0CF8"/>
    <w:rsid w:val="008F156A"/>
    <w:rsid w:val="008F3794"/>
    <w:rsid w:val="008F5193"/>
    <w:rsid w:val="008F5ABE"/>
    <w:rsid w:val="008F6BA0"/>
    <w:rsid w:val="008F7110"/>
    <w:rsid w:val="00900E36"/>
    <w:rsid w:val="009013A7"/>
    <w:rsid w:val="0090158E"/>
    <w:rsid w:val="009017FB"/>
    <w:rsid w:val="009017FC"/>
    <w:rsid w:val="009022EC"/>
    <w:rsid w:val="009030D5"/>
    <w:rsid w:val="0090506B"/>
    <w:rsid w:val="009050C9"/>
    <w:rsid w:val="009066FC"/>
    <w:rsid w:val="009140A3"/>
    <w:rsid w:val="009144A2"/>
    <w:rsid w:val="0091510C"/>
    <w:rsid w:val="009216E0"/>
    <w:rsid w:val="00922786"/>
    <w:rsid w:val="00923B9E"/>
    <w:rsid w:val="009259AC"/>
    <w:rsid w:val="00925CC4"/>
    <w:rsid w:val="00926CD9"/>
    <w:rsid w:val="00926D91"/>
    <w:rsid w:val="00926F38"/>
    <w:rsid w:val="00931817"/>
    <w:rsid w:val="00931BCF"/>
    <w:rsid w:val="00934301"/>
    <w:rsid w:val="0093556F"/>
    <w:rsid w:val="00936CD1"/>
    <w:rsid w:val="0094069F"/>
    <w:rsid w:val="00941747"/>
    <w:rsid w:val="00941EFB"/>
    <w:rsid w:val="00947AFB"/>
    <w:rsid w:val="00951B22"/>
    <w:rsid w:val="00951D7D"/>
    <w:rsid w:val="0095318D"/>
    <w:rsid w:val="009540AF"/>
    <w:rsid w:val="009553D4"/>
    <w:rsid w:val="009630C7"/>
    <w:rsid w:val="009655FF"/>
    <w:rsid w:val="00965842"/>
    <w:rsid w:val="00971551"/>
    <w:rsid w:val="00972B55"/>
    <w:rsid w:val="00973B84"/>
    <w:rsid w:val="009743B7"/>
    <w:rsid w:val="0097625B"/>
    <w:rsid w:val="0098228B"/>
    <w:rsid w:val="0098267B"/>
    <w:rsid w:val="009828DA"/>
    <w:rsid w:val="00985BAB"/>
    <w:rsid w:val="009867D4"/>
    <w:rsid w:val="0099051B"/>
    <w:rsid w:val="00990919"/>
    <w:rsid w:val="00992D73"/>
    <w:rsid w:val="0099319C"/>
    <w:rsid w:val="009A145D"/>
    <w:rsid w:val="009A340E"/>
    <w:rsid w:val="009A4A9A"/>
    <w:rsid w:val="009B1B5F"/>
    <w:rsid w:val="009B2E03"/>
    <w:rsid w:val="009B3E19"/>
    <w:rsid w:val="009B4927"/>
    <w:rsid w:val="009B57F1"/>
    <w:rsid w:val="009B6050"/>
    <w:rsid w:val="009B6673"/>
    <w:rsid w:val="009C0308"/>
    <w:rsid w:val="009C152F"/>
    <w:rsid w:val="009C191B"/>
    <w:rsid w:val="009C2492"/>
    <w:rsid w:val="009C2BD6"/>
    <w:rsid w:val="009C4401"/>
    <w:rsid w:val="009C4B2B"/>
    <w:rsid w:val="009C4DF4"/>
    <w:rsid w:val="009C6C7C"/>
    <w:rsid w:val="009C7011"/>
    <w:rsid w:val="009D0118"/>
    <w:rsid w:val="009D15C5"/>
    <w:rsid w:val="009D16AC"/>
    <w:rsid w:val="009D3308"/>
    <w:rsid w:val="009D3EA8"/>
    <w:rsid w:val="009D611F"/>
    <w:rsid w:val="009E015A"/>
    <w:rsid w:val="009E1F32"/>
    <w:rsid w:val="009E333F"/>
    <w:rsid w:val="009E776C"/>
    <w:rsid w:val="009F7DF8"/>
    <w:rsid w:val="00A00893"/>
    <w:rsid w:val="00A01C0E"/>
    <w:rsid w:val="00A020D4"/>
    <w:rsid w:val="00A023D6"/>
    <w:rsid w:val="00A03680"/>
    <w:rsid w:val="00A03DBC"/>
    <w:rsid w:val="00A117D4"/>
    <w:rsid w:val="00A1246A"/>
    <w:rsid w:val="00A14BFB"/>
    <w:rsid w:val="00A1708F"/>
    <w:rsid w:val="00A1726E"/>
    <w:rsid w:val="00A17B3E"/>
    <w:rsid w:val="00A17F4E"/>
    <w:rsid w:val="00A204CF"/>
    <w:rsid w:val="00A228C9"/>
    <w:rsid w:val="00A23D49"/>
    <w:rsid w:val="00A24110"/>
    <w:rsid w:val="00A27004"/>
    <w:rsid w:val="00A27C12"/>
    <w:rsid w:val="00A30780"/>
    <w:rsid w:val="00A30C29"/>
    <w:rsid w:val="00A33393"/>
    <w:rsid w:val="00A345CA"/>
    <w:rsid w:val="00A34DD6"/>
    <w:rsid w:val="00A35581"/>
    <w:rsid w:val="00A36786"/>
    <w:rsid w:val="00A36819"/>
    <w:rsid w:val="00A368B0"/>
    <w:rsid w:val="00A36989"/>
    <w:rsid w:val="00A4017D"/>
    <w:rsid w:val="00A428F0"/>
    <w:rsid w:val="00A43628"/>
    <w:rsid w:val="00A5211B"/>
    <w:rsid w:val="00A5270D"/>
    <w:rsid w:val="00A531E1"/>
    <w:rsid w:val="00A53471"/>
    <w:rsid w:val="00A54192"/>
    <w:rsid w:val="00A5451D"/>
    <w:rsid w:val="00A54E5B"/>
    <w:rsid w:val="00A6035E"/>
    <w:rsid w:val="00A6144C"/>
    <w:rsid w:val="00A65A9E"/>
    <w:rsid w:val="00A66617"/>
    <w:rsid w:val="00A671F8"/>
    <w:rsid w:val="00A673A4"/>
    <w:rsid w:val="00A70DB3"/>
    <w:rsid w:val="00A724AE"/>
    <w:rsid w:val="00A73066"/>
    <w:rsid w:val="00A7313B"/>
    <w:rsid w:val="00A73329"/>
    <w:rsid w:val="00A73E45"/>
    <w:rsid w:val="00A74FE9"/>
    <w:rsid w:val="00A75BBA"/>
    <w:rsid w:val="00A75C70"/>
    <w:rsid w:val="00A76242"/>
    <w:rsid w:val="00A776F1"/>
    <w:rsid w:val="00A82359"/>
    <w:rsid w:val="00A840D5"/>
    <w:rsid w:val="00A852E5"/>
    <w:rsid w:val="00A865D2"/>
    <w:rsid w:val="00A87C42"/>
    <w:rsid w:val="00A87CDB"/>
    <w:rsid w:val="00A91944"/>
    <w:rsid w:val="00A93B0D"/>
    <w:rsid w:val="00A94C20"/>
    <w:rsid w:val="00A95AC8"/>
    <w:rsid w:val="00A95F98"/>
    <w:rsid w:val="00A96E80"/>
    <w:rsid w:val="00A96FFE"/>
    <w:rsid w:val="00AA1DCB"/>
    <w:rsid w:val="00AA227F"/>
    <w:rsid w:val="00AA3BC7"/>
    <w:rsid w:val="00AA754A"/>
    <w:rsid w:val="00AB0896"/>
    <w:rsid w:val="00AB099E"/>
    <w:rsid w:val="00AB24CD"/>
    <w:rsid w:val="00AB4328"/>
    <w:rsid w:val="00AB5A88"/>
    <w:rsid w:val="00AC060F"/>
    <w:rsid w:val="00AC0F40"/>
    <w:rsid w:val="00AC0FB7"/>
    <w:rsid w:val="00AC5C38"/>
    <w:rsid w:val="00AC6A2C"/>
    <w:rsid w:val="00AD20D2"/>
    <w:rsid w:val="00AD2ADF"/>
    <w:rsid w:val="00AD3A67"/>
    <w:rsid w:val="00AD54F5"/>
    <w:rsid w:val="00AE0033"/>
    <w:rsid w:val="00AE0A1C"/>
    <w:rsid w:val="00AE0A2E"/>
    <w:rsid w:val="00AE349B"/>
    <w:rsid w:val="00AE354C"/>
    <w:rsid w:val="00AE4855"/>
    <w:rsid w:val="00AE7A32"/>
    <w:rsid w:val="00AF4B07"/>
    <w:rsid w:val="00AF6186"/>
    <w:rsid w:val="00AF7A3A"/>
    <w:rsid w:val="00B0145A"/>
    <w:rsid w:val="00B0418E"/>
    <w:rsid w:val="00B14157"/>
    <w:rsid w:val="00B160DB"/>
    <w:rsid w:val="00B16E04"/>
    <w:rsid w:val="00B17727"/>
    <w:rsid w:val="00B20010"/>
    <w:rsid w:val="00B20836"/>
    <w:rsid w:val="00B20D88"/>
    <w:rsid w:val="00B235BB"/>
    <w:rsid w:val="00B238C2"/>
    <w:rsid w:val="00B2629A"/>
    <w:rsid w:val="00B27A44"/>
    <w:rsid w:val="00B30BBF"/>
    <w:rsid w:val="00B32347"/>
    <w:rsid w:val="00B33C03"/>
    <w:rsid w:val="00B349E5"/>
    <w:rsid w:val="00B3606A"/>
    <w:rsid w:val="00B36893"/>
    <w:rsid w:val="00B44E56"/>
    <w:rsid w:val="00B45531"/>
    <w:rsid w:val="00B457C0"/>
    <w:rsid w:val="00B46543"/>
    <w:rsid w:val="00B47D33"/>
    <w:rsid w:val="00B52BE0"/>
    <w:rsid w:val="00B5372C"/>
    <w:rsid w:val="00B54133"/>
    <w:rsid w:val="00B54696"/>
    <w:rsid w:val="00B54FA5"/>
    <w:rsid w:val="00B577BB"/>
    <w:rsid w:val="00B6155C"/>
    <w:rsid w:val="00B61943"/>
    <w:rsid w:val="00B61B70"/>
    <w:rsid w:val="00B63250"/>
    <w:rsid w:val="00B6683B"/>
    <w:rsid w:val="00B701ED"/>
    <w:rsid w:val="00B72822"/>
    <w:rsid w:val="00B72ED7"/>
    <w:rsid w:val="00B75BB0"/>
    <w:rsid w:val="00B8086C"/>
    <w:rsid w:val="00B82B76"/>
    <w:rsid w:val="00B861B4"/>
    <w:rsid w:val="00B86AA5"/>
    <w:rsid w:val="00B86DFE"/>
    <w:rsid w:val="00B90990"/>
    <w:rsid w:val="00B922FF"/>
    <w:rsid w:val="00B9281E"/>
    <w:rsid w:val="00B9304A"/>
    <w:rsid w:val="00B93925"/>
    <w:rsid w:val="00B93A74"/>
    <w:rsid w:val="00B94FAC"/>
    <w:rsid w:val="00B95187"/>
    <w:rsid w:val="00B96B9A"/>
    <w:rsid w:val="00BA2240"/>
    <w:rsid w:val="00BA2834"/>
    <w:rsid w:val="00BA2D55"/>
    <w:rsid w:val="00BA3458"/>
    <w:rsid w:val="00BA71B1"/>
    <w:rsid w:val="00BB0637"/>
    <w:rsid w:val="00BB0847"/>
    <w:rsid w:val="00BB23FA"/>
    <w:rsid w:val="00BB345F"/>
    <w:rsid w:val="00BB34D2"/>
    <w:rsid w:val="00BB4160"/>
    <w:rsid w:val="00BB5CC1"/>
    <w:rsid w:val="00BB68EA"/>
    <w:rsid w:val="00BC0B44"/>
    <w:rsid w:val="00BC1C27"/>
    <w:rsid w:val="00BC1E3B"/>
    <w:rsid w:val="00BC200B"/>
    <w:rsid w:val="00BC3E13"/>
    <w:rsid w:val="00BC4A86"/>
    <w:rsid w:val="00BC6B8F"/>
    <w:rsid w:val="00BC6BBF"/>
    <w:rsid w:val="00BC7022"/>
    <w:rsid w:val="00BD0EFA"/>
    <w:rsid w:val="00BD1572"/>
    <w:rsid w:val="00BD18E6"/>
    <w:rsid w:val="00BD6EEA"/>
    <w:rsid w:val="00BE14E3"/>
    <w:rsid w:val="00BE2754"/>
    <w:rsid w:val="00BE2BD1"/>
    <w:rsid w:val="00BE3774"/>
    <w:rsid w:val="00BE41E5"/>
    <w:rsid w:val="00BF011B"/>
    <w:rsid w:val="00BF10C4"/>
    <w:rsid w:val="00BF4109"/>
    <w:rsid w:val="00BF4CC3"/>
    <w:rsid w:val="00BF5F54"/>
    <w:rsid w:val="00C0208A"/>
    <w:rsid w:val="00C054C7"/>
    <w:rsid w:val="00C057B5"/>
    <w:rsid w:val="00C11CBA"/>
    <w:rsid w:val="00C14877"/>
    <w:rsid w:val="00C148ED"/>
    <w:rsid w:val="00C22687"/>
    <w:rsid w:val="00C25509"/>
    <w:rsid w:val="00C25745"/>
    <w:rsid w:val="00C2671E"/>
    <w:rsid w:val="00C32E4D"/>
    <w:rsid w:val="00C333A0"/>
    <w:rsid w:val="00C349EE"/>
    <w:rsid w:val="00C36A81"/>
    <w:rsid w:val="00C410D4"/>
    <w:rsid w:val="00C41974"/>
    <w:rsid w:val="00C53DDF"/>
    <w:rsid w:val="00C53F4A"/>
    <w:rsid w:val="00C54125"/>
    <w:rsid w:val="00C55B54"/>
    <w:rsid w:val="00C6098E"/>
    <w:rsid w:val="00C6152C"/>
    <w:rsid w:val="00C65F43"/>
    <w:rsid w:val="00C72C83"/>
    <w:rsid w:val="00C74810"/>
    <w:rsid w:val="00C804FC"/>
    <w:rsid w:val="00C80AFD"/>
    <w:rsid w:val="00C85A64"/>
    <w:rsid w:val="00C87713"/>
    <w:rsid w:val="00C90D68"/>
    <w:rsid w:val="00C91C03"/>
    <w:rsid w:val="00C92C69"/>
    <w:rsid w:val="00C92C8F"/>
    <w:rsid w:val="00C939FE"/>
    <w:rsid w:val="00C94409"/>
    <w:rsid w:val="00C96271"/>
    <w:rsid w:val="00CA32DB"/>
    <w:rsid w:val="00CA4BDA"/>
    <w:rsid w:val="00CA4FB7"/>
    <w:rsid w:val="00CB0A88"/>
    <w:rsid w:val="00CB0BD7"/>
    <w:rsid w:val="00CB1F66"/>
    <w:rsid w:val="00CB2951"/>
    <w:rsid w:val="00CB443D"/>
    <w:rsid w:val="00CB4E94"/>
    <w:rsid w:val="00CB5709"/>
    <w:rsid w:val="00CC0191"/>
    <w:rsid w:val="00CC0320"/>
    <w:rsid w:val="00CC2FD5"/>
    <w:rsid w:val="00CC43E3"/>
    <w:rsid w:val="00CC676E"/>
    <w:rsid w:val="00CC781C"/>
    <w:rsid w:val="00CD282B"/>
    <w:rsid w:val="00CD4C35"/>
    <w:rsid w:val="00CD7369"/>
    <w:rsid w:val="00CD7F73"/>
    <w:rsid w:val="00CE0B0E"/>
    <w:rsid w:val="00CE3831"/>
    <w:rsid w:val="00CE4F31"/>
    <w:rsid w:val="00CE5253"/>
    <w:rsid w:val="00CE5A8A"/>
    <w:rsid w:val="00CE670B"/>
    <w:rsid w:val="00CF090C"/>
    <w:rsid w:val="00CF2F68"/>
    <w:rsid w:val="00CF41F0"/>
    <w:rsid w:val="00CF6997"/>
    <w:rsid w:val="00D007D9"/>
    <w:rsid w:val="00D0097F"/>
    <w:rsid w:val="00D00ABB"/>
    <w:rsid w:val="00D02EEC"/>
    <w:rsid w:val="00D03551"/>
    <w:rsid w:val="00D06A63"/>
    <w:rsid w:val="00D07E0E"/>
    <w:rsid w:val="00D11478"/>
    <w:rsid w:val="00D15ED0"/>
    <w:rsid w:val="00D17AE8"/>
    <w:rsid w:val="00D21B3E"/>
    <w:rsid w:val="00D21FED"/>
    <w:rsid w:val="00D23C5B"/>
    <w:rsid w:val="00D24251"/>
    <w:rsid w:val="00D25A05"/>
    <w:rsid w:val="00D26352"/>
    <w:rsid w:val="00D314A9"/>
    <w:rsid w:val="00D324F6"/>
    <w:rsid w:val="00D343E2"/>
    <w:rsid w:val="00D34C57"/>
    <w:rsid w:val="00D361A2"/>
    <w:rsid w:val="00D42F64"/>
    <w:rsid w:val="00D435AF"/>
    <w:rsid w:val="00D44C2E"/>
    <w:rsid w:val="00D45414"/>
    <w:rsid w:val="00D46611"/>
    <w:rsid w:val="00D552A5"/>
    <w:rsid w:val="00D566BD"/>
    <w:rsid w:val="00D57A4D"/>
    <w:rsid w:val="00D57C74"/>
    <w:rsid w:val="00D60AA7"/>
    <w:rsid w:val="00D6435F"/>
    <w:rsid w:val="00D65B55"/>
    <w:rsid w:val="00D66544"/>
    <w:rsid w:val="00D71671"/>
    <w:rsid w:val="00D73866"/>
    <w:rsid w:val="00D75E28"/>
    <w:rsid w:val="00D772C2"/>
    <w:rsid w:val="00D77503"/>
    <w:rsid w:val="00D8008E"/>
    <w:rsid w:val="00D826EA"/>
    <w:rsid w:val="00D82C45"/>
    <w:rsid w:val="00D86F0B"/>
    <w:rsid w:val="00D8741B"/>
    <w:rsid w:val="00D908A8"/>
    <w:rsid w:val="00D92A54"/>
    <w:rsid w:val="00D95C12"/>
    <w:rsid w:val="00D96BDF"/>
    <w:rsid w:val="00D977B6"/>
    <w:rsid w:val="00DA2FA0"/>
    <w:rsid w:val="00DA4A31"/>
    <w:rsid w:val="00DA6934"/>
    <w:rsid w:val="00DA7831"/>
    <w:rsid w:val="00DA7B04"/>
    <w:rsid w:val="00DB36C2"/>
    <w:rsid w:val="00DB3D61"/>
    <w:rsid w:val="00DC169B"/>
    <w:rsid w:val="00DC2AB9"/>
    <w:rsid w:val="00DC33FD"/>
    <w:rsid w:val="00DC63F0"/>
    <w:rsid w:val="00DD0931"/>
    <w:rsid w:val="00DD287A"/>
    <w:rsid w:val="00DD4044"/>
    <w:rsid w:val="00DD6D69"/>
    <w:rsid w:val="00DD6EE5"/>
    <w:rsid w:val="00DD77AA"/>
    <w:rsid w:val="00DE1DB7"/>
    <w:rsid w:val="00DE386C"/>
    <w:rsid w:val="00DE4D35"/>
    <w:rsid w:val="00DF0707"/>
    <w:rsid w:val="00DF098B"/>
    <w:rsid w:val="00DF0A0F"/>
    <w:rsid w:val="00DF0E38"/>
    <w:rsid w:val="00DF11C4"/>
    <w:rsid w:val="00DF18A4"/>
    <w:rsid w:val="00DF210C"/>
    <w:rsid w:val="00DF4B6A"/>
    <w:rsid w:val="00DF5523"/>
    <w:rsid w:val="00DF55FF"/>
    <w:rsid w:val="00DF6FFA"/>
    <w:rsid w:val="00E006D6"/>
    <w:rsid w:val="00E02C09"/>
    <w:rsid w:val="00E04442"/>
    <w:rsid w:val="00E04D59"/>
    <w:rsid w:val="00E06485"/>
    <w:rsid w:val="00E07223"/>
    <w:rsid w:val="00E07BC4"/>
    <w:rsid w:val="00E07DA1"/>
    <w:rsid w:val="00E10FF1"/>
    <w:rsid w:val="00E123CB"/>
    <w:rsid w:val="00E13DE7"/>
    <w:rsid w:val="00E14118"/>
    <w:rsid w:val="00E1412C"/>
    <w:rsid w:val="00E20E13"/>
    <w:rsid w:val="00E21095"/>
    <w:rsid w:val="00E21DBC"/>
    <w:rsid w:val="00E269F3"/>
    <w:rsid w:val="00E274DE"/>
    <w:rsid w:val="00E275D7"/>
    <w:rsid w:val="00E27DBE"/>
    <w:rsid w:val="00E32AB1"/>
    <w:rsid w:val="00E36C71"/>
    <w:rsid w:val="00E371C6"/>
    <w:rsid w:val="00E37212"/>
    <w:rsid w:val="00E37917"/>
    <w:rsid w:val="00E40404"/>
    <w:rsid w:val="00E41685"/>
    <w:rsid w:val="00E41DC1"/>
    <w:rsid w:val="00E45467"/>
    <w:rsid w:val="00E459C6"/>
    <w:rsid w:val="00E47589"/>
    <w:rsid w:val="00E47DD4"/>
    <w:rsid w:val="00E50921"/>
    <w:rsid w:val="00E51004"/>
    <w:rsid w:val="00E56BAF"/>
    <w:rsid w:val="00E5735A"/>
    <w:rsid w:val="00E64915"/>
    <w:rsid w:val="00E661D4"/>
    <w:rsid w:val="00E70091"/>
    <w:rsid w:val="00E7091C"/>
    <w:rsid w:val="00E70A73"/>
    <w:rsid w:val="00E712D7"/>
    <w:rsid w:val="00E720F5"/>
    <w:rsid w:val="00E749D6"/>
    <w:rsid w:val="00E76D47"/>
    <w:rsid w:val="00E77E45"/>
    <w:rsid w:val="00E849F7"/>
    <w:rsid w:val="00E84AA5"/>
    <w:rsid w:val="00E87A49"/>
    <w:rsid w:val="00E90302"/>
    <w:rsid w:val="00E91CF8"/>
    <w:rsid w:val="00E9261D"/>
    <w:rsid w:val="00E970E7"/>
    <w:rsid w:val="00E97396"/>
    <w:rsid w:val="00EA112F"/>
    <w:rsid w:val="00EA185E"/>
    <w:rsid w:val="00EA592A"/>
    <w:rsid w:val="00EB14E4"/>
    <w:rsid w:val="00EB32A5"/>
    <w:rsid w:val="00EB34ED"/>
    <w:rsid w:val="00EB7BE0"/>
    <w:rsid w:val="00EC05C1"/>
    <w:rsid w:val="00EC23D2"/>
    <w:rsid w:val="00EC315E"/>
    <w:rsid w:val="00EC376A"/>
    <w:rsid w:val="00ED077C"/>
    <w:rsid w:val="00ED1190"/>
    <w:rsid w:val="00ED4C1D"/>
    <w:rsid w:val="00ED4D16"/>
    <w:rsid w:val="00ED5DFE"/>
    <w:rsid w:val="00ED6544"/>
    <w:rsid w:val="00EE0277"/>
    <w:rsid w:val="00EE08C4"/>
    <w:rsid w:val="00EE134A"/>
    <w:rsid w:val="00EE1D70"/>
    <w:rsid w:val="00EE2281"/>
    <w:rsid w:val="00EE3E00"/>
    <w:rsid w:val="00EE4815"/>
    <w:rsid w:val="00EE5DD2"/>
    <w:rsid w:val="00EF5FD7"/>
    <w:rsid w:val="00F00A79"/>
    <w:rsid w:val="00F00DA7"/>
    <w:rsid w:val="00F00E86"/>
    <w:rsid w:val="00F06F70"/>
    <w:rsid w:val="00F07C1E"/>
    <w:rsid w:val="00F105DB"/>
    <w:rsid w:val="00F1119E"/>
    <w:rsid w:val="00F132BC"/>
    <w:rsid w:val="00F13D80"/>
    <w:rsid w:val="00F13F3A"/>
    <w:rsid w:val="00F14D42"/>
    <w:rsid w:val="00F16AAA"/>
    <w:rsid w:val="00F1749B"/>
    <w:rsid w:val="00F204B2"/>
    <w:rsid w:val="00F21161"/>
    <w:rsid w:val="00F218EF"/>
    <w:rsid w:val="00F21A63"/>
    <w:rsid w:val="00F21BC7"/>
    <w:rsid w:val="00F22081"/>
    <w:rsid w:val="00F23731"/>
    <w:rsid w:val="00F266A2"/>
    <w:rsid w:val="00F277F1"/>
    <w:rsid w:val="00F32269"/>
    <w:rsid w:val="00F42623"/>
    <w:rsid w:val="00F460CA"/>
    <w:rsid w:val="00F46F3E"/>
    <w:rsid w:val="00F5245E"/>
    <w:rsid w:val="00F56A6F"/>
    <w:rsid w:val="00F5709C"/>
    <w:rsid w:val="00F57A95"/>
    <w:rsid w:val="00F60C53"/>
    <w:rsid w:val="00F614CA"/>
    <w:rsid w:val="00F62AFA"/>
    <w:rsid w:val="00F64EF1"/>
    <w:rsid w:val="00F6518C"/>
    <w:rsid w:val="00F65C0E"/>
    <w:rsid w:val="00F6632C"/>
    <w:rsid w:val="00F74BED"/>
    <w:rsid w:val="00F757DB"/>
    <w:rsid w:val="00F76B0D"/>
    <w:rsid w:val="00F76D67"/>
    <w:rsid w:val="00F7744C"/>
    <w:rsid w:val="00F77AB7"/>
    <w:rsid w:val="00F77D1E"/>
    <w:rsid w:val="00F827E4"/>
    <w:rsid w:val="00F83AC7"/>
    <w:rsid w:val="00F83C49"/>
    <w:rsid w:val="00F8659D"/>
    <w:rsid w:val="00F8765F"/>
    <w:rsid w:val="00F87E4D"/>
    <w:rsid w:val="00F90767"/>
    <w:rsid w:val="00F925F7"/>
    <w:rsid w:val="00F93561"/>
    <w:rsid w:val="00F946BB"/>
    <w:rsid w:val="00FA146C"/>
    <w:rsid w:val="00FA3C95"/>
    <w:rsid w:val="00FA5494"/>
    <w:rsid w:val="00FA685B"/>
    <w:rsid w:val="00FA6F6F"/>
    <w:rsid w:val="00FA7984"/>
    <w:rsid w:val="00FA7E03"/>
    <w:rsid w:val="00FB0C01"/>
    <w:rsid w:val="00FB0E3E"/>
    <w:rsid w:val="00FC18F2"/>
    <w:rsid w:val="00FC29E0"/>
    <w:rsid w:val="00FC2D60"/>
    <w:rsid w:val="00FC39E5"/>
    <w:rsid w:val="00FC3A78"/>
    <w:rsid w:val="00FC4608"/>
    <w:rsid w:val="00FC48D7"/>
    <w:rsid w:val="00FD1005"/>
    <w:rsid w:val="00FD2E39"/>
    <w:rsid w:val="00FD4F26"/>
    <w:rsid w:val="00FD6BFB"/>
    <w:rsid w:val="00FD6C75"/>
    <w:rsid w:val="00FE3986"/>
    <w:rsid w:val="00FE4244"/>
    <w:rsid w:val="00FE71B3"/>
    <w:rsid w:val="00FE791D"/>
    <w:rsid w:val="00FE7DB4"/>
    <w:rsid w:val="00FF2405"/>
    <w:rsid w:val="00FF28BA"/>
    <w:rsid w:val="00FF42C5"/>
    <w:rsid w:val="00FF6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AC49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03680"/>
    <w:rPr>
      <w:sz w:val="24"/>
      <w:szCs w:val="24"/>
      <w:lang w:val="en-GB"/>
    </w:rPr>
  </w:style>
  <w:style w:type="paragraph" w:styleId="Heading1">
    <w:name w:val="heading 1"/>
    <w:basedOn w:val="Normal"/>
    <w:next w:val="Normal"/>
    <w:link w:val="Heading1Char"/>
    <w:uiPriority w:val="98"/>
    <w:semiHidden/>
    <w:rsid w:val="006F1BFE"/>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F1BFE"/>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F1BFE"/>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F1BFE"/>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F1BFE"/>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F1BFE"/>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F1BFE"/>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F1BF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F1BF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6F1BFE"/>
    <w:rPr>
      <w:rFonts w:ascii="Tahoma" w:hAnsi="Tahoma" w:cs="Tahoma"/>
      <w:sz w:val="16"/>
      <w:szCs w:val="16"/>
    </w:rPr>
  </w:style>
  <w:style w:type="character" w:customStyle="1" w:styleId="BalloonTextChar">
    <w:name w:val="Balloon Text Char"/>
    <w:basedOn w:val="DefaultParagraphFont"/>
    <w:link w:val="BalloonText"/>
    <w:uiPriority w:val="98"/>
    <w:semiHidden/>
    <w:rsid w:val="006F1BFE"/>
    <w:rPr>
      <w:rFonts w:ascii="Tahoma" w:hAnsi="Tahoma" w:cs="Tahoma"/>
      <w:sz w:val="16"/>
      <w:szCs w:val="16"/>
      <w:lang w:val="en-GB"/>
    </w:rPr>
  </w:style>
  <w:style w:type="character" w:styleId="BookTitle">
    <w:name w:val="Book Title"/>
    <w:uiPriority w:val="98"/>
    <w:semiHidden/>
    <w:qFormat/>
    <w:rsid w:val="006F1BFE"/>
    <w:rPr>
      <w:i/>
      <w:iCs/>
      <w:smallCaps/>
      <w:spacing w:val="5"/>
    </w:rPr>
  </w:style>
  <w:style w:type="paragraph" w:customStyle="1" w:styleId="DummyStyle">
    <w:name w:val="Dummy_Style"/>
    <w:aliases w:val="_Dummy"/>
    <w:basedOn w:val="Normal"/>
    <w:semiHidden/>
    <w:qFormat/>
    <w:rsid w:val="006F1BFE"/>
    <w:rPr>
      <w:color w:val="00B050"/>
      <w:sz w:val="22"/>
    </w:rPr>
  </w:style>
  <w:style w:type="numbering" w:customStyle="1" w:styleId="ECHRA1StyleBulletedSquare">
    <w:name w:val="ECHR_A1_Style_Bulleted_Square"/>
    <w:basedOn w:val="NoList"/>
    <w:rsid w:val="006F1BFE"/>
    <w:pPr>
      <w:numPr>
        <w:numId w:val="5"/>
      </w:numPr>
    </w:pPr>
  </w:style>
  <w:style w:type="numbering" w:customStyle="1" w:styleId="ECHRA1StyleNumberedList">
    <w:name w:val="ECHR_A1_Style_Numbered_List"/>
    <w:basedOn w:val="NoList"/>
    <w:rsid w:val="006F1BFE"/>
    <w:pPr>
      <w:numPr>
        <w:numId w:val="7"/>
      </w:numPr>
    </w:pPr>
  </w:style>
  <w:style w:type="paragraph" w:customStyle="1" w:styleId="NormalJustified">
    <w:name w:val="Normal_Justified"/>
    <w:basedOn w:val="Normal"/>
    <w:semiHidden/>
    <w:rsid w:val="006F1BFE"/>
    <w:pPr>
      <w:jc w:val="both"/>
    </w:pPr>
  </w:style>
  <w:style w:type="paragraph" w:customStyle="1" w:styleId="ECHRBullet1">
    <w:name w:val="ECHR_Bullet_1"/>
    <w:aliases w:val="_Bul_1"/>
    <w:basedOn w:val="NormalJustified"/>
    <w:uiPriority w:val="23"/>
    <w:qFormat/>
    <w:rsid w:val="006F1BFE"/>
    <w:pPr>
      <w:numPr>
        <w:numId w:val="5"/>
      </w:numPr>
      <w:spacing w:before="60" w:after="60"/>
    </w:pPr>
  </w:style>
  <w:style w:type="paragraph" w:customStyle="1" w:styleId="ECHRBullet2">
    <w:name w:val="ECHR_Bullet_2"/>
    <w:aliases w:val="_Bul_2"/>
    <w:basedOn w:val="ECHRBullet1"/>
    <w:uiPriority w:val="23"/>
    <w:rsid w:val="006F1BFE"/>
    <w:pPr>
      <w:numPr>
        <w:ilvl w:val="1"/>
      </w:numPr>
    </w:pPr>
  </w:style>
  <w:style w:type="paragraph" w:customStyle="1" w:styleId="ECHRBullet3">
    <w:name w:val="ECHR_Bullet_3"/>
    <w:aliases w:val="_Bul_3"/>
    <w:basedOn w:val="ECHRBullet2"/>
    <w:uiPriority w:val="23"/>
    <w:rsid w:val="006F1BFE"/>
    <w:pPr>
      <w:numPr>
        <w:ilvl w:val="2"/>
      </w:numPr>
    </w:pPr>
  </w:style>
  <w:style w:type="paragraph" w:customStyle="1" w:styleId="ECHRBullet4">
    <w:name w:val="ECHR_Bullet_4"/>
    <w:aliases w:val="_Bul_4"/>
    <w:basedOn w:val="ECHRBullet3"/>
    <w:uiPriority w:val="23"/>
    <w:rsid w:val="006F1BFE"/>
    <w:pPr>
      <w:numPr>
        <w:ilvl w:val="3"/>
      </w:numPr>
    </w:pPr>
  </w:style>
  <w:style w:type="paragraph" w:customStyle="1" w:styleId="JuPara">
    <w:name w:val="Ju_Para"/>
    <w:aliases w:val="_Para,ECHR_Para"/>
    <w:basedOn w:val="NormalJustified"/>
    <w:link w:val="JuParaChar"/>
    <w:uiPriority w:val="4"/>
    <w:qFormat/>
    <w:rsid w:val="006F1BFE"/>
    <w:pPr>
      <w:ind w:firstLine="284"/>
    </w:pPr>
  </w:style>
  <w:style w:type="paragraph" w:customStyle="1" w:styleId="ECHRConfidential">
    <w:name w:val="ECHR_Confidential"/>
    <w:aliases w:val="_Confidential"/>
    <w:basedOn w:val="Normal"/>
    <w:next w:val="Normal"/>
    <w:uiPriority w:val="42"/>
    <w:qFormat/>
    <w:rsid w:val="006F1BFE"/>
    <w:pPr>
      <w:jc w:val="right"/>
    </w:pPr>
    <w:rPr>
      <w:color w:val="C00000"/>
      <w:sz w:val="20"/>
    </w:rPr>
  </w:style>
  <w:style w:type="paragraph" w:customStyle="1" w:styleId="DecHTitle">
    <w:name w:val="Dec_H_Title"/>
    <w:aliases w:val="_Title_1,ECHR_Cover_Title_1"/>
    <w:basedOn w:val="JuPara"/>
    <w:next w:val="JuPara"/>
    <w:uiPriority w:val="38"/>
    <w:qFormat/>
    <w:rsid w:val="006F1BFE"/>
    <w:pPr>
      <w:keepNext/>
      <w:keepLines/>
      <w:spacing w:after="240"/>
      <w:ind w:firstLine="0"/>
      <w:jc w:val="center"/>
      <w:outlineLvl w:val="0"/>
    </w:pPr>
    <w:rPr>
      <w:rFonts w:asciiTheme="majorHAnsi" w:hAnsiTheme="majorHAnsi"/>
      <w:sz w:val="28"/>
    </w:rPr>
  </w:style>
  <w:style w:type="paragraph" w:customStyle="1" w:styleId="JuTitle">
    <w:name w:val="Ju_Title"/>
    <w:aliases w:val="_Title_2"/>
    <w:basedOn w:val="Normal"/>
    <w:next w:val="JuPara"/>
    <w:uiPriority w:val="38"/>
    <w:qFormat/>
    <w:rsid w:val="006F1BFE"/>
    <w:pPr>
      <w:keepNext/>
      <w:keepLines/>
      <w:spacing w:before="1320" w:after="280"/>
      <w:contextualSpacing/>
      <w:jc w:val="center"/>
    </w:pPr>
    <w:rPr>
      <w:b/>
    </w:rPr>
  </w:style>
  <w:style w:type="paragraph" w:customStyle="1" w:styleId="DecHCase">
    <w:name w:val="Dec_H_Case"/>
    <w:aliases w:val="_Title_3"/>
    <w:basedOn w:val="JuPara"/>
    <w:next w:val="JuPara"/>
    <w:uiPriority w:val="38"/>
    <w:qFormat/>
    <w:rsid w:val="006F1BFE"/>
    <w:pPr>
      <w:keepNext/>
      <w:keepLines/>
      <w:spacing w:after="280"/>
      <w:ind w:firstLine="0"/>
      <w:jc w:val="center"/>
    </w:pPr>
    <w:rPr>
      <w:rFonts w:asciiTheme="majorHAnsi" w:hAnsiTheme="majorHAnsi"/>
    </w:rPr>
  </w:style>
  <w:style w:type="paragraph" w:customStyle="1" w:styleId="ECHRCoverTitle4">
    <w:name w:val="ECHR_Cover_Title_4"/>
    <w:aliases w:val="_Title_4"/>
    <w:basedOn w:val="JuPara"/>
    <w:next w:val="JuPara"/>
    <w:uiPriority w:val="38"/>
    <w:qFormat/>
    <w:rsid w:val="006F1BFE"/>
    <w:pPr>
      <w:keepNext/>
      <w:keepLines/>
      <w:tabs>
        <w:tab w:val="right" w:pos="7938"/>
      </w:tabs>
      <w:ind w:firstLine="0"/>
      <w:jc w:val="center"/>
    </w:pPr>
    <w:rPr>
      <w:i/>
    </w:rPr>
  </w:style>
  <w:style w:type="paragraph" w:customStyle="1" w:styleId="ECHRDecisionBody">
    <w:name w:val="ECHR_Decision_Body"/>
    <w:aliases w:val="_Decision_Body"/>
    <w:basedOn w:val="NormalJustified"/>
    <w:uiPriority w:val="54"/>
    <w:semiHidden/>
    <w:rsid w:val="006F1BFE"/>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F1BFE"/>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F1BFE"/>
    <w:rPr>
      <w:rFonts w:ascii="Arial" w:hAnsi="Arial"/>
      <w:i/>
      <w:color w:val="002856"/>
      <w:sz w:val="32"/>
      <w:szCs w:val="24"/>
      <w:lang w:val="en-GB"/>
    </w:rPr>
  </w:style>
  <w:style w:type="table" w:customStyle="1" w:styleId="ECHRDNTable">
    <w:name w:val="ECHR_DN_Table"/>
    <w:basedOn w:val="TableNormal"/>
    <w:uiPriority w:val="99"/>
    <w:rsid w:val="006F1BFE"/>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98"/>
    <w:semiHidden/>
    <w:rsid w:val="006F1BFE"/>
    <w:pPr>
      <w:tabs>
        <w:tab w:val="center" w:pos="3686"/>
        <w:tab w:val="right" w:pos="7371"/>
      </w:tabs>
    </w:pPr>
  </w:style>
  <w:style w:type="character" w:customStyle="1" w:styleId="FooterChar">
    <w:name w:val="Footer Char"/>
    <w:basedOn w:val="DefaultParagraphFont"/>
    <w:link w:val="Footer"/>
    <w:uiPriority w:val="98"/>
    <w:semiHidden/>
    <w:rsid w:val="006F1BFE"/>
    <w:rPr>
      <w:sz w:val="24"/>
      <w:szCs w:val="24"/>
      <w:lang w:val="en-GB"/>
    </w:rPr>
  </w:style>
  <w:style w:type="paragraph" w:customStyle="1" w:styleId="ECHRFooter">
    <w:name w:val="ECHR_Footer"/>
    <w:aliases w:val="_Footer"/>
    <w:basedOn w:val="Footer"/>
    <w:uiPriority w:val="30"/>
    <w:rsid w:val="006F1BFE"/>
    <w:rPr>
      <w:sz w:val="8"/>
    </w:rPr>
  </w:style>
  <w:style w:type="paragraph" w:customStyle="1" w:styleId="ECHRFooterLine">
    <w:name w:val="ECHR_Footer_Line"/>
    <w:aliases w:val="_Footer_Line"/>
    <w:basedOn w:val="Normal"/>
    <w:next w:val="ECHRFooter"/>
    <w:uiPriority w:val="30"/>
    <w:rsid w:val="006F1BFE"/>
    <w:pPr>
      <w:pBdr>
        <w:top w:val="single" w:sz="6" w:space="1" w:color="5F5F5F"/>
      </w:pBdr>
      <w:tabs>
        <w:tab w:val="center" w:pos="3686"/>
        <w:tab w:val="right" w:pos="7371"/>
      </w:tabs>
      <w:ind w:left="-1474" w:right="-1474"/>
    </w:pPr>
    <w:rPr>
      <w:color w:val="5F5F5F"/>
    </w:rPr>
  </w:style>
  <w:style w:type="paragraph" w:customStyle="1" w:styleId="ECHRFooterLineLandscape">
    <w:name w:val="ECHR_Footer_Line_Landscape"/>
    <w:aliases w:val="_Footer_Line_Landscape"/>
    <w:basedOn w:val="Normal"/>
    <w:uiPriority w:val="30"/>
    <w:rsid w:val="006F1BFE"/>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styleId="Header">
    <w:name w:val="header"/>
    <w:basedOn w:val="Normal"/>
    <w:link w:val="HeaderChar"/>
    <w:uiPriority w:val="98"/>
    <w:semiHidden/>
    <w:rsid w:val="006F1BFE"/>
    <w:pPr>
      <w:tabs>
        <w:tab w:val="center" w:pos="4536"/>
        <w:tab w:val="right" w:pos="9072"/>
      </w:tabs>
    </w:pPr>
  </w:style>
  <w:style w:type="character" w:customStyle="1" w:styleId="HeaderChar">
    <w:name w:val="Header Char"/>
    <w:basedOn w:val="DefaultParagraphFont"/>
    <w:link w:val="Header"/>
    <w:uiPriority w:val="98"/>
    <w:semiHidden/>
    <w:rsid w:val="006F1BFE"/>
    <w:rPr>
      <w:sz w:val="24"/>
      <w:szCs w:val="24"/>
      <w:lang w:val="en-GB"/>
    </w:rPr>
  </w:style>
  <w:style w:type="paragraph" w:customStyle="1" w:styleId="JuHeader">
    <w:name w:val="Ju_Header"/>
    <w:aliases w:val="_Header"/>
    <w:basedOn w:val="Header"/>
    <w:uiPriority w:val="29"/>
    <w:qFormat/>
    <w:rsid w:val="006F1BFE"/>
    <w:pPr>
      <w:tabs>
        <w:tab w:val="clear" w:pos="4536"/>
        <w:tab w:val="clear" w:pos="9072"/>
      </w:tabs>
      <w:jc w:val="center"/>
    </w:pPr>
    <w:rPr>
      <w:sz w:val="18"/>
    </w:rPr>
  </w:style>
  <w:style w:type="paragraph" w:customStyle="1" w:styleId="ECHRHeaderDate">
    <w:name w:val="ECHR_Header_Date"/>
    <w:aliases w:val="_Ref_Date"/>
    <w:basedOn w:val="Normal"/>
    <w:uiPriority w:val="44"/>
    <w:qFormat/>
    <w:rsid w:val="006F1BFE"/>
    <w:pPr>
      <w:jc w:val="right"/>
    </w:pPr>
    <w:rPr>
      <w:sz w:val="20"/>
    </w:rPr>
  </w:style>
  <w:style w:type="paragraph" w:customStyle="1" w:styleId="ECHRHeaderLandscape">
    <w:name w:val="ECHR_Header_Landscape"/>
    <w:aliases w:val="_Header_Landscape"/>
    <w:basedOn w:val="JuHeader"/>
    <w:uiPriority w:val="29"/>
    <w:rsid w:val="006F1BFE"/>
    <w:pPr>
      <w:tabs>
        <w:tab w:val="center" w:pos="6146"/>
        <w:tab w:val="right" w:pos="13778"/>
      </w:tabs>
      <w:ind w:left="-1474" w:right="-1474"/>
    </w:pPr>
  </w:style>
  <w:style w:type="character" w:customStyle="1" w:styleId="Heading1Char">
    <w:name w:val="Heading 1 Char"/>
    <w:basedOn w:val="DefaultParagraphFont"/>
    <w:link w:val="Heading1"/>
    <w:uiPriority w:val="98"/>
    <w:semiHidden/>
    <w:rsid w:val="006F1BFE"/>
    <w:rPr>
      <w:rFonts w:asciiTheme="majorHAnsi" w:eastAsiaTheme="majorEastAsia" w:hAnsiTheme="majorHAnsi" w:cstheme="majorBidi"/>
      <w:b/>
      <w:bCs/>
      <w:color w:val="333333"/>
      <w:sz w:val="28"/>
      <w:szCs w:val="28"/>
      <w:lang w:val="en-GB"/>
    </w:rPr>
  </w:style>
  <w:style w:type="paragraph" w:customStyle="1" w:styleId="ECHRHeaderRefIt">
    <w:name w:val="ECHR_Header_Ref_It"/>
    <w:aliases w:val="_Ref_Ital"/>
    <w:basedOn w:val="Normal"/>
    <w:next w:val="ECHRHeaderDate"/>
    <w:uiPriority w:val="43"/>
    <w:qFormat/>
    <w:rsid w:val="006F1BFE"/>
    <w:pPr>
      <w:jc w:val="right"/>
    </w:pPr>
    <w:rPr>
      <w:i/>
      <w:sz w:val="20"/>
    </w:rPr>
  </w:style>
  <w:style w:type="table" w:customStyle="1" w:styleId="ECHRHeaderTable">
    <w:name w:val="ECHR_Header_Table"/>
    <w:basedOn w:val="TableNormal"/>
    <w:uiPriority w:val="99"/>
    <w:rsid w:val="006F1BFE"/>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Heading2Char">
    <w:name w:val="Heading 2 Char"/>
    <w:basedOn w:val="DefaultParagraphFont"/>
    <w:link w:val="Heading2"/>
    <w:uiPriority w:val="98"/>
    <w:semiHidden/>
    <w:rsid w:val="006F1BFE"/>
    <w:rPr>
      <w:rFonts w:asciiTheme="majorHAnsi" w:eastAsiaTheme="majorEastAsia" w:hAnsiTheme="majorHAnsi" w:cstheme="majorBidi"/>
      <w:b/>
      <w:bCs/>
      <w:color w:val="4D4D4D"/>
      <w:sz w:val="26"/>
      <w:szCs w:val="26"/>
      <w:lang w:val="en-GB"/>
    </w:rPr>
  </w:style>
  <w:style w:type="table" w:customStyle="1" w:styleId="ECHRHeaderTableReduced">
    <w:name w:val="ECHR_Header_Table_Reduced"/>
    <w:basedOn w:val="TableNormal"/>
    <w:uiPriority w:val="99"/>
    <w:rsid w:val="006F1BFE"/>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HHead">
    <w:name w:val="Ju_H_Head"/>
    <w:aliases w:val="_Head_1"/>
    <w:basedOn w:val="Heading1"/>
    <w:next w:val="JuPara"/>
    <w:uiPriority w:val="17"/>
    <w:qFormat/>
    <w:rsid w:val="006F1BFE"/>
    <w:pPr>
      <w:keepNext/>
      <w:keepLines/>
      <w:numPr>
        <w:numId w:val="1"/>
      </w:numPr>
      <w:spacing w:before="100" w:beforeAutospacing="1" w:after="240"/>
      <w:contextualSpacing w:val="0"/>
      <w:jc w:val="both"/>
    </w:pPr>
    <w:rPr>
      <w:b w:val="0"/>
      <w:caps/>
      <w:color w:val="auto"/>
    </w:rPr>
  </w:style>
  <w:style w:type="character" w:customStyle="1" w:styleId="Heading3Char">
    <w:name w:val="Heading 3 Char"/>
    <w:basedOn w:val="DefaultParagraphFont"/>
    <w:link w:val="Heading3"/>
    <w:uiPriority w:val="98"/>
    <w:semiHidden/>
    <w:rsid w:val="006F1BFE"/>
    <w:rPr>
      <w:rFonts w:asciiTheme="majorHAnsi" w:eastAsiaTheme="majorEastAsia" w:hAnsiTheme="majorHAnsi" w:cstheme="majorBidi"/>
      <w:b/>
      <w:bCs/>
      <w:color w:val="5F5F5F"/>
      <w:lang w:val="en-GB"/>
    </w:rPr>
  </w:style>
  <w:style w:type="paragraph" w:customStyle="1" w:styleId="JuHIRoman">
    <w:name w:val="Ju_H_I_Roman"/>
    <w:aliases w:val="_Head_2"/>
    <w:basedOn w:val="Heading2"/>
    <w:next w:val="JuPara"/>
    <w:uiPriority w:val="17"/>
    <w:qFormat/>
    <w:rsid w:val="006F1BFE"/>
    <w:pPr>
      <w:keepNext/>
      <w:keepLines/>
      <w:numPr>
        <w:ilvl w:val="1"/>
        <w:numId w:val="1"/>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6F1BFE"/>
    <w:pPr>
      <w:keepNext/>
      <w:keepLines/>
      <w:numPr>
        <w:ilvl w:val="2"/>
        <w:numId w:val="1"/>
      </w:numPr>
      <w:spacing w:before="100" w:beforeAutospacing="1" w:after="240" w:line="240" w:lineRule="auto"/>
      <w:jc w:val="both"/>
    </w:pPr>
    <w:rPr>
      <w:color w:val="auto"/>
      <w:sz w:val="24"/>
    </w:rPr>
  </w:style>
  <w:style w:type="character" w:customStyle="1" w:styleId="Heading4Char">
    <w:name w:val="Heading 4 Char"/>
    <w:basedOn w:val="DefaultParagraphFont"/>
    <w:link w:val="Heading4"/>
    <w:uiPriority w:val="98"/>
    <w:semiHidden/>
    <w:rsid w:val="006F1BFE"/>
    <w:rPr>
      <w:rFonts w:asciiTheme="majorHAnsi" w:eastAsiaTheme="majorEastAsia" w:hAnsiTheme="majorHAnsi" w:cstheme="majorBidi"/>
      <w:b/>
      <w:bCs/>
      <w:i/>
      <w:iCs/>
      <w:color w:val="777777"/>
      <w:lang w:val="en-GB"/>
    </w:rPr>
  </w:style>
  <w:style w:type="paragraph" w:customStyle="1" w:styleId="JuH1">
    <w:name w:val="Ju_H_1."/>
    <w:aliases w:val="_Head_4"/>
    <w:basedOn w:val="Heading4"/>
    <w:next w:val="JuPara"/>
    <w:uiPriority w:val="17"/>
    <w:rsid w:val="006F1BFE"/>
    <w:pPr>
      <w:keepNext/>
      <w:keepLines/>
      <w:numPr>
        <w:ilvl w:val="3"/>
        <w:numId w:val="1"/>
      </w:numPr>
      <w:spacing w:before="100" w:beforeAutospacing="1" w:after="120"/>
      <w:jc w:val="both"/>
    </w:pPr>
    <w:rPr>
      <w:b w:val="0"/>
      <w:color w:val="auto"/>
      <w:sz w:val="24"/>
    </w:rPr>
  </w:style>
  <w:style w:type="character" w:customStyle="1" w:styleId="Heading5Char">
    <w:name w:val="Heading 5 Char"/>
    <w:basedOn w:val="DefaultParagraphFont"/>
    <w:link w:val="Heading5"/>
    <w:uiPriority w:val="98"/>
    <w:semiHidden/>
    <w:rsid w:val="006F1BFE"/>
    <w:rPr>
      <w:rFonts w:asciiTheme="majorHAnsi" w:eastAsiaTheme="majorEastAsia" w:hAnsiTheme="majorHAnsi" w:cstheme="majorBidi"/>
      <w:b/>
      <w:bCs/>
      <w:color w:val="808080"/>
      <w:lang w:val="en-GB"/>
    </w:rPr>
  </w:style>
  <w:style w:type="paragraph" w:customStyle="1" w:styleId="JuHa0">
    <w:name w:val="Ju_H_a"/>
    <w:aliases w:val="_Head_5"/>
    <w:basedOn w:val="Heading5"/>
    <w:next w:val="JuPara"/>
    <w:uiPriority w:val="17"/>
    <w:rsid w:val="00F60C53"/>
    <w:pPr>
      <w:keepNext/>
      <w:keepLines/>
      <w:numPr>
        <w:numId w:val="18"/>
      </w:numPr>
      <w:spacing w:before="100" w:beforeAutospacing="1" w:after="120"/>
      <w:jc w:val="both"/>
    </w:pPr>
    <w:rPr>
      <w:color w:val="auto"/>
      <w:sz w:val="20"/>
      <w:lang w:val="fr-FR"/>
    </w:rPr>
  </w:style>
  <w:style w:type="paragraph" w:customStyle="1" w:styleId="JuHi">
    <w:name w:val="Ju_H_i"/>
    <w:aliases w:val="_Head_6"/>
    <w:basedOn w:val="Heading6"/>
    <w:next w:val="JuPara"/>
    <w:uiPriority w:val="17"/>
    <w:rsid w:val="00F60C53"/>
    <w:pPr>
      <w:keepNext/>
      <w:keepLines/>
      <w:numPr>
        <w:numId w:val="19"/>
      </w:numPr>
      <w:tabs>
        <w:tab w:val="left" w:pos="1077"/>
        <w:tab w:val="left" w:pos="1134"/>
        <w:tab w:val="left" w:pos="1191"/>
        <w:tab w:val="left" w:pos="1247"/>
      </w:tabs>
      <w:spacing w:before="100" w:beforeAutospacing="1" w:after="120"/>
      <w:jc w:val="both"/>
    </w:pPr>
    <w:rPr>
      <w:b w:val="0"/>
      <w:color w:val="auto"/>
      <w:sz w:val="20"/>
      <w:lang w:val="fr-FR"/>
    </w:rPr>
  </w:style>
  <w:style w:type="paragraph" w:customStyle="1" w:styleId="JuHalpha">
    <w:name w:val="Ju_H_alpha"/>
    <w:aliases w:val="_Head_7"/>
    <w:basedOn w:val="Heading7"/>
    <w:next w:val="JuPara"/>
    <w:uiPriority w:val="17"/>
    <w:rsid w:val="006F1BFE"/>
    <w:pPr>
      <w:keepNext/>
      <w:keepLines/>
      <w:numPr>
        <w:ilvl w:val="6"/>
        <w:numId w:val="1"/>
      </w:numPr>
      <w:tabs>
        <w:tab w:val="left" w:pos="1361"/>
      </w:tabs>
      <w:spacing w:before="100" w:beforeAutospacing="1" w:after="120"/>
      <w:jc w:val="both"/>
    </w:pPr>
    <w:rPr>
      <w:i w:val="0"/>
      <w:sz w:val="20"/>
    </w:rPr>
  </w:style>
  <w:style w:type="paragraph" w:customStyle="1" w:styleId="ECHRLine">
    <w:name w:val="ECHR_Line"/>
    <w:aliases w:val="_Line"/>
    <w:basedOn w:val="NormalJustified"/>
    <w:next w:val="Normal"/>
    <w:uiPriority w:val="46"/>
    <w:rsid w:val="006F1BFE"/>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6F1BFE"/>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_Num_1"/>
    <w:basedOn w:val="Normal"/>
    <w:uiPriority w:val="23"/>
    <w:qFormat/>
    <w:rsid w:val="006F1BFE"/>
    <w:pPr>
      <w:numPr>
        <w:numId w:val="7"/>
      </w:numPr>
      <w:spacing w:before="60" w:after="60"/>
    </w:pPr>
  </w:style>
  <w:style w:type="paragraph" w:customStyle="1" w:styleId="ECHRNumberedList2">
    <w:name w:val="ECHR_Numbered_List_2"/>
    <w:aliases w:val="_Num_2"/>
    <w:basedOn w:val="ECHRNumberedList1"/>
    <w:uiPriority w:val="23"/>
    <w:rsid w:val="006F1BFE"/>
    <w:pPr>
      <w:numPr>
        <w:ilvl w:val="1"/>
      </w:numPr>
    </w:pPr>
  </w:style>
  <w:style w:type="paragraph" w:customStyle="1" w:styleId="ECHRNumberedList3">
    <w:name w:val="ECHR_Numbered_List_3"/>
    <w:aliases w:val="_Num_3"/>
    <w:basedOn w:val="ECHRNumberedList2"/>
    <w:uiPriority w:val="23"/>
    <w:rsid w:val="006F1BFE"/>
    <w:pPr>
      <w:numPr>
        <w:ilvl w:val="2"/>
      </w:numPr>
    </w:pPr>
  </w:style>
  <w:style w:type="paragraph" w:customStyle="1" w:styleId="JuParaLast">
    <w:name w:val="Ju_Para_Last"/>
    <w:aliases w:val="_Para_Spaced"/>
    <w:basedOn w:val="NormalJustified"/>
    <w:uiPriority w:val="5"/>
    <w:qFormat/>
    <w:rsid w:val="006F1BFE"/>
    <w:pPr>
      <w:keepNext/>
      <w:keepLines/>
      <w:spacing w:before="240" w:after="240"/>
      <w:ind w:firstLine="284"/>
    </w:pPr>
  </w:style>
  <w:style w:type="paragraph" w:customStyle="1" w:styleId="ECHRParaQuote">
    <w:name w:val="ECHR_Para_Quote"/>
    <w:aliases w:val="_Quote"/>
    <w:basedOn w:val="JuParaLast"/>
    <w:next w:val="JuParaLast"/>
    <w:uiPriority w:val="20"/>
    <w:qFormat/>
    <w:rsid w:val="00D826EA"/>
    <w:pPr>
      <w:ind w:left="567"/>
    </w:pPr>
    <w:rPr>
      <w:sz w:val="20"/>
    </w:rPr>
  </w:style>
  <w:style w:type="character" w:customStyle="1" w:styleId="ECHRRed">
    <w:name w:val="ECHR_Red"/>
    <w:aliases w:val="_Red"/>
    <w:basedOn w:val="DefaultParagraphFont"/>
    <w:uiPriority w:val="15"/>
    <w:qFormat/>
    <w:rsid w:val="006F1BFE"/>
    <w:rPr>
      <w:color w:val="C00000" w:themeColor="accent2"/>
    </w:rPr>
  </w:style>
  <w:style w:type="paragraph" w:customStyle="1" w:styleId="ECHRSpacer">
    <w:name w:val="ECHR_Spacer"/>
    <w:aliases w:val="_Spacer"/>
    <w:basedOn w:val="Normal"/>
    <w:uiPriority w:val="45"/>
    <w:rsid w:val="006F1BFE"/>
    <w:rPr>
      <w:sz w:val="4"/>
    </w:rPr>
  </w:style>
  <w:style w:type="table" w:customStyle="1" w:styleId="ECHRTable">
    <w:name w:val="ECHR_Table"/>
    <w:basedOn w:val="TableNormal"/>
    <w:rsid w:val="006F1BFE"/>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6F1BFE"/>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8"/>
    <w:semiHidden/>
    <w:rsid w:val="006F1BFE"/>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6F1BFE"/>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6F1BFE"/>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6F1BFE"/>
    <w:rPr>
      <w:rFonts w:asciiTheme="majorHAnsi" w:eastAsiaTheme="majorEastAsia" w:hAnsiTheme="majorHAnsi" w:cstheme="majorBidi"/>
      <w:i/>
      <w:iCs/>
      <w:spacing w:val="5"/>
      <w:sz w:val="20"/>
      <w:szCs w:val="20"/>
      <w:lang w:val="en-GB" w:bidi="en-US"/>
    </w:rPr>
  </w:style>
  <w:style w:type="table" w:customStyle="1" w:styleId="ECHRTableFax">
    <w:name w:val="ECHR_Table_Fax"/>
    <w:basedOn w:val="TableNormal"/>
    <w:uiPriority w:val="99"/>
    <w:rsid w:val="006F1BFE"/>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F1BFE"/>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F1BFE"/>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6F1BFE"/>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6F1BFE"/>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6F1BFE"/>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_Title_L_1"/>
    <w:basedOn w:val="Normal"/>
    <w:next w:val="Normal"/>
    <w:uiPriority w:val="28"/>
    <w:qFormat/>
    <w:rsid w:val="006F1BFE"/>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F1BFE"/>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F1BFE"/>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F1BFE"/>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F1BFE"/>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F1BFE"/>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F1BFE"/>
    <w:pPr>
      <w:outlineLvl w:val="0"/>
    </w:pPr>
  </w:style>
  <w:style w:type="paragraph" w:customStyle="1" w:styleId="ECHRTitleTOC1">
    <w:name w:val="ECHR_Title_TOC_1"/>
    <w:aliases w:val="_Title_L_TOC"/>
    <w:basedOn w:val="ECHRTitle1"/>
    <w:next w:val="Normal"/>
    <w:uiPriority w:val="27"/>
    <w:qFormat/>
    <w:rsid w:val="006F1BFE"/>
    <w:pPr>
      <w:outlineLvl w:val="0"/>
    </w:pPr>
  </w:style>
  <w:style w:type="character" w:styleId="Emphasis">
    <w:name w:val="Emphasis"/>
    <w:uiPriority w:val="98"/>
    <w:semiHidden/>
    <w:qFormat/>
    <w:rsid w:val="006F1BFE"/>
    <w:rPr>
      <w:b/>
      <w:bCs/>
      <w:i/>
      <w:iCs/>
      <w:spacing w:val="10"/>
      <w:bdr w:val="none" w:sz="0" w:space="0" w:color="auto"/>
      <w:shd w:val="clear" w:color="auto" w:fill="auto"/>
    </w:rPr>
  </w:style>
  <w:style w:type="character" w:styleId="FootnoteReference">
    <w:name w:val="footnote reference"/>
    <w:basedOn w:val="DefaultParagraphFont"/>
    <w:uiPriority w:val="98"/>
    <w:semiHidden/>
    <w:rsid w:val="006F1BFE"/>
    <w:rPr>
      <w:vertAlign w:val="superscript"/>
    </w:rPr>
  </w:style>
  <w:style w:type="paragraph" w:styleId="FootnoteText">
    <w:name w:val="footnote text"/>
    <w:basedOn w:val="Normal"/>
    <w:link w:val="FootnoteTextChar"/>
    <w:uiPriority w:val="98"/>
    <w:semiHidden/>
    <w:rsid w:val="006F1BFE"/>
    <w:rPr>
      <w:sz w:val="20"/>
      <w:szCs w:val="20"/>
    </w:rPr>
  </w:style>
  <w:style w:type="character" w:customStyle="1" w:styleId="FootnoteTextChar">
    <w:name w:val="Footnote Text Char"/>
    <w:basedOn w:val="DefaultParagraphFont"/>
    <w:link w:val="FootnoteText"/>
    <w:uiPriority w:val="98"/>
    <w:semiHidden/>
    <w:rsid w:val="006F1BFE"/>
    <w:rPr>
      <w:sz w:val="20"/>
      <w:szCs w:val="20"/>
      <w:lang w:val="en-GB"/>
    </w:rPr>
  </w:style>
  <w:style w:type="character" w:styleId="Hyperlink">
    <w:name w:val="Hyperlink"/>
    <w:basedOn w:val="DefaultParagraphFont"/>
    <w:uiPriority w:val="98"/>
    <w:semiHidden/>
    <w:rsid w:val="006F1BFE"/>
    <w:rPr>
      <w:color w:val="0072BC" w:themeColor="hyperlink"/>
      <w:u w:val="single"/>
    </w:rPr>
  </w:style>
  <w:style w:type="character" w:styleId="IntenseEmphasis">
    <w:name w:val="Intense Emphasis"/>
    <w:uiPriority w:val="98"/>
    <w:semiHidden/>
    <w:qFormat/>
    <w:rsid w:val="006F1BFE"/>
    <w:rPr>
      <w:b/>
      <w:bCs/>
    </w:rPr>
  </w:style>
  <w:style w:type="paragraph" w:styleId="IntenseQuote">
    <w:name w:val="Intense Quote"/>
    <w:basedOn w:val="Normal"/>
    <w:next w:val="Normal"/>
    <w:link w:val="IntenseQuoteChar"/>
    <w:uiPriority w:val="98"/>
    <w:semiHidden/>
    <w:qFormat/>
    <w:rsid w:val="006F1BFE"/>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6F1BFE"/>
    <w:rPr>
      <w:b/>
      <w:bCs/>
      <w:i/>
      <w:iCs/>
      <w:sz w:val="24"/>
      <w:szCs w:val="24"/>
      <w:lang w:val="en-GB" w:bidi="en-US"/>
    </w:rPr>
  </w:style>
  <w:style w:type="character" w:styleId="IntenseReference">
    <w:name w:val="Intense Reference"/>
    <w:uiPriority w:val="98"/>
    <w:semiHidden/>
    <w:qFormat/>
    <w:rsid w:val="006F1BFE"/>
    <w:rPr>
      <w:smallCaps/>
      <w:spacing w:val="5"/>
      <w:u w:val="single"/>
    </w:rPr>
  </w:style>
  <w:style w:type="paragraph" w:styleId="ListParagraph">
    <w:name w:val="List Paragraph"/>
    <w:basedOn w:val="Normal"/>
    <w:uiPriority w:val="98"/>
    <w:semiHidden/>
    <w:qFormat/>
    <w:rsid w:val="006F1BFE"/>
    <w:pPr>
      <w:ind w:left="720"/>
      <w:contextualSpacing/>
    </w:pPr>
  </w:style>
  <w:style w:type="table" w:customStyle="1" w:styleId="LtrTableAddress">
    <w:name w:val="Ltr_Table_Address"/>
    <w:aliases w:val="ECHR_Ltr_Table_Address"/>
    <w:basedOn w:val="TableNormal"/>
    <w:uiPriority w:val="99"/>
    <w:rsid w:val="006F1BFE"/>
    <w:rPr>
      <w:sz w:val="24"/>
      <w:szCs w:val="24"/>
    </w:rPr>
    <w:tblPr>
      <w:tblInd w:w="5103" w:type="dxa"/>
    </w:tblPr>
  </w:style>
  <w:style w:type="paragraph" w:styleId="NoSpacing">
    <w:name w:val="No Spacing"/>
    <w:basedOn w:val="Normal"/>
    <w:link w:val="NoSpacingChar"/>
    <w:uiPriority w:val="98"/>
    <w:semiHidden/>
    <w:qFormat/>
    <w:rsid w:val="006F1BFE"/>
  </w:style>
  <w:style w:type="character" w:customStyle="1" w:styleId="NoSpacingChar">
    <w:name w:val="No Spacing Char"/>
    <w:basedOn w:val="DefaultParagraphFont"/>
    <w:link w:val="NoSpacing"/>
    <w:uiPriority w:val="98"/>
    <w:semiHidden/>
    <w:rsid w:val="006F1BFE"/>
    <w:rPr>
      <w:sz w:val="24"/>
      <w:szCs w:val="24"/>
      <w:lang w:val="en-GB"/>
    </w:rPr>
  </w:style>
  <w:style w:type="table" w:customStyle="1" w:styleId="PCFTableStyle">
    <w:name w:val="PCF_Table_Style"/>
    <w:aliases w:val="ECHR_PCF_Table_Style"/>
    <w:basedOn w:val="TableNormal"/>
    <w:uiPriority w:val="99"/>
    <w:rsid w:val="006F1BFE"/>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8"/>
    <w:semiHidden/>
    <w:rsid w:val="006F1BFE"/>
    <w:rPr>
      <w:color w:val="auto"/>
      <w:bdr w:val="none" w:sz="0" w:space="0" w:color="auto"/>
      <w:shd w:val="clear" w:color="auto" w:fill="DFDFDF" w:themeFill="background2" w:themeFillShade="E6"/>
    </w:rPr>
  </w:style>
  <w:style w:type="paragraph" w:styleId="Quote">
    <w:name w:val="Quote"/>
    <w:basedOn w:val="Normal"/>
    <w:next w:val="Normal"/>
    <w:link w:val="QuoteChar"/>
    <w:uiPriority w:val="98"/>
    <w:semiHidden/>
    <w:qFormat/>
    <w:rsid w:val="006F1BFE"/>
    <w:pPr>
      <w:spacing w:before="200"/>
      <w:ind w:left="360" w:right="360"/>
    </w:pPr>
    <w:rPr>
      <w:i/>
      <w:iCs/>
      <w:lang w:bidi="en-US"/>
    </w:rPr>
  </w:style>
  <w:style w:type="character" w:customStyle="1" w:styleId="QuoteChar">
    <w:name w:val="Quote Char"/>
    <w:basedOn w:val="DefaultParagraphFont"/>
    <w:link w:val="Quote"/>
    <w:uiPriority w:val="98"/>
    <w:semiHidden/>
    <w:rsid w:val="006F1BFE"/>
    <w:rPr>
      <w:i/>
      <w:iCs/>
      <w:sz w:val="24"/>
      <w:szCs w:val="24"/>
      <w:lang w:val="en-GB" w:bidi="en-US"/>
    </w:rPr>
  </w:style>
  <w:style w:type="character" w:styleId="Strong">
    <w:name w:val="Strong"/>
    <w:uiPriority w:val="98"/>
    <w:semiHidden/>
    <w:qFormat/>
    <w:rsid w:val="006F1BFE"/>
    <w:rPr>
      <w:b/>
      <w:bCs/>
    </w:rPr>
  </w:style>
  <w:style w:type="character" w:styleId="SubtleEmphasis">
    <w:name w:val="Subtle Emphasis"/>
    <w:uiPriority w:val="98"/>
    <w:semiHidden/>
    <w:qFormat/>
    <w:rsid w:val="006F1BFE"/>
    <w:rPr>
      <w:i/>
      <w:iCs/>
    </w:rPr>
  </w:style>
  <w:style w:type="character" w:styleId="SubtleReference">
    <w:name w:val="Subtle Reference"/>
    <w:uiPriority w:val="98"/>
    <w:semiHidden/>
    <w:qFormat/>
    <w:rsid w:val="006F1BFE"/>
    <w:rPr>
      <w:smallCaps/>
    </w:rPr>
  </w:style>
  <w:style w:type="table" w:styleId="TableGrid">
    <w:name w:val="Table Grid"/>
    <w:basedOn w:val="TableNormal"/>
    <w:uiPriority w:val="59"/>
    <w:semiHidden/>
    <w:rsid w:val="006F1BFE"/>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8"/>
    <w:semiHidden/>
    <w:qFormat/>
    <w:rsid w:val="006F1BF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6F1BFE"/>
    <w:rPr>
      <w:rFonts w:asciiTheme="majorHAnsi" w:eastAsiaTheme="majorEastAsia" w:hAnsiTheme="majorHAnsi" w:cstheme="majorBidi"/>
      <w:spacing w:val="5"/>
      <w:sz w:val="52"/>
      <w:szCs w:val="52"/>
      <w:lang w:val="en-GB" w:bidi="en-US"/>
    </w:rPr>
  </w:style>
  <w:style w:type="paragraph" w:styleId="TOAHeading">
    <w:name w:val="toa heading"/>
    <w:basedOn w:val="Normal"/>
    <w:next w:val="Normal"/>
    <w:uiPriority w:val="98"/>
    <w:semiHidden/>
    <w:rsid w:val="006F1BFE"/>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F1BFE"/>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F1BFE"/>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F1BFE"/>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F1BFE"/>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F1BFE"/>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6F1BFE"/>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6F1BFE"/>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F1BFE"/>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_Indent"/>
    <w:basedOn w:val="Normal"/>
    <w:uiPriority w:val="7"/>
    <w:qFormat/>
    <w:rsid w:val="006F1BFE"/>
    <w:pPr>
      <w:spacing w:before="120" w:after="120"/>
      <w:ind w:left="284"/>
      <w:jc w:val="both"/>
    </w:pPr>
  </w:style>
  <w:style w:type="paragraph" w:customStyle="1" w:styleId="ECHRParaHanging">
    <w:name w:val="ECHR_Para_Hanging"/>
    <w:aliases w:val="_Hanging"/>
    <w:basedOn w:val="Normal"/>
    <w:uiPriority w:val="8"/>
    <w:qFormat/>
    <w:rsid w:val="006F1BFE"/>
    <w:pPr>
      <w:ind w:left="567" w:hanging="567"/>
      <w:jc w:val="both"/>
    </w:pPr>
  </w:style>
  <w:style w:type="table" w:customStyle="1" w:styleId="ECHRTableGrey">
    <w:name w:val="ECHR_Table_Grey"/>
    <w:basedOn w:val="TableNormal"/>
    <w:uiPriority w:val="99"/>
    <w:rsid w:val="006F1BFE"/>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6F1BFE"/>
    <w:pPr>
      <w:numPr>
        <w:numId w:val="6"/>
      </w:numPr>
    </w:pPr>
  </w:style>
  <w:style w:type="paragraph" w:customStyle="1" w:styleId="JuList">
    <w:name w:val="Ju_List"/>
    <w:aliases w:val="_List_1"/>
    <w:basedOn w:val="NormalJustified"/>
    <w:uiPriority w:val="23"/>
    <w:qFormat/>
    <w:rsid w:val="006F1BFE"/>
    <w:pPr>
      <w:numPr>
        <w:numId w:val="6"/>
      </w:numPr>
      <w:spacing w:before="280" w:after="60"/>
    </w:pPr>
  </w:style>
  <w:style w:type="paragraph" w:customStyle="1" w:styleId="JuLista">
    <w:name w:val="Ju_List_a"/>
    <w:aliases w:val="_List_2"/>
    <w:basedOn w:val="NormalJustified"/>
    <w:uiPriority w:val="23"/>
    <w:rsid w:val="006F1BFE"/>
    <w:pPr>
      <w:numPr>
        <w:ilvl w:val="1"/>
        <w:numId w:val="6"/>
      </w:numPr>
    </w:pPr>
  </w:style>
  <w:style w:type="paragraph" w:customStyle="1" w:styleId="JuListi">
    <w:name w:val="Ju_List_i"/>
    <w:aliases w:val="_List_3"/>
    <w:basedOn w:val="NormalJustified"/>
    <w:uiPriority w:val="23"/>
    <w:rsid w:val="006F1BFE"/>
    <w:pPr>
      <w:numPr>
        <w:ilvl w:val="2"/>
        <w:numId w:val="6"/>
      </w:numPr>
    </w:pPr>
  </w:style>
  <w:style w:type="table" w:customStyle="1" w:styleId="ECHRTable2016">
    <w:name w:val="ECHR_Table_2016"/>
    <w:basedOn w:val="TableNormal"/>
    <w:uiPriority w:val="99"/>
    <w:rsid w:val="006F1BFE"/>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2">
    <w:name w:val="ECHR_Table_2"/>
    <w:basedOn w:val="TableNormal"/>
    <w:uiPriority w:val="99"/>
    <w:rsid w:val="006F1BFE"/>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paragraph" w:customStyle="1" w:styleId="JuH">
    <w:name w:val="Ju_H_–"/>
    <w:aliases w:val="_Head_8"/>
    <w:basedOn w:val="Heading8"/>
    <w:next w:val="JuPara"/>
    <w:uiPriority w:val="17"/>
    <w:rsid w:val="006F1BFE"/>
    <w:pPr>
      <w:keepNext/>
      <w:keepLines/>
      <w:numPr>
        <w:ilvl w:val="7"/>
        <w:numId w:val="1"/>
      </w:numPr>
      <w:spacing w:before="100" w:beforeAutospacing="1" w:after="120"/>
      <w:jc w:val="both"/>
    </w:pPr>
    <w:rPr>
      <w:i/>
    </w:rPr>
  </w:style>
  <w:style w:type="paragraph" w:customStyle="1" w:styleId="JuHArticle">
    <w:name w:val="Ju_H_Article"/>
    <w:aliases w:val="_Title_Quote"/>
    <w:basedOn w:val="Normal"/>
    <w:next w:val="Normal"/>
    <w:uiPriority w:val="19"/>
    <w:qFormat/>
    <w:rsid w:val="006F1BFE"/>
    <w:pPr>
      <w:keepNext/>
      <w:spacing w:before="100" w:beforeAutospacing="1" w:after="120"/>
      <w:contextualSpacing/>
      <w:jc w:val="center"/>
    </w:pPr>
    <w:rPr>
      <w:b/>
      <w:sz w:val="20"/>
    </w:rPr>
  </w:style>
  <w:style w:type="paragraph" w:customStyle="1" w:styleId="JuInitialled">
    <w:name w:val="Ju_Initialled"/>
    <w:aliases w:val="_Right"/>
    <w:basedOn w:val="Normal"/>
    <w:uiPriority w:val="30"/>
    <w:qFormat/>
    <w:rsid w:val="006F1BFE"/>
    <w:pPr>
      <w:tabs>
        <w:tab w:val="center" w:pos="6407"/>
      </w:tabs>
      <w:spacing w:before="720"/>
      <w:jc w:val="right"/>
    </w:pPr>
  </w:style>
  <w:style w:type="paragraph" w:customStyle="1" w:styleId="JuSigned">
    <w:name w:val="Ju_Signed"/>
    <w:aliases w:val="_Signature"/>
    <w:basedOn w:val="Normal"/>
    <w:next w:val="JuPara"/>
    <w:uiPriority w:val="31"/>
    <w:qFormat/>
    <w:rsid w:val="006F1BFE"/>
    <w:pPr>
      <w:tabs>
        <w:tab w:val="center" w:pos="851"/>
        <w:tab w:val="center" w:pos="6407"/>
      </w:tabs>
      <w:spacing w:before="720"/>
    </w:pPr>
  </w:style>
  <w:style w:type="table" w:customStyle="1" w:styleId="ECHRTable2019">
    <w:name w:val="ECHR_Table_2019"/>
    <w:basedOn w:val="TableNormal"/>
    <w:uiPriority w:val="99"/>
    <w:rsid w:val="006F1BFE"/>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styleId="MediumShading2">
    <w:name w:val="Medium Shading 2"/>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JuCase">
    <w:name w:val="Ju_Case"/>
    <w:aliases w:val="_Case_Name"/>
    <w:basedOn w:val="Normal"/>
    <w:next w:val="JuPara"/>
    <w:uiPriority w:val="32"/>
    <w:rsid w:val="006F1BFE"/>
    <w:pPr>
      <w:ind w:firstLine="284"/>
    </w:pPr>
    <w:rPr>
      <w:b/>
    </w:rPr>
  </w:style>
  <w:style w:type="paragraph" w:customStyle="1" w:styleId="JuCourt">
    <w:name w:val="Ju_Court"/>
    <w:aliases w:val="_Court_Names"/>
    <w:basedOn w:val="Normal"/>
    <w:next w:val="Normal"/>
    <w:uiPriority w:val="32"/>
    <w:qFormat/>
    <w:rsid w:val="006F1BFE"/>
    <w:pPr>
      <w:tabs>
        <w:tab w:val="left" w:pos="907"/>
        <w:tab w:val="left" w:pos="1701"/>
        <w:tab w:val="right" w:pos="7371"/>
      </w:tabs>
      <w:spacing w:before="240"/>
      <w:ind w:left="397" w:hanging="397"/>
    </w:pPr>
    <w:rPr>
      <w:lang w:bidi="en-US"/>
    </w:rPr>
  </w:style>
  <w:style w:type="paragraph" w:customStyle="1" w:styleId="JuJudges">
    <w:name w:val="Ju_Judges"/>
    <w:aliases w:val="_Judges"/>
    <w:basedOn w:val="Normal"/>
    <w:uiPriority w:val="32"/>
    <w:qFormat/>
    <w:rsid w:val="006F1BFE"/>
    <w:pPr>
      <w:tabs>
        <w:tab w:val="left" w:pos="567"/>
        <w:tab w:val="left" w:pos="1134"/>
      </w:tabs>
    </w:pPr>
  </w:style>
  <w:style w:type="character" w:customStyle="1" w:styleId="JUNAMES">
    <w:name w:val="JU_NAMES"/>
    <w:aliases w:val="_Ju_Names"/>
    <w:uiPriority w:val="33"/>
    <w:qFormat/>
    <w:rsid w:val="006F1BFE"/>
    <w:rPr>
      <w:caps w:val="0"/>
      <w:smallCaps/>
    </w:rPr>
  </w:style>
  <w:style w:type="paragraph" w:customStyle="1" w:styleId="ECHRHeading9">
    <w:name w:val="ECHR_Heading_9"/>
    <w:aliases w:val="_Head_9"/>
    <w:basedOn w:val="Heading9"/>
    <w:uiPriority w:val="17"/>
    <w:rsid w:val="006F1BFE"/>
    <w:pPr>
      <w:keepNext/>
      <w:keepLines/>
      <w:numPr>
        <w:ilvl w:val="8"/>
        <w:numId w:val="1"/>
      </w:numPr>
      <w:spacing w:before="100" w:beforeAutospacing="1"/>
      <w:contextualSpacing/>
      <w:jc w:val="both"/>
    </w:pPr>
    <w:rPr>
      <w:i w:val="0"/>
      <w:sz w:val="18"/>
    </w:rPr>
  </w:style>
  <w:style w:type="character" w:customStyle="1" w:styleId="JuITMark">
    <w:name w:val="Ju_ITMark"/>
    <w:aliases w:val="_ITMark"/>
    <w:basedOn w:val="DefaultParagraphFont"/>
    <w:uiPriority w:val="54"/>
    <w:qFormat/>
    <w:rsid w:val="006F1BFE"/>
    <w:rPr>
      <w:vanish w:val="0"/>
      <w:color w:val="auto"/>
      <w:sz w:val="14"/>
      <w:bdr w:val="none" w:sz="0" w:space="0" w:color="auto"/>
      <w:shd w:val="clear" w:color="auto" w:fill="BEE5FF" w:themeFill="background1" w:themeFillTint="33"/>
    </w:rPr>
  </w:style>
  <w:style w:type="character" w:styleId="LineNumber">
    <w:name w:val="line number"/>
    <w:basedOn w:val="DefaultParagraphFont"/>
    <w:uiPriority w:val="98"/>
    <w:semiHidden/>
    <w:rsid w:val="006F1BFE"/>
  </w:style>
  <w:style w:type="character" w:styleId="CommentReference">
    <w:name w:val="annotation reference"/>
    <w:basedOn w:val="DefaultParagraphFont"/>
    <w:uiPriority w:val="98"/>
    <w:semiHidden/>
    <w:rsid w:val="006F1BFE"/>
    <w:rPr>
      <w:sz w:val="16"/>
      <w:szCs w:val="16"/>
    </w:rPr>
  </w:style>
  <w:style w:type="paragraph" w:styleId="CommentText">
    <w:name w:val="annotation text"/>
    <w:basedOn w:val="Normal"/>
    <w:link w:val="CommentTextChar"/>
    <w:uiPriority w:val="98"/>
    <w:semiHidden/>
    <w:rsid w:val="006F1BFE"/>
    <w:rPr>
      <w:sz w:val="20"/>
      <w:szCs w:val="20"/>
    </w:rPr>
  </w:style>
  <w:style w:type="character" w:customStyle="1" w:styleId="CommentTextChar">
    <w:name w:val="Comment Text Char"/>
    <w:basedOn w:val="DefaultParagraphFont"/>
    <w:link w:val="CommentText"/>
    <w:uiPriority w:val="98"/>
    <w:semiHidden/>
    <w:rsid w:val="006F1BFE"/>
    <w:rPr>
      <w:sz w:val="20"/>
      <w:szCs w:val="20"/>
      <w:lang w:val="en-GB"/>
    </w:rPr>
  </w:style>
  <w:style w:type="paragraph" w:styleId="CommentSubject">
    <w:name w:val="annotation subject"/>
    <w:basedOn w:val="CommentText"/>
    <w:next w:val="CommentText"/>
    <w:link w:val="CommentSubjectChar"/>
    <w:uiPriority w:val="98"/>
    <w:semiHidden/>
    <w:rsid w:val="006F1BFE"/>
    <w:rPr>
      <w:b/>
      <w:bCs/>
    </w:rPr>
  </w:style>
  <w:style w:type="character" w:customStyle="1" w:styleId="CommentSubjectChar">
    <w:name w:val="Comment Subject Char"/>
    <w:basedOn w:val="CommentTextChar"/>
    <w:link w:val="CommentSubject"/>
    <w:uiPriority w:val="98"/>
    <w:semiHidden/>
    <w:rsid w:val="006F1BFE"/>
    <w:rPr>
      <w:b/>
      <w:bCs/>
      <w:sz w:val="20"/>
      <w:szCs w:val="20"/>
      <w:lang w:val="en-GB"/>
    </w:rPr>
  </w:style>
  <w:style w:type="character" w:customStyle="1" w:styleId="JuParaChar">
    <w:name w:val="Ju_Para Char"/>
    <w:aliases w:val="_Para Char,ECHR_Para Char"/>
    <w:link w:val="JuPara"/>
    <w:uiPriority w:val="4"/>
    <w:rsid w:val="00761C0F"/>
    <w:rPr>
      <w:sz w:val="24"/>
      <w:szCs w:val="24"/>
      <w:lang w:val="en-GB"/>
    </w:rPr>
  </w:style>
  <w:style w:type="paragraph" w:customStyle="1" w:styleId="DecList">
    <w:name w:val="Dec_List"/>
    <w:aliases w:val="_List"/>
    <w:basedOn w:val="JuList"/>
    <w:uiPriority w:val="22"/>
    <w:rsid w:val="006F1BFE"/>
    <w:pPr>
      <w:numPr>
        <w:numId w:val="0"/>
      </w:numPr>
      <w:ind w:left="284"/>
    </w:pPr>
  </w:style>
  <w:style w:type="character" w:customStyle="1" w:styleId="UnresolvedMention">
    <w:name w:val="Unresolved Mention"/>
    <w:basedOn w:val="DefaultParagraphFont"/>
    <w:uiPriority w:val="99"/>
    <w:semiHidden/>
    <w:unhideWhenUsed/>
    <w:rsid w:val="00BE2BD1"/>
    <w:rPr>
      <w:color w:val="605E5C"/>
      <w:shd w:val="clear" w:color="auto" w:fill="E1DFDD"/>
    </w:rPr>
  </w:style>
  <w:style w:type="character" w:styleId="FollowedHyperlink">
    <w:name w:val="FollowedHyperlink"/>
    <w:basedOn w:val="DefaultParagraphFont"/>
    <w:uiPriority w:val="98"/>
    <w:semiHidden/>
    <w:rsid w:val="006F1BFE"/>
    <w:rPr>
      <w:color w:val="7030A0" w:themeColor="followedHyperlink"/>
      <w:u w:val="single"/>
    </w:rPr>
  </w:style>
  <w:style w:type="numbering" w:styleId="ArticleSection">
    <w:name w:val="Outline List 3"/>
    <w:basedOn w:val="NoList"/>
    <w:uiPriority w:val="99"/>
    <w:semiHidden/>
    <w:unhideWhenUsed/>
    <w:rsid w:val="006F1BFE"/>
    <w:pPr>
      <w:numPr>
        <w:numId w:val="4"/>
      </w:numPr>
    </w:pPr>
  </w:style>
  <w:style w:type="paragraph" w:customStyle="1" w:styleId="ECHRPlaceholder">
    <w:name w:val="ECHR_Placeholder"/>
    <w:aliases w:val="_Placeholder"/>
    <w:basedOn w:val="JuSigned"/>
    <w:uiPriority w:val="31"/>
    <w:rsid w:val="006F1BFE"/>
    <w:rPr>
      <w:color w:val="FFFFFF"/>
    </w:rPr>
  </w:style>
  <w:style w:type="paragraph" w:styleId="ListBullet3">
    <w:name w:val="List Bullet 3"/>
    <w:basedOn w:val="Normal"/>
    <w:uiPriority w:val="98"/>
    <w:semiHidden/>
    <w:rsid w:val="006F1BFE"/>
    <w:pPr>
      <w:numPr>
        <w:numId w:val="10"/>
      </w:numPr>
      <w:contextualSpacing/>
    </w:pPr>
  </w:style>
  <w:style w:type="numbering" w:styleId="111111">
    <w:name w:val="Outline List 2"/>
    <w:basedOn w:val="NoList"/>
    <w:uiPriority w:val="99"/>
    <w:semiHidden/>
    <w:unhideWhenUsed/>
    <w:rsid w:val="006F1BFE"/>
    <w:pPr>
      <w:numPr>
        <w:numId w:val="2"/>
      </w:numPr>
    </w:pPr>
  </w:style>
  <w:style w:type="paragraph" w:customStyle="1" w:styleId="JuQuot">
    <w:name w:val="Ju_Quot"/>
    <w:basedOn w:val="Normal"/>
    <w:uiPriority w:val="20"/>
    <w:qFormat/>
    <w:rsid w:val="00002C2E"/>
    <w:pPr>
      <w:suppressAutoHyphens/>
      <w:spacing w:before="120" w:after="120"/>
      <w:ind w:left="403" w:firstLine="176"/>
      <w:jc w:val="both"/>
    </w:pPr>
    <w:rPr>
      <w:rFonts w:ascii="Times New Roman" w:eastAsia="Times New Roman" w:hAnsi="Times New Roman" w:cs="Times New Roman"/>
      <w:sz w:val="20"/>
      <w:szCs w:val="20"/>
    </w:rPr>
  </w:style>
  <w:style w:type="paragraph" w:styleId="ListBullet">
    <w:name w:val="List Bullet"/>
    <w:basedOn w:val="Normal"/>
    <w:uiPriority w:val="98"/>
    <w:semiHidden/>
    <w:rsid w:val="006F1BFE"/>
    <w:pPr>
      <w:numPr>
        <w:numId w:val="8"/>
      </w:numPr>
    </w:pPr>
  </w:style>
  <w:style w:type="paragraph" w:styleId="ListBullet2">
    <w:name w:val="List Bullet 2"/>
    <w:basedOn w:val="Normal"/>
    <w:uiPriority w:val="98"/>
    <w:semiHidden/>
    <w:rsid w:val="006F1BFE"/>
    <w:pPr>
      <w:numPr>
        <w:numId w:val="9"/>
      </w:numPr>
      <w:contextualSpacing/>
    </w:pPr>
  </w:style>
  <w:style w:type="numbering" w:styleId="1ai">
    <w:name w:val="Outline List 1"/>
    <w:basedOn w:val="NoList"/>
    <w:uiPriority w:val="99"/>
    <w:semiHidden/>
    <w:unhideWhenUsed/>
    <w:rsid w:val="006F1BFE"/>
    <w:pPr>
      <w:numPr>
        <w:numId w:val="3"/>
      </w:numPr>
    </w:pPr>
  </w:style>
  <w:style w:type="paragraph" w:styleId="Bibliography">
    <w:name w:val="Bibliography"/>
    <w:basedOn w:val="Normal"/>
    <w:next w:val="Normal"/>
    <w:uiPriority w:val="98"/>
    <w:semiHidden/>
    <w:rsid w:val="006F1BFE"/>
  </w:style>
  <w:style w:type="paragraph" w:styleId="BlockText">
    <w:name w:val="Block Text"/>
    <w:basedOn w:val="Normal"/>
    <w:uiPriority w:val="98"/>
    <w:semiHidden/>
    <w:rsid w:val="006F1BFE"/>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F1BFE"/>
    <w:pPr>
      <w:spacing w:after="120"/>
    </w:pPr>
  </w:style>
  <w:style w:type="character" w:customStyle="1" w:styleId="BodyTextChar">
    <w:name w:val="Body Text Char"/>
    <w:basedOn w:val="DefaultParagraphFont"/>
    <w:link w:val="BodyText"/>
    <w:uiPriority w:val="98"/>
    <w:semiHidden/>
    <w:rsid w:val="006F1BFE"/>
    <w:rPr>
      <w:sz w:val="24"/>
      <w:szCs w:val="24"/>
      <w:lang w:val="en-GB"/>
    </w:rPr>
  </w:style>
  <w:style w:type="paragraph" w:styleId="BodyText2">
    <w:name w:val="Body Text 2"/>
    <w:basedOn w:val="Normal"/>
    <w:link w:val="BodyText2Char"/>
    <w:uiPriority w:val="98"/>
    <w:semiHidden/>
    <w:rsid w:val="006F1BFE"/>
    <w:pPr>
      <w:spacing w:after="120" w:line="480" w:lineRule="auto"/>
    </w:pPr>
  </w:style>
  <w:style w:type="character" w:customStyle="1" w:styleId="BodyText2Char">
    <w:name w:val="Body Text 2 Char"/>
    <w:basedOn w:val="DefaultParagraphFont"/>
    <w:link w:val="BodyText2"/>
    <w:uiPriority w:val="98"/>
    <w:semiHidden/>
    <w:rsid w:val="006F1BFE"/>
    <w:rPr>
      <w:sz w:val="24"/>
      <w:szCs w:val="24"/>
      <w:lang w:val="en-GB"/>
    </w:rPr>
  </w:style>
  <w:style w:type="paragraph" w:styleId="BodyText3">
    <w:name w:val="Body Text 3"/>
    <w:basedOn w:val="Normal"/>
    <w:link w:val="BodyText3Char"/>
    <w:uiPriority w:val="98"/>
    <w:semiHidden/>
    <w:rsid w:val="006F1BFE"/>
    <w:pPr>
      <w:spacing w:after="120"/>
    </w:pPr>
    <w:rPr>
      <w:sz w:val="16"/>
      <w:szCs w:val="16"/>
    </w:rPr>
  </w:style>
  <w:style w:type="character" w:customStyle="1" w:styleId="BodyText3Char">
    <w:name w:val="Body Text 3 Char"/>
    <w:basedOn w:val="DefaultParagraphFont"/>
    <w:link w:val="BodyText3"/>
    <w:uiPriority w:val="98"/>
    <w:semiHidden/>
    <w:rsid w:val="006F1BFE"/>
    <w:rPr>
      <w:sz w:val="16"/>
      <w:szCs w:val="16"/>
      <w:lang w:val="en-GB"/>
    </w:rPr>
  </w:style>
  <w:style w:type="paragraph" w:styleId="BodyTextFirstIndent">
    <w:name w:val="Body Text First Indent"/>
    <w:basedOn w:val="BodyText"/>
    <w:link w:val="BodyTextFirstIndentChar"/>
    <w:uiPriority w:val="98"/>
    <w:semiHidden/>
    <w:rsid w:val="006F1BFE"/>
    <w:pPr>
      <w:spacing w:after="0"/>
      <w:ind w:firstLine="360"/>
    </w:pPr>
  </w:style>
  <w:style w:type="character" w:customStyle="1" w:styleId="BodyTextFirstIndentChar">
    <w:name w:val="Body Text First Indent Char"/>
    <w:basedOn w:val="BodyTextChar"/>
    <w:link w:val="BodyTextFirstIndent"/>
    <w:uiPriority w:val="98"/>
    <w:semiHidden/>
    <w:rsid w:val="006F1BFE"/>
    <w:rPr>
      <w:sz w:val="24"/>
      <w:szCs w:val="24"/>
      <w:lang w:val="en-GB"/>
    </w:rPr>
  </w:style>
  <w:style w:type="paragraph" w:styleId="BodyTextIndent">
    <w:name w:val="Body Text Indent"/>
    <w:basedOn w:val="Normal"/>
    <w:link w:val="BodyTextIndentChar"/>
    <w:uiPriority w:val="98"/>
    <w:semiHidden/>
    <w:rsid w:val="006F1BFE"/>
    <w:pPr>
      <w:spacing w:after="120"/>
      <w:ind w:left="283"/>
    </w:pPr>
  </w:style>
  <w:style w:type="character" w:customStyle="1" w:styleId="BodyTextIndentChar">
    <w:name w:val="Body Text Indent Char"/>
    <w:basedOn w:val="DefaultParagraphFont"/>
    <w:link w:val="BodyTextIndent"/>
    <w:uiPriority w:val="98"/>
    <w:semiHidden/>
    <w:rsid w:val="006F1BFE"/>
    <w:rPr>
      <w:sz w:val="24"/>
      <w:szCs w:val="24"/>
      <w:lang w:val="en-GB"/>
    </w:rPr>
  </w:style>
  <w:style w:type="paragraph" w:styleId="BodyTextFirstIndent2">
    <w:name w:val="Body Text First Indent 2"/>
    <w:basedOn w:val="BodyTextIndent"/>
    <w:link w:val="BodyTextFirstIndent2Char"/>
    <w:uiPriority w:val="98"/>
    <w:semiHidden/>
    <w:rsid w:val="006F1BFE"/>
    <w:pPr>
      <w:spacing w:after="0"/>
      <w:ind w:left="360" w:firstLine="360"/>
    </w:pPr>
  </w:style>
  <w:style w:type="character" w:customStyle="1" w:styleId="BodyTextFirstIndent2Char">
    <w:name w:val="Body Text First Indent 2 Char"/>
    <w:basedOn w:val="BodyTextIndentChar"/>
    <w:link w:val="BodyTextFirstIndent2"/>
    <w:uiPriority w:val="98"/>
    <w:semiHidden/>
    <w:rsid w:val="006F1BFE"/>
    <w:rPr>
      <w:sz w:val="24"/>
      <w:szCs w:val="24"/>
      <w:lang w:val="en-GB"/>
    </w:rPr>
  </w:style>
  <w:style w:type="paragraph" w:styleId="BodyTextIndent2">
    <w:name w:val="Body Text Indent 2"/>
    <w:basedOn w:val="Normal"/>
    <w:link w:val="BodyTextIndent2Char"/>
    <w:uiPriority w:val="98"/>
    <w:semiHidden/>
    <w:rsid w:val="006F1BFE"/>
    <w:pPr>
      <w:spacing w:after="120" w:line="480" w:lineRule="auto"/>
      <w:ind w:left="283"/>
    </w:pPr>
  </w:style>
  <w:style w:type="character" w:customStyle="1" w:styleId="BodyTextIndent2Char">
    <w:name w:val="Body Text Indent 2 Char"/>
    <w:basedOn w:val="DefaultParagraphFont"/>
    <w:link w:val="BodyTextIndent2"/>
    <w:uiPriority w:val="98"/>
    <w:semiHidden/>
    <w:rsid w:val="006F1BFE"/>
    <w:rPr>
      <w:sz w:val="24"/>
      <w:szCs w:val="24"/>
      <w:lang w:val="en-GB"/>
    </w:rPr>
  </w:style>
  <w:style w:type="paragraph" w:styleId="BodyTextIndent3">
    <w:name w:val="Body Text Indent 3"/>
    <w:basedOn w:val="Normal"/>
    <w:link w:val="BodyTextIndent3Char"/>
    <w:uiPriority w:val="98"/>
    <w:semiHidden/>
    <w:rsid w:val="006F1BFE"/>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F1BFE"/>
    <w:rPr>
      <w:sz w:val="16"/>
      <w:szCs w:val="16"/>
      <w:lang w:val="en-GB"/>
    </w:rPr>
  </w:style>
  <w:style w:type="paragraph" w:styleId="Caption">
    <w:name w:val="caption"/>
    <w:basedOn w:val="Normal"/>
    <w:next w:val="Normal"/>
    <w:uiPriority w:val="98"/>
    <w:semiHidden/>
    <w:qFormat/>
    <w:rsid w:val="006F1BFE"/>
    <w:pPr>
      <w:spacing w:after="200"/>
    </w:pPr>
    <w:rPr>
      <w:b/>
      <w:bCs/>
      <w:color w:val="0072BC" w:themeColor="accent1"/>
      <w:sz w:val="18"/>
      <w:szCs w:val="18"/>
    </w:rPr>
  </w:style>
  <w:style w:type="paragraph" w:styleId="Closing">
    <w:name w:val="Closing"/>
    <w:basedOn w:val="Normal"/>
    <w:link w:val="ClosingChar"/>
    <w:uiPriority w:val="98"/>
    <w:semiHidden/>
    <w:rsid w:val="006F1BFE"/>
    <w:pPr>
      <w:ind w:left="4252"/>
    </w:pPr>
  </w:style>
  <w:style w:type="character" w:customStyle="1" w:styleId="ClosingChar">
    <w:name w:val="Closing Char"/>
    <w:basedOn w:val="DefaultParagraphFont"/>
    <w:link w:val="Closing"/>
    <w:uiPriority w:val="98"/>
    <w:semiHidden/>
    <w:rsid w:val="006F1BFE"/>
    <w:rPr>
      <w:sz w:val="24"/>
      <w:szCs w:val="24"/>
      <w:lang w:val="en-GB"/>
    </w:rPr>
  </w:style>
  <w:style w:type="table" w:styleId="ColorfulGrid">
    <w:name w:val="Colorful Grid"/>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F1BFE"/>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F1BFE"/>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F1BFE"/>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F1BFE"/>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F1BFE"/>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F1BFE"/>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F1BFE"/>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F1BFE"/>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F1BFE"/>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F1BFE"/>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F1BFE"/>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F1BFE"/>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F1BFE"/>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F1BFE"/>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F1BFE"/>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F1BFE"/>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F1BFE"/>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F1BFE"/>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F1BFE"/>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F1BFE"/>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F1BFE"/>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F1BFE"/>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F1BFE"/>
  </w:style>
  <w:style w:type="character" w:customStyle="1" w:styleId="DateChar">
    <w:name w:val="Date Char"/>
    <w:basedOn w:val="DefaultParagraphFont"/>
    <w:link w:val="Date"/>
    <w:uiPriority w:val="98"/>
    <w:semiHidden/>
    <w:rsid w:val="006F1BFE"/>
    <w:rPr>
      <w:sz w:val="24"/>
      <w:szCs w:val="24"/>
      <w:lang w:val="en-GB"/>
    </w:rPr>
  </w:style>
  <w:style w:type="paragraph" w:styleId="DocumentMap">
    <w:name w:val="Document Map"/>
    <w:basedOn w:val="Normal"/>
    <w:link w:val="DocumentMapChar"/>
    <w:uiPriority w:val="98"/>
    <w:semiHidden/>
    <w:rsid w:val="006F1BFE"/>
    <w:rPr>
      <w:rFonts w:ascii="Tahoma" w:hAnsi="Tahoma" w:cs="Tahoma"/>
      <w:sz w:val="16"/>
      <w:szCs w:val="16"/>
    </w:rPr>
  </w:style>
  <w:style w:type="character" w:customStyle="1" w:styleId="DocumentMapChar">
    <w:name w:val="Document Map Char"/>
    <w:basedOn w:val="DefaultParagraphFont"/>
    <w:link w:val="DocumentMap"/>
    <w:uiPriority w:val="98"/>
    <w:semiHidden/>
    <w:rsid w:val="006F1BFE"/>
    <w:rPr>
      <w:rFonts w:ascii="Tahoma" w:hAnsi="Tahoma" w:cs="Tahoma"/>
      <w:sz w:val="16"/>
      <w:szCs w:val="16"/>
      <w:lang w:val="en-GB"/>
    </w:rPr>
  </w:style>
  <w:style w:type="paragraph" w:styleId="E-mailSignature">
    <w:name w:val="E-mail Signature"/>
    <w:basedOn w:val="Normal"/>
    <w:link w:val="E-mailSignatureChar"/>
    <w:uiPriority w:val="98"/>
    <w:semiHidden/>
    <w:rsid w:val="006F1BFE"/>
  </w:style>
  <w:style w:type="character" w:customStyle="1" w:styleId="E-mailSignatureChar">
    <w:name w:val="E-mail Signature Char"/>
    <w:basedOn w:val="DefaultParagraphFont"/>
    <w:link w:val="E-mailSignature"/>
    <w:uiPriority w:val="98"/>
    <w:semiHidden/>
    <w:rsid w:val="006F1BFE"/>
    <w:rPr>
      <w:sz w:val="24"/>
      <w:szCs w:val="24"/>
      <w:lang w:val="en-GB"/>
    </w:rPr>
  </w:style>
  <w:style w:type="character" w:styleId="EndnoteReference">
    <w:name w:val="endnote reference"/>
    <w:basedOn w:val="DefaultParagraphFont"/>
    <w:uiPriority w:val="98"/>
    <w:semiHidden/>
    <w:rsid w:val="006F1BFE"/>
    <w:rPr>
      <w:vertAlign w:val="superscript"/>
    </w:rPr>
  </w:style>
  <w:style w:type="paragraph" w:styleId="EndnoteText">
    <w:name w:val="endnote text"/>
    <w:basedOn w:val="Normal"/>
    <w:link w:val="EndnoteTextChar"/>
    <w:uiPriority w:val="98"/>
    <w:semiHidden/>
    <w:rsid w:val="006F1BFE"/>
    <w:rPr>
      <w:sz w:val="20"/>
      <w:szCs w:val="20"/>
    </w:rPr>
  </w:style>
  <w:style w:type="character" w:customStyle="1" w:styleId="EndnoteTextChar">
    <w:name w:val="Endnote Text Char"/>
    <w:basedOn w:val="DefaultParagraphFont"/>
    <w:link w:val="EndnoteText"/>
    <w:uiPriority w:val="98"/>
    <w:semiHidden/>
    <w:rsid w:val="006F1BFE"/>
    <w:rPr>
      <w:sz w:val="20"/>
      <w:szCs w:val="20"/>
      <w:lang w:val="en-GB"/>
    </w:rPr>
  </w:style>
  <w:style w:type="paragraph" w:styleId="EnvelopeAddress">
    <w:name w:val="envelope address"/>
    <w:basedOn w:val="Normal"/>
    <w:uiPriority w:val="98"/>
    <w:semiHidden/>
    <w:rsid w:val="006F1BFE"/>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F1BFE"/>
    <w:rPr>
      <w:rFonts w:asciiTheme="majorHAnsi" w:eastAsiaTheme="majorEastAsia" w:hAnsiTheme="majorHAnsi" w:cstheme="majorBidi"/>
      <w:sz w:val="20"/>
      <w:szCs w:val="20"/>
    </w:rPr>
  </w:style>
  <w:style w:type="character" w:styleId="HTMLAcronym">
    <w:name w:val="HTML Acronym"/>
    <w:basedOn w:val="DefaultParagraphFont"/>
    <w:uiPriority w:val="98"/>
    <w:semiHidden/>
    <w:rsid w:val="006F1BFE"/>
  </w:style>
  <w:style w:type="paragraph" w:styleId="HTMLAddress">
    <w:name w:val="HTML Address"/>
    <w:basedOn w:val="Normal"/>
    <w:link w:val="HTMLAddressChar"/>
    <w:uiPriority w:val="98"/>
    <w:semiHidden/>
    <w:rsid w:val="006F1BFE"/>
    <w:rPr>
      <w:i/>
      <w:iCs/>
    </w:rPr>
  </w:style>
  <w:style w:type="character" w:customStyle="1" w:styleId="HTMLAddressChar">
    <w:name w:val="HTML Address Char"/>
    <w:basedOn w:val="DefaultParagraphFont"/>
    <w:link w:val="HTMLAddress"/>
    <w:uiPriority w:val="98"/>
    <w:semiHidden/>
    <w:rsid w:val="006F1BFE"/>
    <w:rPr>
      <w:i/>
      <w:iCs/>
      <w:sz w:val="24"/>
      <w:szCs w:val="24"/>
      <w:lang w:val="en-GB"/>
    </w:rPr>
  </w:style>
  <w:style w:type="character" w:styleId="HTMLCite">
    <w:name w:val="HTML Cite"/>
    <w:basedOn w:val="DefaultParagraphFont"/>
    <w:uiPriority w:val="98"/>
    <w:semiHidden/>
    <w:rsid w:val="006F1BFE"/>
    <w:rPr>
      <w:i/>
      <w:iCs/>
    </w:rPr>
  </w:style>
  <w:style w:type="character" w:styleId="HTMLCode">
    <w:name w:val="HTML Code"/>
    <w:basedOn w:val="DefaultParagraphFont"/>
    <w:uiPriority w:val="98"/>
    <w:semiHidden/>
    <w:rsid w:val="006F1BFE"/>
    <w:rPr>
      <w:rFonts w:ascii="Consolas" w:hAnsi="Consolas" w:cs="Consolas"/>
      <w:sz w:val="20"/>
      <w:szCs w:val="20"/>
    </w:rPr>
  </w:style>
  <w:style w:type="character" w:styleId="HTMLDefinition">
    <w:name w:val="HTML Definition"/>
    <w:basedOn w:val="DefaultParagraphFont"/>
    <w:uiPriority w:val="98"/>
    <w:semiHidden/>
    <w:rsid w:val="006F1BFE"/>
    <w:rPr>
      <w:i/>
      <w:iCs/>
    </w:rPr>
  </w:style>
  <w:style w:type="character" w:styleId="HTMLKeyboard">
    <w:name w:val="HTML Keyboard"/>
    <w:basedOn w:val="DefaultParagraphFont"/>
    <w:uiPriority w:val="98"/>
    <w:semiHidden/>
    <w:rsid w:val="006F1BFE"/>
    <w:rPr>
      <w:rFonts w:ascii="Consolas" w:hAnsi="Consolas" w:cs="Consolas"/>
      <w:sz w:val="20"/>
      <w:szCs w:val="20"/>
    </w:rPr>
  </w:style>
  <w:style w:type="paragraph" w:styleId="HTMLPreformatted">
    <w:name w:val="HTML Preformatted"/>
    <w:basedOn w:val="Normal"/>
    <w:link w:val="HTMLPreformattedChar"/>
    <w:uiPriority w:val="98"/>
    <w:semiHidden/>
    <w:rsid w:val="006F1BFE"/>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F1BFE"/>
    <w:rPr>
      <w:rFonts w:ascii="Consolas" w:hAnsi="Consolas" w:cs="Consolas"/>
      <w:sz w:val="20"/>
      <w:szCs w:val="20"/>
      <w:lang w:val="en-GB"/>
    </w:rPr>
  </w:style>
  <w:style w:type="character" w:styleId="HTMLSample">
    <w:name w:val="HTML Sample"/>
    <w:basedOn w:val="DefaultParagraphFont"/>
    <w:uiPriority w:val="98"/>
    <w:semiHidden/>
    <w:rsid w:val="006F1BFE"/>
    <w:rPr>
      <w:rFonts w:ascii="Consolas" w:hAnsi="Consolas" w:cs="Consolas"/>
      <w:sz w:val="24"/>
      <w:szCs w:val="24"/>
    </w:rPr>
  </w:style>
  <w:style w:type="character" w:styleId="HTMLTypewriter">
    <w:name w:val="HTML Typewriter"/>
    <w:basedOn w:val="DefaultParagraphFont"/>
    <w:uiPriority w:val="98"/>
    <w:semiHidden/>
    <w:rsid w:val="006F1BFE"/>
    <w:rPr>
      <w:rFonts w:ascii="Consolas" w:hAnsi="Consolas" w:cs="Consolas"/>
      <w:sz w:val="20"/>
      <w:szCs w:val="20"/>
    </w:rPr>
  </w:style>
  <w:style w:type="character" w:styleId="HTMLVariable">
    <w:name w:val="HTML Variable"/>
    <w:basedOn w:val="DefaultParagraphFont"/>
    <w:uiPriority w:val="98"/>
    <w:semiHidden/>
    <w:rsid w:val="006F1BFE"/>
    <w:rPr>
      <w:i/>
      <w:iCs/>
    </w:rPr>
  </w:style>
  <w:style w:type="paragraph" w:styleId="Index1">
    <w:name w:val="index 1"/>
    <w:basedOn w:val="Normal"/>
    <w:next w:val="Normal"/>
    <w:autoRedefine/>
    <w:uiPriority w:val="98"/>
    <w:semiHidden/>
    <w:rsid w:val="006F1BFE"/>
    <w:pPr>
      <w:ind w:left="240" w:hanging="240"/>
    </w:pPr>
  </w:style>
  <w:style w:type="paragraph" w:styleId="Index2">
    <w:name w:val="index 2"/>
    <w:basedOn w:val="Normal"/>
    <w:next w:val="Normal"/>
    <w:autoRedefine/>
    <w:uiPriority w:val="98"/>
    <w:semiHidden/>
    <w:rsid w:val="006F1BFE"/>
    <w:pPr>
      <w:ind w:left="480" w:hanging="240"/>
    </w:pPr>
  </w:style>
  <w:style w:type="paragraph" w:styleId="Index3">
    <w:name w:val="index 3"/>
    <w:basedOn w:val="Normal"/>
    <w:next w:val="Normal"/>
    <w:autoRedefine/>
    <w:uiPriority w:val="98"/>
    <w:semiHidden/>
    <w:rsid w:val="006F1BFE"/>
    <w:pPr>
      <w:ind w:left="720" w:hanging="240"/>
    </w:pPr>
  </w:style>
  <w:style w:type="paragraph" w:styleId="Index4">
    <w:name w:val="index 4"/>
    <w:basedOn w:val="Normal"/>
    <w:next w:val="Normal"/>
    <w:autoRedefine/>
    <w:uiPriority w:val="98"/>
    <w:semiHidden/>
    <w:rsid w:val="006F1BFE"/>
    <w:pPr>
      <w:ind w:left="960" w:hanging="240"/>
    </w:pPr>
  </w:style>
  <w:style w:type="paragraph" w:styleId="Index5">
    <w:name w:val="index 5"/>
    <w:basedOn w:val="Normal"/>
    <w:next w:val="Normal"/>
    <w:autoRedefine/>
    <w:uiPriority w:val="98"/>
    <w:semiHidden/>
    <w:rsid w:val="006F1BFE"/>
    <w:pPr>
      <w:ind w:left="1200" w:hanging="240"/>
    </w:pPr>
  </w:style>
  <w:style w:type="paragraph" w:styleId="Index6">
    <w:name w:val="index 6"/>
    <w:basedOn w:val="Normal"/>
    <w:next w:val="Normal"/>
    <w:autoRedefine/>
    <w:uiPriority w:val="98"/>
    <w:semiHidden/>
    <w:rsid w:val="006F1BFE"/>
    <w:pPr>
      <w:ind w:left="1440" w:hanging="240"/>
    </w:pPr>
  </w:style>
  <w:style w:type="paragraph" w:styleId="Index7">
    <w:name w:val="index 7"/>
    <w:basedOn w:val="Normal"/>
    <w:next w:val="Normal"/>
    <w:autoRedefine/>
    <w:uiPriority w:val="98"/>
    <w:semiHidden/>
    <w:rsid w:val="006F1BFE"/>
    <w:pPr>
      <w:ind w:left="1680" w:hanging="240"/>
    </w:pPr>
  </w:style>
  <w:style w:type="paragraph" w:styleId="Index8">
    <w:name w:val="index 8"/>
    <w:basedOn w:val="Normal"/>
    <w:next w:val="Normal"/>
    <w:autoRedefine/>
    <w:uiPriority w:val="98"/>
    <w:semiHidden/>
    <w:rsid w:val="006F1BFE"/>
    <w:pPr>
      <w:ind w:left="1920" w:hanging="240"/>
    </w:pPr>
  </w:style>
  <w:style w:type="paragraph" w:styleId="Index9">
    <w:name w:val="index 9"/>
    <w:basedOn w:val="Normal"/>
    <w:next w:val="Normal"/>
    <w:autoRedefine/>
    <w:uiPriority w:val="98"/>
    <w:semiHidden/>
    <w:rsid w:val="006F1BFE"/>
    <w:pPr>
      <w:ind w:left="2160" w:hanging="240"/>
    </w:pPr>
  </w:style>
  <w:style w:type="paragraph" w:styleId="IndexHeading">
    <w:name w:val="index heading"/>
    <w:basedOn w:val="Normal"/>
    <w:next w:val="Index1"/>
    <w:uiPriority w:val="98"/>
    <w:semiHidden/>
    <w:rsid w:val="006F1BFE"/>
    <w:rPr>
      <w:rFonts w:asciiTheme="majorHAnsi" w:eastAsiaTheme="majorEastAsia" w:hAnsiTheme="majorHAnsi" w:cstheme="majorBidi"/>
      <w:b/>
      <w:bCs/>
    </w:rPr>
  </w:style>
  <w:style w:type="table" w:styleId="LightGrid">
    <w:name w:val="Light Grid"/>
    <w:basedOn w:val="TableNormal"/>
    <w:uiPriority w:val="62"/>
    <w:semiHidden/>
    <w:rsid w:val="006F1BF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F1BFE"/>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F1BFE"/>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F1BFE"/>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F1BFE"/>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F1BFE"/>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F1BFE"/>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F1BFE"/>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F1BFE"/>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F1BFE"/>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F1BFE"/>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F1BFE"/>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F1BFE"/>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F1BFE"/>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F1BFE"/>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F1BFE"/>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F1BFE"/>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F1BFE"/>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F1BFE"/>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F1BFE"/>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F1BFE"/>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8"/>
    <w:semiHidden/>
    <w:rsid w:val="006F1BFE"/>
    <w:pPr>
      <w:ind w:left="283" w:hanging="283"/>
      <w:contextualSpacing/>
    </w:pPr>
  </w:style>
  <w:style w:type="paragraph" w:styleId="List2">
    <w:name w:val="List 2"/>
    <w:basedOn w:val="Normal"/>
    <w:uiPriority w:val="98"/>
    <w:semiHidden/>
    <w:rsid w:val="006F1BFE"/>
    <w:pPr>
      <w:ind w:left="566" w:hanging="283"/>
      <w:contextualSpacing/>
    </w:pPr>
  </w:style>
  <w:style w:type="paragraph" w:styleId="List3">
    <w:name w:val="List 3"/>
    <w:basedOn w:val="Normal"/>
    <w:uiPriority w:val="98"/>
    <w:semiHidden/>
    <w:rsid w:val="006F1BFE"/>
    <w:pPr>
      <w:ind w:left="849" w:hanging="283"/>
      <w:contextualSpacing/>
    </w:pPr>
  </w:style>
  <w:style w:type="paragraph" w:styleId="List4">
    <w:name w:val="List 4"/>
    <w:basedOn w:val="Normal"/>
    <w:uiPriority w:val="98"/>
    <w:semiHidden/>
    <w:rsid w:val="006F1BFE"/>
    <w:pPr>
      <w:ind w:left="1132" w:hanging="283"/>
      <w:contextualSpacing/>
    </w:pPr>
  </w:style>
  <w:style w:type="paragraph" w:styleId="List5">
    <w:name w:val="List 5"/>
    <w:basedOn w:val="Normal"/>
    <w:uiPriority w:val="98"/>
    <w:semiHidden/>
    <w:rsid w:val="006F1BFE"/>
    <w:pPr>
      <w:ind w:left="1415" w:hanging="283"/>
      <w:contextualSpacing/>
    </w:pPr>
  </w:style>
  <w:style w:type="paragraph" w:styleId="ListBullet4">
    <w:name w:val="List Bullet 4"/>
    <w:basedOn w:val="Normal"/>
    <w:uiPriority w:val="98"/>
    <w:semiHidden/>
    <w:rsid w:val="006F1BFE"/>
    <w:pPr>
      <w:numPr>
        <w:numId w:val="11"/>
      </w:numPr>
      <w:contextualSpacing/>
    </w:pPr>
  </w:style>
  <w:style w:type="paragraph" w:styleId="ListBullet5">
    <w:name w:val="List Bullet 5"/>
    <w:basedOn w:val="Normal"/>
    <w:uiPriority w:val="98"/>
    <w:semiHidden/>
    <w:rsid w:val="006F1BFE"/>
    <w:pPr>
      <w:numPr>
        <w:numId w:val="12"/>
      </w:numPr>
      <w:contextualSpacing/>
    </w:pPr>
  </w:style>
  <w:style w:type="paragraph" w:styleId="ListContinue">
    <w:name w:val="List Continue"/>
    <w:basedOn w:val="Normal"/>
    <w:uiPriority w:val="98"/>
    <w:semiHidden/>
    <w:rsid w:val="006F1BFE"/>
    <w:pPr>
      <w:spacing w:after="120"/>
      <w:ind w:left="283"/>
      <w:contextualSpacing/>
    </w:pPr>
  </w:style>
  <w:style w:type="paragraph" w:styleId="ListContinue2">
    <w:name w:val="List Continue 2"/>
    <w:basedOn w:val="Normal"/>
    <w:uiPriority w:val="98"/>
    <w:semiHidden/>
    <w:rsid w:val="006F1BFE"/>
    <w:pPr>
      <w:spacing w:after="120"/>
      <w:ind w:left="566"/>
      <w:contextualSpacing/>
    </w:pPr>
  </w:style>
  <w:style w:type="paragraph" w:styleId="ListContinue3">
    <w:name w:val="List Continue 3"/>
    <w:basedOn w:val="Normal"/>
    <w:uiPriority w:val="98"/>
    <w:semiHidden/>
    <w:rsid w:val="006F1BFE"/>
    <w:pPr>
      <w:spacing w:after="120"/>
      <w:ind w:left="849"/>
      <w:contextualSpacing/>
    </w:pPr>
  </w:style>
  <w:style w:type="paragraph" w:styleId="ListContinue4">
    <w:name w:val="List Continue 4"/>
    <w:basedOn w:val="Normal"/>
    <w:uiPriority w:val="98"/>
    <w:semiHidden/>
    <w:rsid w:val="006F1BFE"/>
    <w:pPr>
      <w:spacing w:after="120"/>
      <w:ind w:left="1132"/>
      <w:contextualSpacing/>
    </w:pPr>
  </w:style>
  <w:style w:type="paragraph" w:styleId="ListContinue5">
    <w:name w:val="List Continue 5"/>
    <w:basedOn w:val="Normal"/>
    <w:uiPriority w:val="98"/>
    <w:semiHidden/>
    <w:rsid w:val="006F1BFE"/>
    <w:pPr>
      <w:spacing w:after="120"/>
      <w:ind w:left="1415"/>
      <w:contextualSpacing/>
    </w:pPr>
  </w:style>
  <w:style w:type="paragraph" w:styleId="ListNumber">
    <w:name w:val="List Number"/>
    <w:basedOn w:val="Normal"/>
    <w:uiPriority w:val="98"/>
    <w:semiHidden/>
    <w:rsid w:val="006F1BFE"/>
    <w:pPr>
      <w:numPr>
        <w:numId w:val="13"/>
      </w:numPr>
      <w:contextualSpacing/>
    </w:pPr>
  </w:style>
  <w:style w:type="paragraph" w:styleId="ListNumber2">
    <w:name w:val="List Number 2"/>
    <w:basedOn w:val="Normal"/>
    <w:uiPriority w:val="98"/>
    <w:semiHidden/>
    <w:rsid w:val="006F1BFE"/>
    <w:pPr>
      <w:numPr>
        <w:numId w:val="14"/>
      </w:numPr>
      <w:contextualSpacing/>
    </w:pPr>
  </w:style>
  <w:style w:type="paragraph" w:styleId="ListNumber3">
    <w:name w:val="List Number 3"/>
    <w:basedOn w:val="Normal"/>
    <w:uiPriority w:val="98"/>
    <w:semiHidden/>
    <w:rsid w:val="006F1BFE"/>
    <w:pPr>
      <w:numPr>
        <w:numId w:val="15"/>
      </w:numPr>
      <w:contextualSpacing/>
    </w:pPr>
  </w:style>
  <w:style w:type="paragraph" w:styleId="ListNumber4">
    <w:name w:val="List Number 4"/>
    <w:basedOn w:val="Normal"/>
    <w:uiPriority w:val="98"/>
    <w:semiHidden/>
    <w:rsid w:val="006F1BFE"/>
    <w:pPr>
      <w:numPr>
        <w:numId w:val="16"/>
      </w:numPr>
      <w:contextualSpacing/>
    </w:pPr>
  </w:style>
  <w:style w:type="paragraph" w:styleId="ListNumber5">
    <w:name w:val="List Number 5"/>
    <w:basedOn w:val="Normal"/>
    <w:uiPriority w:val="98"/>
    <w:semiHidden/>
    <w:rsid w:val="006F1BFE"/>
    <w:pPr>
      <w:numPr>
        <w:numId w:val="17"/>
      </w:numPr>
      <w:contextualSpacing/>
    </w:pPr>
  </w:style>
  <w:style w:type="paragraph" w:styleId="MacroText">
    <w:name w:val="macro"/>
    <w:link w:val="MacroTextChar"/>
    <w:uiPriority w:val="98"/>
    <w:semiHidden/>
    <w:rsid w:val="006F1BF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F1BFE"/>
    <w:rPr>
      <w:rFonts w:ascii="Consolas" w:eastAsiaTheme="minorEastAsia" w:hAnsi="Consolas" w:cs="Consolas"/>
      <w:sz w:val="20"/>
      <w:szCs w:val="20"/>
    </w:rPr>
  </w:style>
  <w:style w:type="table" w:styleId="MediumGrid1">
    <w:name w:val="Medium Grid 1"/>
    <w:basedOn w:val="TableNormal"/>
    <w:uiPriority w:val="67"/>
    <w:semiHidden/>
    <w:rsid w:val="006F1BFE"/>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F1BFE"/>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F1BFE"/>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F1BFE"/>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F1BFE"/>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F1BFE"/>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F1BFE"/>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F1BFE"/>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F1BFE"/>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F1BFE"/>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F1BFE"/>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F1BFE"/>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F1BFE"/>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F1BFE"/>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F1BFE"/>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F1BFE"/>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F1BFE"/>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F1BFE"/>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F1BFE"/>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F1BFE"/>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F1BFE"/>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F1BFE"/>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F1BFE"/>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F1BFE"/>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F1B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F1BFE"/>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6F1BFE"/>
    <w:rPr>
      <w:rFonts w:ascii="Times New Roman" w:hAnsi="Times New Roman" w:cs="Times New Roman"/>
    </w:rPr>
  </w:style>
  <w:style w:type="paragraph" w:styleId="NormalIndent">
    <w:name w:val="Normal Indent"/>
    <w:basedOn w:val="Normal"/>
    <w:uiPriority w:val="98"/>
    <w:semiHidden/>
    <w:rsid w:val="006F1BFE"/>
    <w:pPr>
      <w:ind w:left="720"/>
    </w:pPr>
  </w:style>
  <w:style w:type="paragraph" w:styleId="NoteHeading">
    <w:name w:val="Note Heading"/>
    <w:basedOn w:val="Normal"/>
    <w:next w:val="Normal"/>
    <w:link w:val="NoteHeadingChar"/>
    <w:uiPriority w:val="98"/>
    <w:semiHidden/>
    <w:rsid w:val="006F1BFE"/>
  </w:style>
  <w:style w:type="character" w:customStyle="1" w:styleId="NoteHeadingChar">
    <w:name w:val="Note Heading Char"/>
    <w:basedOn w:val="DefaultParagraphFont"/>
    <w:link w:val="NoteHeading"/>
    <w:uiPriority w:val="98"/>
    <w:semiHidden/>
    <w:rsid w:val="006F1BFE"/>
    <w:rPr>
      <w:sz w:val="24"/>
      <w:szCs w:val="24"/>
      <w:lang w:val="en-GB"/>
    </w:rPr>
  </w:style>
  <w:style w:type="character" w:styleId="PageNumber">
    <w:name w:val="page number"/>
    <w:uiPriority w:val="98"/>
    <w:semiHidden/>
    <w:rsid w:val="006F1BFE"/>
    <w:rPr>
      <w:sz w:val="18"/>
    </w:rPr>
  </w:style>
  <w:style w:type="paragraph" w:styleId="PlainText">
    <w:name w:val="Plain Text"/>
    <w:basedOn w:val="Normal"/>
    <w:link w:val="PlainTextChar"/>
    <w:uiPriority w:val="98"/>
    <w:semiHidden/>
    <w:rsid w:val="006F1BFE"/>
    <w:rPr>
      <w:rFonts w:ascii="Consolas" w:hAnsi="Consolas" w:cs="Consolas"/>
      <w:sz w:val="21"/>
      <w:szCs w:val="21"/>
    </w:rPr>
  </w:style>
  <w:style w:type="character" w:customStyle="1" w:styleId="PlainTextChar">
    <w:name w:val="Plain Text Char"/>
    <w:basedOn w:val="DefaultParagraphFont"/>
    <w:link w:val="PlainText"/>
    <w:uiPriority w:val="98"/>
    <w:semiHidden/>
    <w:rsid w:val="006F1BFE"/>
    <w:rPr>
      <w:rFonts w:ascii="Consolas" w:hAnsi="Consolas" w:cs="Consolas"/>
      <w:sz w:val="21"/>
      <w:szCs w:val="21"/>
      <w:lang w:val="en-GB"/>
    </w:rPr>
  </w:style>
  <w:style w:type="paragraph" w:styleId="Salutation">
    <w:name w:val="Salutation"/>
    <w:basedOn w:val="Normal"/>
    <w:next w:val="Normal"/>
    <w:link w:val="SalutationChar"/>
    <w:uiPriority w:val="98"/>
    <w:semiHidden/>
    <w:rsid w:val="006F1BFE"/>
  </w:style>
  <w:style w:type="character" w:customStyle="1" w:styleId="SalutationChar">
    <w:name w:val="Salutation Char"/>
    <w:basedOn w:val="DefaultParagraphFont"/>
    <w:link w:val="Salutation"/>
    <w:uiPriority w:val="98"/>
    <w:semiHidden/>
    <w:rsid w:val="006F1BFE"/>
    <w:rPr>
      <w:sz w:val="24"/>
      <w:szCs w:val="24"/>
      <w:lang w:val="en-GB"/>
    </w:rPr>
  </w:style>
  <w:style w:type="paragraph" w:styleId="Signature">
    <w:name w:val="Signature"/>
    <w:basedOn w:val="Normal"/>
    <w:link w:val="SignatureChar"/>
    <w:uiPriority w:val="98"/>
    <w:semiHidden/>
    <w:rsid w:val="006F1BFE"/>
    <w:pPr>
      <w:ind w:left="4252"/>
    </w:pPr>
  </w:style>
  <w:style w:type="character" w:customStyle="1" w:styleId="SignatureChar">
    <w:name w:val="Signature Char"/>
    <w:basedOn w:val="DefaultParagraphFont"/>
    <w:link w:val="Signature"/>
    <w:uiPriority w:val="98"/>
    <w:semiHidden/>
    <w:rsid w:val="006F1BFE"/>
    <w:rPr>
      <w:sz w:val="24"/>
      <w:szCs w:val="24"/>
      <w:lang w:val="en-GB"/>
    </w:rPr>
  </w:style>
  <w:style w:type="paragraph" w:styleId="Subtitle">
    <w:name w:val="Subtitle"/>
    <w:basedOn w:val="Normal"/>
    <w:next w:val="Normal"/>
    <w:link w:val="SubtitleChar"/>
    <w:uiPriority w:val="98"/>
    <w:semiHidden/>
    <w:qFormat/>
    <w:rsid w:val="006F1BFE"/>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6F1BFE"/>
    <w:rPr>
      <w:rFonts w:asciiTheme="majorHAnsi" w:eastAsiaTheme="majorEastAsia" w:hAnsiTheme="majorHAnsi" w:cstheme="majorBidi"/>
      <w:i/>
      <w:iCs/>
      <w:spacing w:val="13"/>
      <w:sz w:val="24"/>
      <w:szCs w:val="24"/>
      <w:lang w:val="en-GB" w:bidi="en-US"/>
    </w:rPr>
  </w:style>
  <w:style w:type="table" w:styleId="Table3Deffects1">
    <w:name w:val="Table 3D effects 1"/>
    <w:basedOn w:val="TableNormal"/>
    <w:uiPriority w:val="99"/>
    <w:semiHidden/>
    <w:unhideWhenUsed/>
    <w:rsid w:val="006F1BFE"/>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F1BFE"/>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F1BFE"/>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F1BFE"/>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F1BFE"/>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F1BFE"/>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F1BFE"/>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F1BFE"/>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F1BFE"/>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F1BFE"/>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F1BFE"/>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F1BFE"/>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F1BFE"/>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F1BFE"/>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F1BFE"/>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F1BFE"/>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F1BFE"/>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F1BF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F1BFE"/>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F1BFE"/>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F1BFE"/>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F1BFE"/>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F1BFE"/>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F1BFE"/>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F1BFE"/>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F1BFE"/>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F1BFE"/>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F1BFE"/>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F1BFE"/>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F1BF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F1BFE"/>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F1BFE"/>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F1BFE"/>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F1BFE"/>
    <w:pPr>
      <w:ind w:left="240" w:hanging="240"/>
    </w:pPr>
  </w:style>
  <w:style w:type="paragraph" w:styleId="TableofFigures">
    <w:name w:val="table of figures"/>
    <w:basedOn w:val="Normal"/>
    <w:next w:val="Normal"/>
    <w:uiPriority w:val="98"/>
    <w:semiHidden/>
    <w:rsid w:val="006F1BFE"/>
  </w:style>
  <w:style w:type="table" w:styleId="TableProfessional">
    <w:name w:val="Table Professional"/>
    <w:basedOn w:val="TableNormal"/>
    <w:uiPriority w:val="99"/>
    <w:semiHidden/>
    <w:unhideWhenUsed/>
    <w:rsid w:val="006F1BFE"/>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F1BFE"/>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F1BFE"/>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F1BFE"/>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F1BFE"/>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F1BFE"/>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F1BFE"/>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F1BFE"/>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F1BFE"/>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F1BFE"/>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6F1BFE"/>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F1BFE"/>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F1BFE"/>
    <w:pPr>
      <w:spacing w:after="100"/>
      <w:ind w:left="1680"/>
    </w:pPr>
  </w:style>
  <w:style w:type="paragraph" w:styleId="TOC9">
    <w:name w:val="toc 9"/>
    <w:basedOn w:val="Normal"/>
    <w:next w:val="Normal"/>
    <w:autoRedefine/>
    <w:uiPriority w:val="98"/>
    <w:semiHidden/>
    <w:rsid w:val="006F1BFE"/>
    <w:pPr>
      <w:spacing w:after="100"/>
      <w:ind w:left="1920"/>
    </w:pPr>
  </w:style>
  <w:style w:type="table" w:styleId="GridTable1Light">
    <w:name w:val="Grid Table 1 Light"/>
    <w:basedOn w:val="TableNormal"/>
    <w:uiPriority w:val="46"/>
    <w:semiHidden/>
    <w:rsid w:val="00155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55F0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55F0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55F07"/>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55F0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55F0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55F0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55F0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55F0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55F0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55F07"/>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155F0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55F0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55F0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55F0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55F0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55F0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55F0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155F0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55F0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55F0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55F0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55F0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55F0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55F0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155F0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55F0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55F0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55F0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55F0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55F0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55F0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55F0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155F0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55F0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55F0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55F0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55F0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55F0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55F0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155F0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55F0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55F0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155F07"/>
    <w:rPr>
      <w:color w:val="2B579A"/>
      <w:shd w:val="clear" w:color="auto" w:fill="E1DFDD"/>
    </w:rPr>
  </w:style>
  <w:style w:type="table" w:styleId="ListTable1Light">
    <w:name w:val="List Table 1 Light"/>
    <w:basedOn w:val="TableNormal"/>
    <w:uiPriority w:val="46"/>
    <w:semiHidden/>
    <w:rsid w:val="00155F0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55F0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55F0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55F07"/>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155F0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55F0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55F0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55F0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55F0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55F0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55F07"/>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155F0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55F0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55F0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55F0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55F0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55F0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55F07"/>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155F0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55F0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55F0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55F0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55F0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55F0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55F0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155F0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55F0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55F0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55F07"/>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55F07"/>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55F07"/>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55F07"/>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55F07"/>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55F07"/>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55F07"/>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55F0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55F0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55F0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55F07"/>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155F0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55F0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55F0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55F0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55F0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55F0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55F07"/>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55F0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55F0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55F0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155F07"/>
    <w:rPr>
      <w:color w:val="2B579A"/>
      <w:shd w:val="clear" w:color="auto" w:fill="E1DFDD"/>
    </w:rPr>
  </w:style>
  <w:style w:type="table" w:styleId="PlainTable1">
    <w:name w:val="Plain Table 1"/>
    <w:basedOn w:val="TableNormal"/>
    <w:uiPriority w:val="41"/>
    <w:semiHidden/>
    <w:rsid w:val="00155F07"/>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155F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55F0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55F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155F0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155F07"/>
    <w:rPr>
      <w:u w:val="dotted"/>
    </w:rPr>
  </w:style>
  <w:style w:type="character" w:customStyle="1" w:styleId="SmartLink">
    <w:name w:val="Smart Link"/>
    <w:basedOn w:val="DefaultParagraphFont"/>
    <w:uiPriority w:val="99"/>
    <w:semiHidden/>
    <w:unhideWhenUsed/>
    <w:rsid w:val="00155F07"/>
    <w:rPr>
      <w:color w:val="0000FF"/>
      <w:u w:val="single"/>
      <w:shd w:val="clear" w:color="auto" w:fill="F3F2F1"/>
    </w:rPr>
  </w:style>
  <w:style w:type="table" w:styleId="TableGridLight">
    <w:name w:val="Grid Table Light"/>
    <w:basedOn w:val="TableNormal"/>
    <w:uiPriority w:val="40"/>
    <w:semiHidden/>
    <w:rsid w:val="00155F07"/>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Left">
    <w:name w:val="_Left"/>
    <w:basedOn w:val="JuSigned"/>
    <w:rsid w:val="00516256"/>
    <w:pPr>
      <w:tabs>
        <w:tab w:val="clear" w:pos="851"/>
        <w:tab w:val="center" w:pos="1134"/>
      </w:tabs>
    </w:pPr>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58819">
      <w:bodyDiv w:val="1"/>
      <w:marLeft w:val="0"/>
      <w:marRight w:val="0"/>
      <w:marTop w:val="0"/>
      <w:marBottom w:val="0"/>
      <w:divBdr>
        <w:top w:val="none" w:sz="0" w:space="0" w:color="auto"/>
        <w:left w:val="none" w:sz="0" w:space="0" w:color="auto"/>
        <w:bottom w:val="none" w:sz="0" w:space="0" w:color="auto"/>
        <w:right w:val="none" w:sz="0" w:space="0" w:color="auto"/>
      </w:divBdr>
    </w:div>
    <w:div w:id="221986306">
      <w:bodyDiv w:val="1"/>
      <w:marLeft w:val="0"/>
      <w:marRight w:val="0"/>
      <w:marTop w:val="0"/>
      <w:marBottom w:val="0"/>
      <w:divBdr>
        <w:top w:val="none" w:sz="0" w:space="0" w:color="auto"/>
        <w:left w:val="none" w:sz="0" w:space="0" w:color="auto"/>
        <w:bottom w:val="none" w:sz="0" w:space="0" w:color="auto"/>
        <w:right w:val="none" w:sz="0" w:space="0" w:color="auto"/>
      </w:divBdr>
    </w:div>
    <w:div w:id="511922101">
      <w:bodyDiv w:val="1"/>
      <w:marLeft w:val="0"/>
      <w:marRight w:val="0"/>
      <w:marTop w:val="0"/>
      <w:marBottom w:val="0"/>
      <w:divBdr>
        <w:top w:val="none" w:sz="0" w:space="0" w:color="auto"/>
        <w:left w:val="none" w:sz="0" w:space="0" w:color="auto"/>
        <w:bottom w:val="none" w:sz="0" w:space="0" w:color="auto"/>
        <w:right w:val="none" w:sz="0" w:space="0" w:color="auto"/>
      </w:divBdr>
    </w:div>
    <w:div w:id="650520872">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205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D934C-06C0-4562-A18B-5493CF60A166}">
  <ds:schemaRefs>
    <ds:schemaRef ds:uri="http://schemas.openxmlformats.org/officeDocument/2006/bibliography"/>
  </ds:schemaRefs>
</ds:datastoreItem>
</file>

<file path=customXml/itemProps2.xml><?xml version="1.0" encoding="utf-8"?>
<ds:datastoreItem xmlns:ds="http://schemas.openxmlformats.org/officeDocument/2006/customXml" ds:itemID="{926EA6F8-929E-42D0-9B3E-BE7C56C3B6B7}"/>
</file>

<file path=customXml/itemProps3.xml><?xml version="1.0" encoding="utf-8"?>
<ds:datastoreItem xmlns:ds="http://schemas.openxmlformats.org/officeDocument/2006/customXml" ds:itemID="{DBF8D668-B6B7-4A62-9F9E-3037C6EC5837}"/>
</file>

<file path=customXml/itemProps4.xml><?xml version="1.0" encoding="utf-8"?>
<ds:datastoreItem xmlns:ds="http://schemas.openxmlformats.org/officeDocument/2006/customXml" ds:itemID="{B395C3C3-48DB-4427-9F59-1359AF219E3E}"/>
</file>

<file path=docProps/app.xml><?xml version="1.0" encoding="utf-8"?>
<Properties xmlns="http://schemas.openxmlformats.org/officeDocument/2006/extended-properties" xmlns:vt="http://schemas.openxmlformats.org/officeDocument/2006/docPropsVTypes">
  <Template>Normal.dotm</Template>
  <TotalTime>0</TotalTime>
  <Pages>1</Pages>
  <Words>14220</Words>
  <Characters>81055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cp:lastPrinted>2021-09-13T09:20:00Z</cp:lastPrinted>
  <dcterms:created xsi:type="dcterms:W3CDTF">2021-09-15T12:57:00Z</dcterms:created>
  <dcterms:modified xsi:type="dcterms:W3CDTF">2021-09-15T12:57:00Z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