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B791A" w:rsidR="007A4070" w:rsidP="00CB791A" w:rsidRDefault="007A4070" w14:paraId="23F0A94E" w14:textId="77777777"/>
    <w:p w:rsidRPr="00CB791A" w:rsidR="007A4070" w:rsidP="00CB791A" w:rsidRDefault="00B34B1B" w14:paraId="629BD087" w14:textId="18DD5865">
      <w:pPr>
        <w:pStyle w:val="DecHCase"/>
        <w:keepNext w:val="0"/>
        <w:keepLines w:val="0"/>
      </w:pPr>
      <w:r w:rsidRPr="00CB791A">
        <w:t>TROISIÈME SECTION</w:t>
      </w:r>
    </w:p>
    <w:p w:rsidRPr="00CB791A" w:rsidR="007A4070" w:rsidP="00CB791A" w:rsidRDefault="007A4070" w14:paraId="0E9BB7EB" w14:textId="7B3A4BD9">
      <w:pPr>
        <w:pStyle w:val="JuTitle"/>
        <w:keepNext w:val="0"/>
        <w:keepLines w:val="0"/>
      </w:pPr>
      <w:r w:rsidRPr="00CB791A">
        <w:t xml:space="preserve">AFFAIRE </w:t>
      </w:r>
      <w:r w:rsidRPr="00CB791A" w:rsidR="00B34B1B">
        <w:t xml:space="preserve">WILLEMS </w:t>
      </w:r>
      <w:r w:rsidRPr="00CB791A" w:rsidR="006A4499">
        <w:t xml:space="preserve">ET GORJON </w:t>
      </w:r>
      <w:r w:rsidRPr="00CB791A" w:rsidR="00B34B1B">
        <w:t>c. BELGIQUE</w:t>
      </w:r>
    </w:p>
    <w:p w:rsidRPr="00CB791A" w:rsidR="00B34B1B" w:rsidP="00CB791A" w:rsidRDefault="007A4070" w14:paraId="336E35CE" w14:textId="522EF784">
      <w:pPr>
        <w:pStyle w:val="ECHRCoverTitle4"/>
        <w:keepNext w:val="0"/>
        <w:keepLines w:val="0"/>
      </w:pPr>
      <w:r w:rsidRPr="00CB791A">
        <w:t>(</w:t>
      </w:r>
      <w:r w:rsidRPr="00CB791A" w:rsidR="00B34B1B">
        <w:t>Requête</w:t>
      </w:r>
      <w:r w:rsidRPr="00CB791A" w:rsidR="00E3589B">
        <w:t>s</w:t>
      </w:r>
      <w:r w:rsidRPr="00CB791A" w:rsidR="00B34B1B">
        <w:t xml:space="preserve"> n</w:t>
      </w:r>
      <w:r w:rsidRPr="00CB791A" w:rsidR="00B34B1B">
        <w:rPr>
          <w:vertAlign w:val="superscript"/>
        </w:rPr>
        <w:t>o</w:t>
      </w:r>
      <w:r w:rsidRPr="00CB791A" w:rsidR="00E3589B">
        <w:rPr>
          <w:vertAlign w:val="superscript"/>
        </w:rPr>
        <w:t>s</w:t>
      </w:r>
      <w:r w:rsidRPr="00CB791A">
        <w:t xml:space="preserve"> </w:t>
      </w:r>
      <w:r w:rsidRPr="00CB791A" w:rsidR="00B34B1B">
        <w:t>74209/16 et 3 autres –</w:t>
      </w:r>
    </w:p>
    <w:p w:rsidRPr="00CB791A" w:rsidR="007A4070" w:rsidP="00CB791A" w:rsidRDefault="00B34B1B" w14:paraId="0F3EEC8D" w14:textId="29CC9921">
      <w:pPr>
        <w:pStyle w:val="ECHRCoverTitle4"/>
        <w:keepNext w:val="0"/>
        <w:keepLines w:val="0"/>
      </w:pPr>
      <w:proofErr w:type="gramStart"/>
      <w:r w:rsidRPr="00CB791A">
        <w:t>voir</w:t>
      </w:r>
      <w:proofErr w:type="gramEnd"/>
      <w:r w:rsidRPr="00CB791A">
        <w:t xml:space="preserve"> liste en annexe</w:t>
      </w:r>
      <w:r w:rsidRPr="00CB791A" w:rsidR="007A4070">
        <w:t>)</w:t>
      </w:r>
    </w:p>
    <w:p w:rsidRPr="00CB791A" w:rsidR="007A4070" w:rsidP="00CB791A" w:rsidRDefault="007A4070" w14:paraId="7C059783" w14:textId="77777777">
      <w:pPr>
        <w:pStyle w:val="DecHCase"/>
        <w:keepNext w:val="0"/>
        <w:keepLines w:val="0"/>
      </w:pPr>
    </w:p>
    <w:p w:rsidRPr="00CB791A" w:rsidR="007A4070" w:rsidP="00CB791A" w:rsidRDefault="007A4070" w14:paraId="799BF48A" w14:textId="77777777">
      <w:pPr>
        <w:pStyle w:val="DecHCase"/>
        <w:keepNext w:val="0"/>
        <w:keepLines w:val="0"/>
      </w:pPr>
    </w:p>
    <w:p w:rsidRPr="00CB791A" w:rsidR="007A4070" w:rsidP="00CB791A" w:rsidRDefault="007A4070" w14:paraId="1F6D4E40" w14:textId="77777777">
      <w:pPr>
        <w:pStyle w:val="DecHCase"/>
        <w:keepNext w:val="0"/>
        <w:keepLines w:val="0"/>
      </w:pPr>
    </w:p>
    <w:p w:rsidRPr="00CB791A" w:rsidR="007A4070" w:rsidP="00CB791A" w:rsidRDefault="007A4070" w14:paraId="3F5FC13F" w14:textId="77777777">
      <w:pPr>
        <w:pStyle w:val="DecHCase"/>
        <w:keepNext w:val="0"/>
        <w:keepLines w:val="0"/>
      </w:pPr>
    </w:p>
    <w:p w:rsidRPr="00CB791A" w:rsidR="007A4070" w:rsidP="00CB791A" w:rsidRDefault="007A4070" w14:paraId="5785591D" w14:textId="2848DD5A">
      <w:pPr>
        <w:pStyle w:val="DecHCase"/>
        <w:keepNext w:val="0"/>
        <w:keepLines w:val="0"/>
      </w:pPr>
      <w:r w:rsidRPr="00CB791A">
        <w:t>ARRÊT</w:t>
      </w:r>
    </w:p>
    <w:p w:rsidRPr="00CB791A" w:rsidR="00CB791A" w:rsidP="00CB791A" w:rsidRDefault="00CB791A" w14:paraId="1C2384AB" w14:textId="77777777">
      <w:pPr>
        <w:pBdr>
          <w:top w:val="single" w:color="auto" w:sz="4" w:space="1"/>
          <w:left w:val="single" w:color="auto" w:sz="4" w:space="4"/>
          <w:bottom w:val="single" w:color="auto" w:sz="4" w:space="1"/>
          <w:right w:val="single" w:color="auto" w:sz="4" w:space="4"/>
        </w:pBdr>
        <w:jc w:val="both"/>
      </w:pPr>
      <w:r w:rsidRPr="00CB791A">
        <w:t>Art 37 § 1 • Rejet par la Cour de cassation de la demande en réouverture de la procédure rendant vain les engagements du Gouvernement contenus dans sa déclaration unilatérale • Circonstance exceptionnelle conduisant à la réinscription au rôle des requêtes initiales</w:t>
      </w:r>
    </w:p>
    <w:p w:rsidRPr="00CB791A" w:rsidR="00CB791A" w:rsidP="00CB791A" w:rsidRDefault="00CB791A" w14:paraId="72BC6B27" w14:textId="308FEA7D">
      <w:pPr>
        <w:pBdr>
          <w:top w:val="single" w:color="auto" w:sz="4" w:space="1"/>
          <w:left w:val="single" w:color="auto" w:sz="4" w:space="4"/>
          <w:bottom w:val="single" w:color="auto" w:sz="4" w:space="1"/>
          <w:right w:val="single" w:color="auto" w:sz="4" w:space="4"/>
        </w:pBdr>
        <w:jc w:val="both"/>
      </w:pPr>
      <w:r w:rsidRPr="00CB791A">
        <w:t>Art 6 § 1 (pénal) • Accès à un tribunal • Formalisme excessif de la Cour de Cassation ayant décidé de l’irrecevabilité des pourvois en l’absence de la mention par l’avocat de son attestation requise</w:t>
      </w:r>
    </w:p>
    <w:p w:rsidRPr="00CB791A" w:rsidR="00CB791A" w:rsidP="00CB791A" w:rsidRDefault="00CB791A" w14:paraId="41743A89" w14:textId="77777777">
      <w:pPr>
        <w:pStyle w:val="DecHCase"/>
        <w:keepNext w:val="0"/>
        <w:keepLines w:val="0"/>
      </w:pPr>
    </w:p>
    <w:p w:rsidRPr="00CB791A" w:rsidR="007A4070" w:rsidP="00CB791A" w:rsidRDefault="007A4070" w14:paraId="31B89576" w14:textId="4167AD68">
      <w:pPr>
        <w:pStyle w:val="DecHCase"/>
        <w:keepNext w:val="0"/>
        <w:keepLines w:val="0"/>
      </w:pPr>
      <w:r w:rsidRPr="00CB791A">
        <w:t>STRASBOURG</w:t>
      </w:r>
    </w:p>
    <w:p w:rsidRPr="00CB791A" w:rsidR="007A4070" w:rsidP="00CB791A" w:rsidRDefault="00B34B1B" w14:paraId="114AA73D" w14:textId="4D667FC7">
      <w:pPr>
        <w:pStyle w:val="DecHCase"/>
        <w:keepNext w:val="0"/>
        <w:keepLines w:val="0"/>
      </w:pPr>
      <w:r w:rsidRPr="00CB791A">
        <w:t>21 septembre 2021</w:t>
      </w:r>
    </w:p>
    <w:p w:rsidRPr="00CB791A" w:rsidR="007A4070" w:rsidP="00CB791A" w:rsidRDefault="007A4070" w14:paraId="77FE7AB1" w14:textId="77777777">
      <w:pPr>
        <w:pStyle w:val="DecHCase"/>
        <w:keepNext w:val="0"/>
        <w:keepLines w:val="0"/>
      </w:pPr>
    </w:p>
    <w:p w:rsidRPr="00CB791A" w:rsidR="00516B59" w:rsidP="00CB791A" w:rsidRDefault="007A4070" w14:paraId="78B5C698" w14:textId="035F754D">
      <w:pPr>
        <w:rPr>
          <w:rFonts w:ascii="Times New Roman" w:hAnsi="Times New Roman" w:cs="Times New Roman"/>
          <w:i/>
          <w:sz w:val="22"/>
        </w:rPr>
      </w:pPr>
      <w:r w:rsidRPr="00CB791A">
        <w:rPr>
          <w:i/>
          <w:sz w:val="22"/>
        </w:rPr>
        <w:t xml:space="preserve">Cet arrêt </w:t>
      </w:r>
      <w:r w:rsidRPr="00CB791A" w:rsidR="00B34B1B">
        <w:rPr>
          <w:i/>
          <w:sz w:val="22"/>
        </w:rPr>
        <w:t>deviendra définitif dans les conditions définies à l</w:t>
      </w:r>
      <w:r w:rsidRPr="00CB791A" w:rsidR="00CB791A">
        <w:rPr>
          <w:i/>
          <w:sz w:val="22"/>
        </w:rPr>
        <w:t>’</w:t>
      </w:r>
      <w:r w:rsidRPr="00CB791A" w:rsidR="00B34B1B">
        <w:rPr>
          <w:i/>
          <w:sz w:val="22"/>
        </w:rPr>
        <w:t>article 44 § 2 de la Convention</w:t>
      </w:r>
      <w:r w:rsidRPr="00CB791A">
        <w:rPr>
          <w:i/>
          <w:sz w:val="22"/>
        </w:rPr>
        <w:t>. Il peut subir des retouches de fo</w:t>
      </w:r>
      <w:r w:rsidRPr="00CB791A" w:rsidR="00516B59">
        <w:rPr>
          <w:rFonts w:ascii="Times New Roman" w:hAnsi="Times New Roman" w:cs="Times New Roman"/>
          <w:i/>
          <w:sz w:val="22"/>
        </w:rPr>
        <w:t>rme.</w:t>
      </w:r>
    </w:p>
    <w:p w:rsidRPr="00CB791A" w:rsidR="00516B59" w:rsidP="00CB791A" w:rsidRDefault="00516B59" w14:paraId="70909D71" w14:textId="77777777">
      <w:pPr>
        <w:ind w:left="720"/>
        <w:rPr>
          <w:rFonts w:ascii="Times New Roman" w:hAnsi="Times New Roman" w:cs="Times New Roman"/>
          <w:sz w:val="22"/>
        </w:rPr>
        <w:sectPr w:rsidRPr="00CB791A" w:rsidR="00516B59" w:rsidSect="00902601">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CB791A" w:rsidR="004344E6" w:rsidP="00CB791A" w:rsidRDefault="004344E6" w14:paraId="76F4EB5D" w14:textId="746B292C">
      <w:pPr>
        <w:pStyle w:val="JuCase"/>
      </w:pPr>
      <w:r w:rsidRPr="00CB791A">
        <w:t>En l</w:t>
      </w:r>
      <w:r w:rsidRPr="00CB791A" w:rsidR="00CB791A">
        <w:t>’</w:t>
      </w:r>
      <w:r w:rsidRPr="00CB791A">
        <w:t xml:space="preserve">affaire </w:t>
      </w:r>
      <w:r w:rsidRPr="00CB791A" w:rsidR="00B34B1B">
        <w:t xml:space="preserve">Willems </w:t>
      </w:r>
      <w:r w:rsidRPr="00CB791A" w:rsidR="006A4499">
        <w:t xml:space="preserve">et </w:t>
      </w:r>
      <w:proofErr w:type="spellStart"/>
      <w:r w:rsidRPr="00CB791A" w:rsidR="006A4499">
        <w:t>Gorjon</w:t>
      </w:r>
      <w:proofErr w:type="spellEnd"/>
      <w:r w:rsidRPr="00CB791A" w:rsidR="006A4499">
        <w:t xml:space="preserve"> </w:t>
      </w:r>
      <w:r w:rsidRPr="00CB791A" w:rsidR="00B34B1B">
        <w:t>c. Belgique</w:t>
      </w:r>
      <w:r w:rsidRPr="00CB791A">
        <w:t>,</w:t>
      </w:r>
    </w:p>
    <w:p w:rsidRPr="00CB791A" w:rsidR="004344E6" w:rsidP="00CB791A" w:rsidRDefault="004344E6" w14:paraId="2CF63D9B" w14:textId="765E383D">
      <w:pPr>
        <w:pStyle w:val="JuPara"/>
      </w:pPr>
      <w:r w:rsidRPr="00CB791A">
        <w:t>La Cour européenne des droits de l</w:t>
      </w:r>
      <w:r w:rsidRPr="00CB791A" w:rsidR="00CB791A">
        <w:t>’</w:t>
      </w:r>
      <w:r w:rsidRPr="00CB791A">
        <w:t>homme (</w:t>
      </w:r>
      <w:r w:rsidRPr="00CB791A" w:rsidR="00B34B1B">
        <w:t>troisième section</w:t>
      </w:r>
      <w:r w:rsidRPr="00CB791A">
        <w:t xml:space="preserve">), siégeant en </w:t>
      </w:r>
      <w:r w:rsidRPr="00CB791A" w:rsidR="00B34B1B">
        <w:rPr>
          <w:color w:val="000000"/>
        </w:rPr>
        <w:t>une</w:t>
      </w:r>
      <w:r w:rsidRPr="00CB791A" w:rsidR="00B34B1B">
        <w:t xml:space="preserve"> Chambre composée</w:t>
      </w:r>
      <w:r w:rsidRPr="00CB791A">
        <w:t xml:space="preserve"> de :</w:t>
      </w:r>
    </w:p>
    <w:p w:rsidRPr="00CB791A" w:rsidR="004344E6" w:rsidP="00CB791A" w:rsidRDefault="006A4499" w14:paraId="7DA62FA8" w14:textId="56CEDA62">
      <w:pPr>
        <w:pStyle w:val="JuJudges"/>
      </w:pPr>
      <w:r w:rsidRPr="00CB791A">
        <w:tab/>
      </w:r>
      <w:proofErr w:type="spellStart"/>
      <w:r w:rsidRPr="00CB791A">
        <w:t>Georgios</w:t>
      </w:r>
      <w:proofErr w:type="spellEnd"/>
      <w:r w:rsidRPr="00CB791A">
        <w:t xml:space="preserve"> A. </w:t>
      </w:r>
      <w:proofErr w:type="spellStart"/>
      <w:r w:rsidRPr="00CB791A">
        <w:t>Serghides</w:t>
      </w:r>
      <w:proofErr w:type="spellEnd"/>
      <w:r w:rsidRPr="00CB791A">
        <w:t>,</w:t>
      </w:r>
      <w:r w:rsidRPr="00CB791A">
        <w:rPr>
          <w:i/>
        </w:rPr>
        <w:t xml:space="preserve"> président,</w:t>
      </w:r>
      <w:r w:rsidRPr="00CB791A">
        <w:rPr>
          <w:i/>
        </w:rPr>
        <w:br/>
      </w:r>
      <w:r w:rsidRPr="00CB791A">
        <w:tab/>
        <w:t>Paul Lemmens,</w:t>
      </w:r>
      <w:r w:rsidRPr="00CB791A">
        <w:rPr>
          <w:i/>
        </w:rPr>
        <w:br/>
      </w:r>
      <w:r w:rsidRPr="00CB791A">
        <w:tab/>
        <w:t xml:space="preserve">Dmitry </w:t>
      </w:r>
      <w:proofErr w:type="spellStart"/>
      <w:r w:rsidRPr="00CB791A">
        <w:t>Dedov</w:t>
      </w:r>
      <w:proofErr w:type="spellEnd"/>
      <w:r w:rsidRPr="00CB791A">
        <w:t>,</w:t>
      </w:r>
      <w:r w:rsidRPr="00CB791A">
        <w:rPr>
          <w:i/>
        </w:rPr>
        <w:br/>
      </w:r>
      <w:r w:rsidRPr="00CB791A">
        <w:tab/>
        <w:t xml:space="preserve">Georges </w:t>
      </w:r>
      <w:proofErr w:type="spellStart"/>
      <w:r w:rsidRPr="00CB791A">
        <w:t>Ravarani</w:t>
      </w:r>
      <w:proofErr w:type="spellEnd"/>
      <w:r w:rsidRPr="00CB791A">
        <w:t>,</w:t>
      </w:r>
      <w:r w:rsidRPr="00CB791A">
        <w:rPr>
          <w:i/>
        </w:rPr>
        <w:br/>
      </w:r>
      <w:r w:rsidRPr="00CB791A">
        <w:tab/>
        <w:t xml:space="preserve">María </w:t>
      </w:r>
      <w:proofErr w:type="spellStart"/>
      <w:r w:rsidRPr="00CB791A">
        <w:t>Elósegui</w:t>
      </w:r>
      <w:proofErr w:type="spellEnd"/>
      <w:r w:rsidRPr="00CB791A">
        <w:t>,</w:t>
      </w:r>
      <w:r w:rsidRPr="00CB791A">
        <w:rPr>
          <w:i/>
        </w:rPr>
        <w:br/>
      </w:r>
      <w:r w:rsidRPr="00CB791A">
        <w:tab/>
      </w:r>
      <w:proofErr w:type="spellStart"/>
      <w:r w:rsidRPr="00CB791A">
        <w:t>Darian</w:t>
      </w:r>
      <w:proofErr w:type="spellEnd"/>
      <w:r w:rsidRPr="00CB791A">
        <w:t xml:space="preserve"> </w:t>
      </w:r>
      <w:proofErr w:type="spellStart"/>
      <w:r w:rsidRPr="00CB791A">
        <w:t>Pavli</w:t>
      </w:r>
      <w:proofErr w:type="spellEnd"/>
      <w:r w:rsidRPr="00CB791A">
        <w:t>,</w:t>
      </w:r>
      <w:r w:rsidRPr="00CB791A">
        <w:rPr>
          <w:i/>
        </w:rPr>
        <w:br/>
      </w:r>
      <w:r w:rsidRPr="00CB791A">
        <w:tab/>
        <w:t>Anja Seibert-</w:t>
      </w:r>
      <w:proofErr w:type="spellStart"/>
      <w:r w:rsidRPr="00CB791A">
        <w:t>Fohr</w:t>
      </w:r>
      <w:proofErr w:type="spellEnd"/>
      <w:r w:rsidRPr="00CB791A">
        <w:t>,</w:t>
      </w:r>
      <w:r w:rsidRPr="00CB791A">
        <w:rPr>
          <w:i/>
        </w:rPr>
        <w:t xml:space="preserve"> juges,</w:t>
      </w:r>
      <w:r w:rsidRPr="00CB791A" w:rsidR="004344E6">
        <w:br/>
        <w:t xml:space="preserve">et de </w:t>
      </w:r>
      <w:r w:rsidRPr="00CB791A" w:rsidR="00B34B1B">
        <w:t xml:space="preserve">Milan </w:t>
      </w:r>
      <w:proofErr w:type="spellStart"/>
      <w:r w:rsidRPr="00CB791A" w:rsidR="00B34B1B">
        <w:t>Blaško</w:t>
      </w:r>
      <w:proofErr w:type="spellEnd"/>
      <w:r w:rsidRPr="00CB791A" w:rsidR="004344E6">
        <w:t xml:space="preserve">, </w:t>
      </w:r>
      <w:r w:rsidRPr="00CB791A" w:rsidR="00B34B1B">
        <w:rPr>
          <w:i/>
        </w:rPr>
        <w:t>greffier</w:t>
      </w:r>
      <w:r w:rsidRPr="00CB791A" w:rsidR="00B34B1B">
        <w:rPr>
          <w:iCs/>
        </w:rPr>
        <w:t xml:space="preserve"> </w:t>
      </w:r>
      <w:r w:rsidRPr="00CB791A" w:rsidR="00B34B1B">
        <w:rPr>
          <w:i/>
          <w:iCs/>
        </w:rPr>
        <w:t>d</w:t>
      </w:r>
      <w:r w:rsidRPr="00CB791A" w:rsidR="00B34B1B">
        <w:rPr>
          <w:i/>
        </w:rPr>
        <w:t>e section</w:t>
      </w:r>
      <w:r w:rsidRPr="00CB791A" w:rsidR="004344E6">
        <w:t>,</w:t>
      </w:r>
    </w:p>
    <w:p w:rsidRPr="00CB791A" w:rsidR="00B34B1B" w:rsidP="00CB791A" w:rsidRDefault="00B34B1B" w14:paraId="6B7F43C1" w14:textId="77777777">
      <w:pPr>
        <w:pStyle w:val="JuPara"/>
      </w:pPr>
      <w:r w:rsidRPr="00CB791A">
        <w:t>Vu :</w:t>
      </w:r>
    </w:p>
    <w:p w:rsidRPr="00CB791A" w:rsidR="00B34B1B" w:rsidP="00CB791A" w:rsidRDefault="00B34B1B" w14:paraId="06E178AA" w14:textId="461D2CF9">
      <w:pPr>
        <w:pStyle w:val="JuPara"/>
        <w:rPr>
          <w:color w:val="000000"/>
        </w:rPr>
      </w:pPr>
      <w:proofErr w:type="gramStart"/>
      <w:r w:rsidRPr="00CB791A">
        <w:t>les</w:t>
      </w:r>
      <w:proofErr w:type="gramEnd"/>
      <w:r w:rsidRPr="00CB791A">
        <w:t xml:space="preserve"> requêtes initiales n</w:t>
      </w:r>
      <w:r w:rsidRPr="00CB791A">
        <w:rPr>
          <w:vertAlign w:val="superscript"/>
        </w:rPr>
        <w:t>os</w:t>
      </w:r>
      <w:r w:rsidRPr="00CB791A">
        <w:t xml:space="preserve"> 74209/16 et </w:t>
      </w:r>
      <w:r w:rsidRPr="00CB791A">
        <w:rPr>
          <w:color w:val="000000"/>
        </w:rPr>
        <w:t xml:space="preserve">75662/16 </w:t>
      </w:r>
      <w:r w:rsidRPr="00CB791A">
        <w:t>dirigées contre le Royaume de Belgique et dont deux ressortissants de cet État, M</w:t>
      </w:r>
      <w:r w:rsidRPr="00CB791A">
        <w:rPr>
          <w:vertAlign w:val="superscript"/>
        </w:rPr>
        <w:t>me </w:t>
      </w:r>
      <w:r w:rsidRPr="00CB791A">
        <w:t xml:space="preserve">C. Willems et M. Y. </w:t>
      </w:r>
      <w:proofErr w:type="spellStart"/>
      <w:r w:rsidRPr="00CB791A">
        <w:t>Gorjon</w:t>
      </w:r>
      <w:proofErr w:type="spellEnd"/>
      <w:r w:rsidRPr="00CB791A">
        <w:t xml:space="preserve"> (« les requérants ») ont saisi la Cour en vertu de l</w:t>
      </w:r>
      <w:r w:rsidRPr="00CB791A" w:rsidR="00CB791A">
        <w:t>’</w:t>
      </w:r>
      <w:r w:rsidRPr="00CB791A">
        <w:t>article 34 de la Convention de sauvegarde des droits de l</w:t>
      </w:r>
      <w:r w:rsidRPr="00CB791A" w:rsidR="00CB791A">
        <w:t>’</w:t>
      </w:r>
      <w:r w:rsidRPr="00CB791A">
        <w:t>homme et des libertés fondamentales (« la Convention ») le 2 décembre 2016,</w:t>
      </w:r>
    </w:p>
    <w:p w:rsidRPr="00CB791A" w:rsidR="00B34B1B" w:rsidP="00CB791A" w:rsidRDefault="00B34B1B" w14:paraId="12DEC9F5" w14:textId="5B3E48C5">
      <w:pPr>
        <w:pStyle w:val="JuPara"/>
        <w:rPr>
          <w:color w:val="000000"/>
        </w:rPr>
      </w:pPr>
      <w:proofErr w:type="gramStart"/>
      <w:r w:rsidRPr="00CB791A">
        <w:t>les</w:t>
      </w:r>
      <w:proofErr w:type="gramEnd"/>
      <w:r w:rsidRPr="00CB791A">
        <w:t xml:space="preserve"> décisions de porter à la connaissance du gouvernement belge (« le Gouvernement ») les griefs concernant l</w:t>
      </w:r>
      <w:r w:rsidRPr="00CB791A" w:rsidR="00CB791A">
        <w:t>’</w:t>
      </w:r>
      <w:r w:rsidRPr="00CB791A">
        <w:t>accès à un tribunal, et de déclarer les requêtes irrecevables pour le surplus</w:t>
      </w:r>
      <w:r w:rsidRPr="00CB791A">
        <w:rPr>
          <w:color w:val="000000"/>
        </w:rPr>
        <w:t>,</w:t>
      </w:r>
    </w:p>
    <w:p w:rsidRPr="00CB791A" w:rsidR="00B34B1B" w:rsidP="00CB791A" w:rsidRDefault="00B34B1B" w14:paraId="07F67853" w14:textId="77777777">
      <w:pPr>
        <w:pStyle w:val="JuPara"/>
        <w:rPr>
          <w:color w:val="000000"/>
        </w:rPr>
      </w:pPr>
      <w:proofErr w:type="gramStart"/>
      <w:r w:rsidRPr="00CB791A">
        <w:rPr>
          <w:color w:val="000000"/>
        </w:rPr>
        <w:t>la</w:t>
      </w:r>
      <w:proofErr w:type="gramEnd"/>
      <w:r w:rsidRPr="00CB791A">
        <w:rPr>
          <w:color w:val="000000"/>
        </w:rPr>
        <w:t xml:space="preserve"> décision du 13 mars 2018 de rayer ces requêtes du rôle de la Cour,</w:t>
      </w:r>
    </w:p>
    <w:p w:rsidRPr="00CB791A" w:rsidR="00B34B1B" w:rsidP="00CB791A" w:rsidRDefault="00B34B1B" w14:paraId="1572C419" w14:textId="1A7894A7">
      <w:pPr>
        <w:pStyle w:val="JuPara"/>
      </w:pPr>
      <w:proofErr w:type="gramStart"/>
      <w:r w:rsidRPr="00CB791A">
        <w:rPr>
          <w:color w:val="000000"/>
        </w:rPr>
        <w:t>l</w:t>
      </w:r>
      <w:r w:rsidRPr="00CB791A">
        <w:t>es</w:t>
      </w:r>
      <w:proofErr w:type="gramEnd"/>
      <w:r w:rsidRPr="00CB791A">
        <w:t xml:space="preserve"> nouvelles requêtes n</w:t>
      </w:r>
      <w:r w:rsidRPr="00CB791A">
        <w:rPr>
          <w:vertAlign w:val="superscript"/>
        </w:rPr>
        <w:t>os</w:t>
      </w:r>
      <w:r w:rsidRPr="00CB791A">
        <w:t> </w:t>
      </w:r>
      <w:r w:rsidRPr="00CB791A">
        <w:rPr>
          <w:color w:val="000000"/>
        </w:rPr>
        <w:t>19431/19 et 19653/19</w:t>
      </w:r>
      <w:r w:rsidRPr="00CB791A">
        <w:t xml:space="preserve"> dirigées contre le Royaume de Belgique, et dont les requérants ont saisi la Cour en vertu de l</w:t>
      </w:r>
      <w:r w:rsidRPr="00CB791A" w:rsidR="00CB791A">
        <w:t>’</w:t>
      </w:r>
      <w:r w:rsidRPr="00CB791A">
        <w:t>article 34 de la Convention le 3 avril 2019,</w:t>
      </w:r>
    </w:p>
    <w:p w:rsidRPr="00CB791A" w:rsidR="00B34B1B" w:rsidP="00CB791A" w:rsidRDefault="00B34B1B" w14:paraId="6ED9B28B" w14:textId="77777777">
      <w:pPr>
        <w:pStyle w:val="JuPara"/>
      </w:pPr>
      <w:proofErr w:type="gramStart"/>
      <w:r w:rsidRPr="00CB791A">
        <w:t>la</w:t>
      </w:r>
      <w:proofErr w:type="gramEnd"/>
      <w:r w:rsidRPr="00CB791A">
        <w:t xml:space="preserve"> décision du 28 mai 2019 de réinscrire les requêtes initiales au rôle (article 37 § 2 de la Convention et article </w:t>
      </w:r>
      <w:bookmarkStart w:name="_Toc11771178" w:id="0"/>
      <w:r w:rsidRPr="00CB791A">
        <w:t>43 § 5</w:t>
      </w:r>
      <w:bookmarkEnd w:id="0"/>
      <w:r w:rsidRPr="00CB791A">
        <w:t xml:space="preserve"> du règlement),</w:t>
      </w:r>
    </w:p>
    <w:p w:rsidRPr="00CB791A" w:rsidR="00B34B1B" w:rsidP="00CB791A" w:rsidRDefault="00B34B1B" w14:paraId="30A378EE" w14:textId="5004AD0E">
      <w:pPr>
        <w:pStyle w:val="JuPara"/>
      </w:pPr>
      <w:proofErr w:type="gramStart"/>
      <w:r w:rsidRPr="00CB791A">
        <w:t>les</w:t>
      </w:r>
      <w:proofErr w:type="gramEnd"/>
      <w:r w:rsidRPr="00CB791A">
        <w:t xml:space="preserve"> décisions de porter à la connaissance du Gouvernement les griefs soulevés par les nouvelles requêtes concernant l</w:t>
      </w:r>
      <w:r w:rsidRPr="00CB791A" w:rsidR="00CB791A">
        <w:t>’</w:t>
      </w:r>
      <w:r w:rsidRPr="00CB791A">
        <w:t>accès à un tribunal,</w:t>
      </w:r>
    </w:p>
    <w:p w:rsidRPr="00CB791A" w:rsidR="00B34B1B" w:rsidP="00CB791A" w:rsidRDefault="00B34B1B" w14:paraId="0A6314D0" w14:textId="77777777">
      <w:pPr>
        <w:pStyle w:val="JuPara"/>
        <w:rPr>
          <w:color w:val="000000"/>
        </w:rPr>
      </w:pPr>
      <w:proofErr w:type="gramStart"/>
      <w:r w:rsidRPr="00CB791A">
        <w:t>les</w:t>
      </w:r>
      <w:proofErr w:type="gramEnd"/>
      <w:r w:rsidRPr="00CB791A">
        <w:t xml:space="preserve"> observations des parties,</w:t>
      </w:r>
    </w:p>
    <w:p w:rsidRPr="00CB791A" w:rsidR="004344E6" w:rsidP="00CB791A" w:rsidRDefault="004344E6" w14:paraId="347C4144" w14:textId="69BEBE63">
      <w:pPr>
        <w:pStyle w:val="JuPara"/>
      </w:pPr>
      <w:r w:rsidRPr="00CB791A">
        <w:t xml:space="preserve">Après en avoir délibéré en chambre du conseil le </w:t>
      </w:r>
      <w:r w:rsidRPr="00CB791A" w:rsidR="00B34B1B">
        <w:t>31 août 2021</w:t>
      </w:r>
      <w:r w:rsidRPr="00CB791A">
        <w:t>,</w:t>
      </w:r>
    </w:p>
    <w:p w:rsidRPr="00CB791A" w:rsidR="00876F03" w:rsidP="00CB791A" w:rsidRDefault="004344E6" w14:paraId="1DE09CD4" w14:textId="026D8F15">
      <w:pPr>
        <w:pStyle w:val="JuPara"/>
      </w:pPr>
      <w:r w:rsidRPr="00CB791A">
        <w:t>Rend l</w:t>
      </w:r>
      <w:r w:rsidRPr="00CB791A" w:rsidR="00CB791A">
        <w:t>’</w:t>
      </w:r>
      <w:r w:rsidRPr="00CB791A">
        <w:t>arrêt que voici</w:t>
      </w:r>
      <w:r w:rsidRPr="00CB791A" w:rsidR="00876F03">
        <w:t>, adopté à cette date :</w:t>
      </w:r>
    </w:p>
    <w:p w:rsidRPr="00CB791A" w:rsidR="00B34B1B" w:rsidP="00CB791A" w:rsidRDefault="00B34B1B" w14:paraId="454991A5" w14:textId="77777777">
      <w:pPr>
        <w:pStyle w:val="JuHHead"/>
      </w:pPr>
      <w:r w:rsidRPr="00CB791A">
        <w:t>INTRODUCTION</w:t>
      </w:r>
    </w:p>
    <w:p w:rsidRPr="00CB791A" w:rsidR="00B34B1B" w:rsidP="00CB791A" w:rsidRDefault="00B34B1B" w14:paraId="32654C52" w14:textId="5FBFF1B6">
      <w:pPr>
        <w:pStyle w:val="JuPara"/>
      </w:pPr>
      <w:r w:rsidRPr="00CB791A">
        <w:fldChar w:fldCharType="begin"/>
      </w:r>
      <w:r w:rsidRPr="00CB791A">
        <w:instrText xml:space="preserve"> SEQ level0 \*arabic </w:instrText>
      </w:r>
      <w:r w:rsidRPr="00CB791A">
        <w:fldChar w:fldCharType="separate"/>
      </w:r>
      <w:r w:rsidRPr="00CB791A" w:rsidR="00CB791A">
        <w:rPr>
          <w:noProof/>
        </w:rPr>
        <w:t>1</w:t>
      </w:r>
      <w:r w:rsidRPr="00CB791A">
        <w:fldChar w:fldCharType="end"/>
      </w:r>
      <w:r w:rsidRPr="00CB791A">
        <w:t>.  </w:t>
      </w:r>
      <w:bookmarkStart w:name="_Hlk63533605" w:id="1"/>
      <w:r w:rsidRPr="00CB791A">
        <w:t>Les deux requêtes initiales concernent le formalisme excessif allégué résultant du rejet par la Cour de cassation des pourvois introduits par les requérants contre l</w:t>
      </w:r>
      <w:r w:rsidRPr="00CB791A" w:rsidR="00CB791A">
        <w:t>’</w:t>
      </w:r>
      <w:r w:rsidRPr="00CB791A">
        <w:t>arrêt les ayant condamnés au pénal (requêtes</w:t>
      </w:r>
      <w:r w:rsidRPr="00CB791A" w:rsidR="00CB791A">
        <w:t> </w:t>
      </w:r>
      <w:r w:rsidRPr="00CB791A">
        <w:t>n</w:t>
      </w:r>
      <w:r w:rsidRPr="00CB791A">
        <w:rPr>
          <w:vertAlign w:val="superscript"/>
        </w:rPr>
        <w:t>os</w:t>
      </w:r>
      <w:r w:rsidRPr="00CB791A">
        <w:t> 74209/16 et 75662/16). Les deux requêtes nouvelles concernent le refus de la Cour de cassation de rouvrir la procédure pénale malgré la déclaration unilatérale formulée par le Gouvernement sur base de laquelle la Cour a rayé les affaires précitées du rôle (n</w:t>
      </w:r>
      <w:r w:rsidRPr="00CB791A">
        <w:rPr>
          <w:vertAlign w:val="superscript"/>
        </w:rPr>
        <w:t>os</w:t>
      </w:r>
      <w:r w:rsidRPr="00CB791A">
        <w:t xml:space="preserve"> 19431/19 et</w:t>
      </w:r>
      <w:r w:rsidRPr="00CB791A" w:rsidR="00CB791A">
        <w:t> </w:t>
      </w:r>
      <w:r w:rsidRPr="00CB791A">
        <w:t>19653/19). Les requérants invoquent l</w:t>
      </w:r>
      <w:r w:rsidRPr="00CB791A" w:rsidR="00CB791A">
        <w:t>’</w:t>
      </w:r>
      <w:r w:rsidRPr="00CB791A">
        <w:t>article 6 § 1 de la Convention (droit d</w:t>
      </w:r>
      <w:r w:rsidRPr="00CB791A" w:rsidR="00CB791A">
        <w:t>’</w:t>
      </w:r>
      <w:r w:rsidRPr="00CB791A">
        <w:t>accès à un tribunal).</w:t>
      </w:r>
      <w:bookmarkEnd w:id="1"/>
    </w:p>
    <w:p w:rsidRPr="00CB791A" w:rsidR="00B34B1B" w:rsidP="00CB791A" w:rsidRDefault="00B34B1B" w14:paraId="732DB669" w14:textId="77777777">
      <w:pPr>
        <w:pStyle w:val="JuHHead"/>
      </w:pPr>
      <w:bookmarkStart w:name="_Hlk36126677" w:id="2"/>
      <w:bookmarkStart w:name="_Hlk63530478" w:id="3"/>
      <w:r w:rsidRPr="00CB791A">
        <w:t>EN FAIT</w:t>
      </w:r>
    </w:p>
    <w:bookmarkEnd w:id="2"/>
    <w:p w:rsidRPr="00CB791A" w:rsidR="00B34B1B" w:rsidP="00CB791A" w:rsidRDefault="00B34B1B" w14:paraId="3BBBC511" w14:textId="210E567C">
      <w:pPr>
        <w:pStyle w:val="JuPara"/>
      </w:pPr>
      <w:r w:rsidRPr="00CB791A">
        <w:fldChar w:fldCharType="begin"/>
      </w:r>
      <w:r w:rsidRPr="00CB791A">
        <w:instrText xml:space="preserve"> SEQ level0 \*arabic </w:instrText>
      </w:r>
      <w:r w:rsidRPr="00CB791A">
        <w:fldChar w:fldCharType="separate"/>
      </w:r>
      <w:r w:rsidRPr="00CB791A" w:rsidR="00CB791A">
        <w:rPr>
          <w:noProof/>
        </w:rPr>
        <w:t>2</w:t>
      </w:r>
      <w:r w:rsidRPr="00CB791A">
        <w:fldChar w:fldCharType="end"/>
      </w:r>
      <w:r w:rsidRPr="00CB791A">
        <w:t xml:space="preserve">.  Les requérants sont nés respectivement en 1971 et en 1966 et résident à </w:t>
      </w:r>
      <w:proofErr w:type="spellStart"/>
      <w:r w:rsidRPr="00CB791A">
        <w:t>Gesves</w:t>
      </w:r>
      <w:proofErr w:type="spellEnd"/>
      <w:r w:rsidRPr="00CB791A">
        <w:t>. Ils sont représentés par M</w:t>
      </w:r>
      <w:r w:rsidRPr="00CB791A">
        <w:rPr>
          <w:vertAlign w:val="superscript"/>
        </w:rPr>
        <w:t>e</w:t>
      </w:r>
      <w:r w:rsidRPr="00CB791A">
        <w:t xml:space="preserve"> T. </w:t>
      </w:r>
      <w:proofErr w:type="spellStart"/>
      <w:r w:rsidRPr="00CB791A">
        <w:t>Maudoux</w:t>
      </w:r>
      <w:proofErr w:type="spellEnd"/>
      <w:r w:rsidRPr="00CB791A">
        <w:t>, avocat.</w:t>
      </w:r>
    </w:p>
    <w:p w:rsidRPr="00CB791A" w:rsidR="00B34B1B" w:rsidP="00CB791A" w:rsidRDefault="00B34B1B" w14:paraId="2D83FECF" w14:textId="104B772C">
      <w:pPr>
        <w:pStyle w:val="JuPara"/>
      </w:pPr>
      <w:r w:rsidRPr="00CB791A">
        <w:fldChar w:fldCharType="begin"/>
      </w:r>
      <w:r w:rsidRPr="00CB791A">
        <w:instrText xml:space="preserve"> SEQ level0 \*arabic </w:instrText>
      </w:r>
      <w:r w:rsidRPr="00CB791A">
        <w:fldChar w:fldCharType="separate"/>
      </w:r>
      <w:r w:rsidRPr="00CB791A" w:rsidR="00CB791A">
        <w:rPr>
          <w:noProof/>
        </w:rPr>
        <w:t>3</w:t>
      </w:r>
      <w:r w:rsidRPr="00CB791A">
        <w:fldChar w:fldCharType="end"/>
      </w:r>
      <w:r w:rsidRPr="00CB791A">
        <w:t>.  </w:t>
      </w:r>
      <w:bookmarkStart w:name="_Hlk36127123" w:id="4"/>
      <w:r w:rsidRPr="00CB791A">
        <w:t xml:space="preserve">Le Gouvernement a été représenté par son agente, </w:t>
      </w:r>
      <w:proofErr w:type="gramStart"/>
      <w:r w:rsidRPr="00CB791A">
        <w:t>M</w:t>
      </w:r>
      <w:r w:rsidRPr="00CB791A">
        <w:rPr>
          <w:vertAlign w:val="superscript"/>
        </w:rPr>
        <w:t>me  </w:t>
      </w:r>
      <w:r w:rsidRPr="00CB791A">
        <w:t>I.</w:t>
      </w:r>
      <w:proofErr w:type="gramEnd"/>
      <w:r w:rsidRPr="00CB791A">
        <w:t> </w:t>
      </w:r>
      <w:proofErr w:type="spellStart"/>
      <w:r w:rsidRPr="00CB791A">
        <w:t>Niedlispacher</w:t>
      </w:r>
      <w:proofErr w:type="spellEnd"/>
      <w:r w:rsidRPr="00CB791A">
        <w:t>, du service public fédéral de la Justice.</w:t>
      </w:r>
      <w:bookmarkEnd w:id="4"/>
    </w:p>
    <w:p w:rsidRPr="00CB791A" w:rsidR="00B34B1B" w:rsidP="00CB791A" w:rsidRDefault="00B34B1B" w14:paraId="3BD318AD" w14:textId="3ACB1AF9">
      <w:pPr>
        <w:pStyle w:val="JuPara"/>
      </w:pPr>
      <w:r w:rsidRPr="00CB791A">
        <w:fldChar w:fldCharType="begin"/>
      </w:r>
      <w:r w:rsidRPr="00CB791A">
        <w:instrText xml:space="preserve"> SEQ level0 \*arabic </w:instrText>
      </w:r>
      <w:r w:rsidRPr="00CB791A">
        <w:fldChar w:fldCharType="separate"/>
      </w:r>
      <w:r w:rsidRPr="00CB791A" w:rsidR="00CB791A">
        <w:rPr>
          <w:noProof/>
        </w:rPr>
        <w:t>4</w:t>
      </w:r>
      <w:r w:rsidRPr="00CB791A">
        <w:fldChar w:fldCharType="end"/>
      </w:r>
      <w:r w:rsidRPr="00CB791A">
        <w:t>.  Les requérants ainsi que d</w:t>
      </w:r>
      <w:r w:rsidRPr="00CB791A" w:rsidR="00CB791A">
        <w:t>’</w:t>
      </w:r>
      <w:r w:rsidRPr="00CB791A">
        <w:t xml:space="preserve">autres </w:t>
      </w:r>
      <w:proofErr w:type="spellStart"/>
      <w:r w:rsidRPr="00CB791A">
        <w:t>co-prévenus</w:t>
      </w:r>
      <w:proofErr w:type="spellEnd"/>
      <w:r w:rsidRPr="00CB791A">
        <w:t xml:space="preserve"> furent poursuivis devant le tribunal correctionnel de Namur du chef de diverses infractions liées à une évasion de la taxe sur la valeur ajoutée.</w:t>
      </w:r>
    </w:p>
    <w:p w:rsidRPr="00CB791A" w:rsidR="00B34B1B" w:rsidP="00CB791A" w:rsidRDefault="00B34B1B" w14:paraId="2C6677A5" w14:textId="13F88440">
      <w:pPr>
        <w:pStyle w:val="JuPara"/>
      </w:pPr>
      <w:r w:rsidRPr="00CB791A">
        <w:fldChar w:fldCharType="begin"/>
      </w:r>
      <w:r w:rsidRPr="00CB791A">
        <w:instrText xml:space="preserve"> SEQ level0 \*arabic </w:instrText>
      </w:r>
      <w:r w:rsidRPr="00CB791A">
        <w:fldChar w:fldCharType="separate"/>
      </w:r>
      <w:r w:rsidRPr="00CB791A" w:rsidR="00CB791A">
        <w:rPr>
          <w:noProof/>
        </w:rPr>
        <w:t>5</w:t>
      </w:r>
      <w:r w:rsidRPr="00CB791A">
        <w:fldChar w:fldCharType="end"/>
      </w:r>
      <w:r w:rsidRPr="00CB791A">
        <w:t xml:space="preserve">.  Par un jugement du 27 juin 2012, le tribunal correctionnel </w:t>
      </w:r>
      <w:proofErr w:type="spellStart"/>
      <w:r w:rsidRPr="00CB791A">
        <w:t>sursit</w:t>
      </w:r>
      <w:proofErr w:type="spellEnd"/>
      <w:r w:rsidRPr="00CB791A">
        <w:t xml:space="preserve"> à statuer dans l</w:t>
      </w:r>
      <w:r w:rsidRPr="00CB791A" w:rsidR="00CB791A">
        <w:t>’</w:t>
      </w:r>
      <w:r w:rsidRPr="00CB791A">
        <w:t>attente de la fin de l</w:t>
      </w:r>
      <w:r w:rsidRPr="00CB791A" w:rsidR="00CB791A">
        <w:t>’</w:t>
      </w:r>
      <w:r w:rsidRPr="00CB791A">
        <w:t>instruction de la plainte avec constitution de partie civile déposée par le second requérant à l</w:t>
      </w:r>
      <w:r w:rsidRPr="00CB791A" w:rsidR="00CB791A">
        <w:t>’</w:t>
      </w:r>
      <w:r w:rsidRPr="00CB791A">
        <w:t>encontre des auteurs du procès-verbal initial pour faux et usage de faux.</w:t>
      </w:r>
    </w:p>
    <w:p w:rsidRPr="00CB791A" w:rsidR="00B34B1B" w:rsidP="00CB791A" w:rsidRDefault="00B34B1B" w14:paraId="7208C3C3" w14:textId="68748D57">
      <w:pPr>
        <w:pStyle w:val="JuPara"/>
      </w:pPr>
      <w:r w:rsidRPr="00CB791A">
        <w:fldChar w:fldCharType="begin"/>
      </w:r>
      <w:r w:rsidRPr="00CB791A">
        <w:instrText xml:space="preserve"> SEQ level0 \*arabic </w:instrText>
      </w:r>
      <w:r w:rsidRPr="00CB791A">
        <w:fldChar w:fldCharType="separate"/>
      </w:r>
      <w:r w:rsidRPr="00CB791A" w:rsidR="00CB791A">
        <w:rPr>
          <w:noProof/>
        </w:rPr>
        <w:t>6</w:t>
      </w:r>
      <w:r w:rsidRPr="00CB791A">
        <w:fldChar w:fldCharType="end"/>
      </w:r>
      <w:r w:rsidRPr="00CB791A">
        <w:t>.  Saisie par un appel du ministère public, la cour d</w:t>
      </w:r>
      <w:r w:rsidRPr="00CB791A" w:rsidR="00CB791A">
        <w:t>’</w:t>
      </w:r>
      <w:r w:rsidRPr="00CB791A">
        <w:t>appel de Liège, réformant le jugement entrepris, dit les poursuites recevables par un arrêt interlocutoire du 12 septembre 2013.</w:t>
      </w:r>
    </w:p>
    <w:p w:rsidRPr="00CB791A" w:rsidR="00B34B1B" w:rsidP="00CB791A" w:rsidRDefault="00B34B1B" w14:paraId="554B1357" w14:textId="3D5B537E">
      <w:pPr>
        <w:pStyle w:val="JuPara"/>
      </w:pPr>
      <w:r w:rsidRPr="00CB791A">
        <w:fldChar w:fldCharType="begin"/>
      </w:r>
      <w:r w:rsidRPr="00CB791A">
        <w:instrText xml:space="preserve"> SEQ level0 \*arabic </w:instrText>
      </w:r>
      <w:r w:rsidRPr="00CB791A">
        <w:fldChar w:fldCharType="separate"/>
      </w:r>
      <w:r w:rsidRPr="00CB791A" w:rsidR="00CB791A">
        <w:rPr>
          <w:noProof/>
        </w:rPr>
        <w:t>7</w:t>
      </w:r>
      <w:r w:rsidRPr="00CB791A">
        <w:fldChar w:fldCharType="end"/>
      </w:r>
      <w:r w:rsidRPr="00CB791A">
        <w:t>.  Le 18 décembre 2014, par un second arrêt interlocutoire, la cour d</w:t>
      </w:r>
      <w:r w:rsidRPr="00CB791A" w:rsidR="00CB791A">
        <w:t>’</w:t>
      </w:r>
      <w:r w:rsidRPr="00CB791A">
        <w:t>appel constata que l</w:t>
      </w:r>
      <w:r w:rsidRPr="00CB791A" w:rsidR="00CB791A">
        <w:t>’</w:t>
      </w:r>
      <w:r w:rsidRPr="00CB791A">
        <w:t>action publique n</w:t>
      </w:r>
      <w:r w:rsidRPr="00CB791A" w:rsidR="00CB791A">
        <w:t>’</w:t>
      </w:r>
      <w:r w:rsidRPr="00CB791A">
        <w:t>était pas prescrite en ce qui concernait les requérants et ordonna la réouverture des débats.</w:t>
      </w:r>
    </w:p>
    <w:p w:rsidRPr="00CB791A" w:rsidR="00B34B1B" w:rsidP="00CB791A" w:rsidRDefault="00B34B1B" w14:paraId="3C31C20E" w14:textId="7BD9D86C">
      <w:pPr>
        <w:pStyle w:val="JuPara"/>
      </w:pPr>
      <w:r w:rsidRPr="00CB791A">
        <w:fldChar w:fldCharType="begin"/>
      </w:r>
      <w:r w:rsidRPr="00CB791A">
        <w:instrText xml:space="preserve"> SEQ level0 \*arabic </w:instrText>
      </w:r>
      <w:r w:rsidRPr="00CB791A">
        <w:fldChar w:fldCharType="separate"/>
      </w:r>
      <w:r w:rsidRPr="00CB791A" w:rsidR="00CB791A">
        <w:rPr>
          <w:noProof/>
        </w:rPr>
        <w:t>8</w:t>
      </w:r>
      <w:r w:rsidRPr="00CB791A">
        <w:fldChar w:fldCharType="end"/>
      </w:r>
      <w:r w:rsidRPr="00CB791A">
        <w:t>.  Par un arrêt du 27 janvier 2016, la cour d</w:t>
      </w:r>
      <w:r w:rsidRPr="00CB791A" w:rsidR="00CB791A">
        <w:t>’</w:t>
      </w:r>
      <w:r w:rsidRPr="00CB791A">
        <w:t>appel acquitta les requérants de certaines préventions et prononça une simple déclaration de culpabilité pour les autres préventions retenues à leur charge. Elle ordonna toutefois la confiscation de certains montants, s</w:t>
      </w:r>
      <w:r w:rsidRPr="00CB791A" w:rsidR="00CB791A">
        <w:t>’</w:t>
      </w:r>
      <w:r w:rsidRPr="00CB791A">
        <w:t>élevant à un total de 70.668,33</w:t>
      </w:r>
      <w:r w:rsidRPr="00CB791A" w:rsidR="001B5C19">
        <w:t> </w:t>
      </w:r>
      <w:r w:rsidRPr="00CB791A">
        <w:t>euros pour la requérante et à un total de 284.408,59 euros. Le requérant était en outre condamné, solidairement avec d</w:t>
      </w:r>
      <w:r w:rsidRPr="00CB791A" w:rsidR="00CB791A">
        <w:t>’</w:t>
      </w:r>
      <w:r w:rsidRPr="00CB791A">
        <w:t>autres condamnés, au paiement en faveur de l</w:t>
      </w:r>
      <w:r w:rsidRPr="00CB791A" w:rsidR="00CB791A">
        <w:t>’</w:t>
      </w:r>
      <w:r w:rsidRPr="00CB791A">
        <w:t>État belge de montants de respectivement 380.373 euros et</w:t>
      </w:r>
      <w:r w:rsidRPr="00CB791A" w:rsidR="00CB791A">
        <w:t> </w:t>
      </w:r>
      <w:r w:rsidRPr="00CB791A">
        <w:t>374.950 euros.</w:t>
      </w:r>
    </w:p>
    <w:p w:rsidRPr="00CB791A" w:rsidR="00B34B1B" w:rsidP="00CB791A" w:rsidRDefault="00B34B1B" w14:paraId="5BEE5792" w14:textId="32A8F98A">
      <w:pPr>
        <w:pStyle w:val="JuPara"/>
      </w:pPr>
      <w:r w:rsidRPr="00CB791A">
        <w:fldChar w:fldCharType="begin"/>
      </w:r>
      <w:r w:rsidRPr="00CB791A">
        <w:instrText xml:space="preserve"> SEQ level0 \*arabic </w:instrText>
      </w:r>
      <w:r w:rsidRPr="00CB791A">
        <w:fldChar w:fldCharType="separate"/>
      </w:r>
      <w:r w:rsidRPr="00CB791A" w:rsidR="00CB791A">
        <w:rPr>
          <w:noProof/>
        </w:rPr>
        <w:t>9</w:t>
      </w:r>
      <w:r w:rsidRPr="00CB791A">
        <w:fldChar w:fldCharType="end"/>
      </w:r>
      <w:r w:rsidRPr="00CB791A">
        <w:t>.  Le conseil des requérants, qui s</w:t>
      </w:r>
      <w:r w:rsidRPr="00CB791A" w:rsidR="00CB791A">
        <w:t>’</w:t>
      </w:r>
      <w:r w:rsidRPr="00CB791A">
        <w:t>était vu délivrer l</w:t>
      </w:r>
      <w:r w:rsidRPr="00CB791A" w:rsidR="00CB791A">
        <w:t>’</w:t>
      </w:r>
      <w:r w:rsidRPr="00CB791A">
        <w:t>attestation de la formation en cassation en matière pénale (voir l</w:t>
      </w:r>
      <w:r w:rsidRPr="00CB791A" w:rsidR="00CB791A">
        <w:t>’</w:t>
      </w:r>
      <w:r w:rsidRPr="00CB791A">
        <w:t>article 425 § 1</w:t>
      </w:r>
      <w:r w:rsidRPr="00CB791A">
        <w:rPr>
          <w:vertAlign w:val="superscript"/>
        </w:rPr>
        <w:t>er</w:t>
      </w:r>
      <w:r w:rsidRPr="00CB791A">
        <w:t xml:space="preserve"> alinéa</w:t>
      </w:r>
      <w:r w:rsidRPr="00CB791A" w:rsidR="001B5C19">
        <w:t> </w:t>
      </w:r>
      <w:r w:rsidRPr="00CB791A">
        <w:t>2 du code d</w:t>
      </w:r>
      <w:r w:rsidRPr="00CB791A" w:rsidR="00CB791A">
        <w:t>’</w:t>
      </w:r>
      <w:r w:rsidRPr="00CB791A">
        <w:t xml:space="preserve">instruction criminelle (« CIC »), paragraphe </w:t>
      </w:r>
      <w:r w:rsidRPr="00CB791A">
        <w:fldChar w:fldCharType="begin"/>
      </w:r>
      <w:r w:rsidRPr="00CB791A">
        <w:instrText xml:space="preserve"> REF A \h  \* MERGEFORMAT </w:instrText>
      </w:r>
      <w:r w:rsidRPr="00CB791A">
        <w:fldChar w:fldCharType="separate"/>
      </w:r>
      <w:r w:rsidRPr="00CB791A" w:rsidR="00CB791A">
        <w:t>30</w:t>
      </w:r>
      <w:r w:rsidRPr="00CB791A">
        <w:fldChar w:fldCharType="end"/>
      </w:r>
      <w:r w:rsidRPr="00CB791A">
        <w:t xml:space="preserve"> ci-dessous) le 22 janvier 2016, forma des pourvois en cassation le 10 février 2016.</w:t>
      </w:r>
    </w:p>
    <w:p w:rsidRPr="00CB791A" w:rsidR="00B34B1B" w:rsidP="00CB791A" w:rsidRDefault="00B34B1B" w14:paraId="61A256A0" w14:textId="075F7CA1">
      <w:pPr>
        <w:pStyle w:val="JuPara"/>
      </w:pPr>
      <w:r w:rsidRPr="00CB791A">
        <w:fldChar w:fldCharType="begin"/>
      </w:r>
      <w:r w:rsidRPr="00CB791A">
        <w:instrText xml:space="preserve"> SEQ level0 \*arabic </w:instrText>
      </w:r>
      <w:r w:rsidRPr="00CB791A">
        <w:fldChar w:fldCharType="separate"/>
      </w:r>
      <w:r w:rsidRPr="00CB791A" w:rsidR="00CB791A">
        <w:rPr>
          <w:noProof/>
        </w:rPr>
        <w:t>10</w:t>
      </w:r>
      <w:r w:rsidRPr="00CB791A">
        <w:fldChar w:fldCharType="end"/>
      </w:r>
      <w:r w:rsidRPr="00CB791A">
        <w:t>.  Dans leurs mémoires déposés à l</w:t>
      </w:r>
      <w:r w:rsidRPr="00CB791A" w:rsidR="00CB791A">
        <w:t>’</w:t>
      </w:r>
      <w:r w:rsidRPr="00CB791A">
        <w:t>appui des pourvois, se fondant sur l</w:t>
      </w:r>
      <w:r w:rsidRPr="00CB791A" w:rsidR="00CB791A">
        <w:t>’</w:t>
      </w:r>
      <w:r w:rsidRPr="00CB791A">
        <w:t>article</w:t>
      </w:r>
      <w:r w:rsidRPr="00CB791A" w:rsidR="001B5C19">
        <w:t> </w:t>
      </w:r>
      <w:r w:rsidRPr="00CB791A">
        <w:t>6 §</w:t>
      </w:r>
      <w:r w:rsidRPr="00CB791A" w:rsidR="001B5C19">
        <w:t> </w:t>
      </w:r>
      <w:r w:rsidRPr="00CB791A">
        <w:t>1 de la Convention, les requérants se plaignaient notamment que la cour d</w:t>
      </w:r>
      <w:r w:rsidRPr="00CB791A" w:rsidR="00CB791A">
        <w:t>’</w:t>
      </w:r>
      <w:r w:rsidRPr="00CB791A">
        <w:t>appel avait écarté les moyens par lesquels le second requérant invoquait l</w:t>
      </w:r>
      <w:r w:rsidRPr="00CB791A" w:rsidR="00CB791A">
        <w:t>’</w:t>
      </w:r>
      <w:r w:rsidRPr="00CB791A">
        <w:t>irrecevabilité des poursuites.</w:t>
      </w:r>
    </w:p>
    <w:bookmarkStart w:name="FaitsCass01062016" w:id="5"/>
    <w:bookmarkStart w:name="G" w:id="6"/>
    <w:p w:rsidRPr="00CB791A" w:rsidR="00B34B1B" w:rsidP="00CB791A" w:rsidRDefault="00B34B1B" w14:paraId="2BE2291E" w14:textId="4FF6C4B0">
      <w:pPr>
        <w:pStyle w:val="JuPara"/>
      </w:pPr>
      <w:r w:rsidRPr="00CB791A">
        <w:fldChar w:fldCharType="begin"/>
      </w:r>
      <w:r w:rsidRPr="00CB791A">
        <w:instrText xml:space="preserve"> SEQ level0 \*arabic </w:instrText>
      </w:r>
      <w:r w:rsidRPr="00CB791A">
        <w:fldChar w:fldCharType="separate"/>
      </w:r>
      <w:r w:rsidRPr="00CB791A" w:rsidR="00CB791A">
        <w:rPr>
          <w:noProof/>
        </w:rPr>
        <w:t>11</w:t>
      </w:r>
      <w:r w:rsidRPr="00CB791A">
        <w:fldChar w:fldCharType="end"/>
      </w:r>
      <w:bookmarkEnd w:id="5"/>
      <w:bookmarkEnd w:id="6"/>
      <w:r w:rsidRPr="00CB791A">
        <w:t>.  Par un arrêt du 1</w:t>
      </w:r>
      <w:r w:rsidRPr="00CB791A">
        <w:rPr>
          <w:vertAlign w:val="superscript"/>
        </w:rPr>
        <w:t>er</w:t>
      </w:r>
      <w:r w:rsidRPr="00CB791A">
        <w:t xml:space="preserve"> juin 2016, la Cour de cassation déclara les pourvois irrecevables au motif qu</w:t>
      </w:r>
      <w:r w:rsidRPr="00CB791A" w:rsidR="00CB791A">
        <w:t>’</w:t>
      </w:r>
      <w:r w:rsidRPr="00CB791A">
        <w:t>il n</w:t>
      </w:r>
      <w:r w:rsidRPr="00CB791A" w:rsidR="00CB791A">
        <w:t>’</w:t>
      </w:r>
      <w:r w:rsidRPr="00CB791A">
        <w:t xml:space="preserve">apparaissait pas des pièces déposées dans le délai de </w:t>
      </w:r>
      <w:proofErr w:type="gramStart"/>
      <w:r w:rsidRPr="00CB791A">
        <w:t>deux mois prévu</w:t>
      </w:r>
      <w:proofErr w:type="gramEnd"/>
      <w:r w:rsidRPr="00CB791A">
        <w:t xml:space="preserve"> à l</w:t>
      </w:r>
      <w:r w:rsidRPr="00CB791A" w:rsidR="00CB791A">
        <w:t>’</w:t>
      </w:r>
      <w:r w:rsidRPr="00CB791A">
        <w:t xml:space="preserve">article 429 alinéa 2 du </w:t>
      </w:r>
      <w:r w:rsidRPr="00CB791A">
        <w:rPr>
          <w:color w:val="000000"/>
        </w:rPr>
        <w:t>CIC (</w:t>
      </w:r>
      <w:r w:rsidRPr="00CB791A">
        <w:t>paragraphe</w:t>
      </w:r>
      <w:r w:rsidRPr="00CB791A" w:rsidR="009A149C">
        <w:t> </w:t>
      </w:r>
      <w:r w:rsidRPr="00CB791A">
        <w:fldChar w:fldCharType="begin"/>
      </w:r>
      <w:r w:rsidRPr="00CB791A">
        <w:instrText xml:space="preserve"> REF A \h </w:instrText>
      </w:r>
      <w:r w:rsidRPr="00CB791A">
        <w:fldChar w:fldCharType="separate"/>
      </w:r>
      <w:r w:rsidRPr="00CB791A" w:rsidR="00CB791A">
        <w:rPr>
          <w:noProof/>
        </w:rPr>
        <w:t>30</w:t>
      </w:r>
      <w:r w:rsidRPr="00CB791A">
        <w:fldChar w:fldCharType="end"/>
      </w:r>
      <w:r w:rsidRPr="00CB791A">
        <w:t xml:space="preserve"> ci-dessous)</w:t>
      </w:r>
      <w:r w:rsidRPr="00CB791A">
        <w:rPr>
          <w:color w:val="000000"/>
        </w:rPr>
        <w:t xml:space="preserve"> </w:t>
      </w:r>
      <w:r w:rsidRPr="00CB791A">
        <w:t>que l</w:t>
      </w:r>
      <w:r w:rsidRPr="00CB791A" w:rsidR="00CB791A">
        <w:t>’</w:t>
      </w:r>
      <w:r w:rsidRPr="00CB791A">
        <w:t>avocat était titulaire de l</w:t>
      </w:r>
      <w:r w:rsidRPr="00CB791A" w:rsidR="00CB791A">
        <w:t>’</w:t>
      </w:r>
      <w:r w:rsidRPr="00CB791A">
        <w:t>attestation de formation requise. La Cour de cassation ajouta que pour ce même motif, il n</w:t>
      </w:r>
      <w:r w:rsidRPr="00CB791A" w:rsidR="00CB791A">
        <w:t>’</w:t>
      </w:r>
      <w:r w:rsidRPr="00CB791A">
        <w:t>y avait pas lieu d</w:t>
      </w:r>
      <w:r w:rsidRPr="00CB791A" w:rsidR="00CB791A">
        <w:t>’</w:t>
      </w:r>
      <w:r w:rsidRPr="00CB791A">
        <w:t>examiner les mémoires déposés.</w:t>
      </w:r>
    </w:p>
    <w:p w:rsidRPr="00CB791A" w:rsidR="00B34B1B" w:rsidP="00CB791A" w:rsidRDefault="00B34B1B" w14:paraId="1E503A71" w14:textId="41329AFF">
      <w:pPr>
        <w:pStyle w:val="JuPara"/>
        <w:rPr>
          <w:color w:val="000000"/>
        </w:rPr>
      </w:pPr>
      <w:r w:rsidRPr="00CB791A">
        <w:fldChar w:fldCharType="begin"/>
      </w:r>
      <w:r w:rsidRPr="00CB791A">
        <w:instrText xml:space="preserve"> SEQ level0 \*arabic </w:instrText>
      </w:r>
      <w:r w:rsidRPr="00CB791A">
        <w:fldChar w:fldCharType="separate"/>
      </w:r>
      <w:r w:rsidRPr="00CB791A" w:rsidR="00CB791A">
        <w:rPr>
          <w:noProof/>
        </w:rPr>
        <w:t>12</w:t>
      </w:r>
      <w:r w:rsidRPr="00CB791A">
        <w:fldChar w:fldCharType="end"/>
      </w:r>
      <w:r w:rsidRPr="00CB791A">
        <w:t>.  Les requérants introduisirent chacun une requête devant la Cour alléguant que le rejet de leurs pourvois avait constitué un formalisme excessif et les avait privés de leur droit d</w:t>
      </w:r>
      <w:r w:rsidRPr="00CB791A" w:rsidR="00CB791A">
        <w:t>’</w:t>
      </w:r>
      <w:r w:rsidRPr="00CB791A">
        <w:t>accès à la Cour de cassation. Il s</w:t>
      </w:r>
      <w:r w:rsidRPr="00CB791A" w:rsidR="00CB791A">
        <w:t>’</w:t>
      </w:r>
      <w:r w:rsidRPr="00CB791A">
        <w:t>agit des requêtes n</w:t>
      </w:r>
      <w:r w:rsidRPr="00CB791A">
        <w:rPr>
          <w:vertAlign w:val="superscript"/>
        </w:rPr>
        <w:t>os</w:t>
      </w:r>
      <w:r w:rsidRPr="00CB791A">
        <w:t xml:space="preserve"> 74209/16 et </w:t>
      </w:r>
      <w:r w:rsidRPr="00CB791A">
        <w:rPr>
          <w:color w:val="000000"/>
        </w:rPr>
        <w:t>75662/16.</w:t>
      </w:r>
    </w:p>
    <w:p w:rsidRPr="00CB791A" w:rsidR="00B34B1B" w:rsidP="00CB791A" w:rsidRDefault="00B34B1B" w14:paraId="06DED307" w14:textId="21C1290F">
      <w:pPr>
        <w:pStyle w:val="JuPara"/>
      </w:pPr>
      <w:r w:rsidRPr="00CB791A">
        <w:fldChar w:fldCharType="begin"/>
      </w:r>
      <w:r w:rsidRPr="00CB791A">
        <w:instrText xml:space="preserve"> SEQ level0 \*arabic </w:instrText>
      </w:r>
      <w:r w:rsidRPr="00CB791A">
        <w:fldChar w:fldCharType="separate"/>
      </w:r>
      <w:r w:rsidRPr="00CB791A" w:rsidR="00CB791A">
        <w:rPr>
          <w:noProof/>
        </w:rPr>
        <w:t>13</w:t>
      </w:r>
      <w:r w:rsidRPr="00CB791A">
        <w:fldChar w:fldCharType="end"/>
      </w:r>
      <w:r w:rsidRPr="00CB791A">
        <w:t>.  Ces requêtes furent communiquées au Gouvernement le 19</w:t>
      </w:r>
      <w:r w:rsidRPr="00CB791A" w:rsidR="001B5C19">
        <w:t> </w:t>
      </w:r>
      <w:r w:rsidRPr="00CB791A">
        <w:t>janvier 2017. Les parties étaient invitées à répondre à la question suivante :</w:t>
      </w:r>
    </w:p>
    <w:p w:rsidRPr="00CB791A" w:rsidR="00B34B1B" w:rsidP="00CB791A" w:rsidRDefault="00B34B1B" w14:paraId="2D525C15" w14:textId="5726A583">
      <w:pPr>
        <w:pStyle w:val="JuQuot"/>
      </w:pPr>
      <w:r w:rsidRPr="00CB791A">
        <w:t>« Le rejet, par la Cour de cassation, du pourvoi en cassation des requérants résulte</w:t>
      </w:r>
      <w:r w:rsidRPr="00CB791A">
        <w:noBreakHyphen/>
        <w:t>t</w:t>
      </w:r>
      <w:r w:rsidRPr="00CB791A">
        <w:noBreakHyphen/>
        <w:t>il, en l</w:t>
      </w:r>
      <w:r w:rsidRPr="00CB791A" w:rsidR="00CB791A">
        <w:t>’</w:t>
      </w:r>
      <w:r w:rsidRPr="00CB791A">
        <w:t>espèce, d</w:t>
      </w:r>
      <w:r w:rsidRPr="00CB791A" w:rsidR="00CB791A">
        <w:t>’</w:t>
      </w:r>
      <w:r w:rsidRPr="00CB791A">
        <w:t>un formalisme excessif ayant constitué une violation du droit d</w:t>
      </w:r>
      <w:r w:rsidRPr="00CB791A" w:rsidR="00CB791A">
        <w:t>’</w:t>
      </w:r>
      <w:r w:rsidRPr="00CB791A">
        <w:t>accès à un tribunal tel que garanti par l</w:t>
      </w:r>
      <w:r w:rsidRPr="00CB791A" w:rsidR="00CB791A">
        <w:t>’</w:t>
      </w:r>
      <w:r w:rsidRPr="00CB791A">
        <w:t xml:space="preserve">article 6 § 1 de la Convention ? En particulier, ce rejet était-il prévisible pour les intéressés (voir </w:t>
      </w:r>
      <w:proofErr w:type="spellStart"/>
      <w:r w:rsidRPr="00CB791A">
        <w:rPr>
          <w:i/>
        </w:rPr>
        <w:t>Miragall</w:t>
      </w:r>
      <w:proofErr w:type="spellEnd"/>
      <w:r w:rsidRPr="00CB791A">
        <w:rPr>
          <w:i/>
        </w:rPr>
        <w:t xml:space="preserve"> </w:t>
      </w:r>
      <w:proofErr w:type="spellStart"/>
      <w:r w:rsidRPr="00CB791A">
        <w:rPr>
          <w:i/>
        </w:rPr>
        <w:t>Escolano</w:t>
      </w:r>
      <w:proofErr w:type="spellEnd"/>
      <w:r w:rsidRPr="00CB791A">
        <w:rPr>
          <w:i/>
        </w:rPr>
        <w:t xml:space="preserve"> et autres c. Espagne</w:t>
      </w:r>
      <w:r w:rsidRPr="00CB791A">
        <w:t>, n</w:t>
      </w:r>
      <w:r w:rsidRPr="00CB791A">
        <w:rPr>
          <w:vertAlign w:val="superscript"/>
        </w:rPr>
        <w:t>os</w:t>
      </w:r>
      <w:r w:rsidRPr="00CB791A">
        <w:t xml:space="preserve"> 38366/97, 38688/97, 40777/98, 40843/98, 41015/98, 41400/98, 41446/98, 41484/98, 41487/98 et 41509/98, § 33, CEDH 2000</w:t>
      </w:r>
      <w:r w:rsidRPr="00CB791A">
        <w:noBreakHyphen/>
        <w:t>I) et proportionné au but poursuivi ? »</w:t>
      </w:r>
    </w:p>
    <w:p w:rsidRPr="00CB791A" w:rsidR="00B34B1B" w:rsidP="00CB791A" w:rsidRDefault="00B34B1B" w14:paraId="4BA34F5F" w14:textId="52733336">
      <w:pPr>
        <w:pStyle w:val="JuPara"/>
        <w:rPr>
          <w:color w:val="000000"/>
        </w:rPr>
      </w:pPr>
      <w:r w:rsidRPr="00CB791A">
        <w:fldChar w:fldCharType="begin"/>
      </w:r>
      <w:r w:rsidRPr="00CB791A">
        <w:instrText xml:space="preserve"> SEQ level0 \*arabic </w:instrText>
      </w:r>
      <w:r w:rsidRPr="00CB791A">
        <w:fldChar w:fldCharType="separate"/>
      </w:r>
      <w:r w:rsidRPr="00CB791A" w:rsidR="00CB791A">
        <w:rPr>
          <w:noProof/>
        </w:rPr>
        <w:t>14</w:t>
      </w:r>
      <w:r w:rsidRPr="00CB791A">
        <w:fldChar w:fldCharType="end"/>
      </w:r>
      <w:r w:rsidRPr="00CB791A">
        <w:t>.  </w:t>
      </w:r>
      <w:r w:rsidRPr="00CB791A">
        <w:rPr>
          <w:color w:val="000000"/>
        </w:rPr>
        <w:t>Après l</w:t>
      </w:r>
      <w:r w:rsidRPr="00CB791A" w:rsidR="00CB791A">
        <w:rPr>
          <w:color w:val="000000"/>
        </w:rPr>
        <w:t>’</w:t>
      </w:r>
      <w:r w:rsidRPr="00CB791A">
        <w:rPr>
          <w:color w:val="000000"/>
        </w:rPr>
        <w:t>échec des tentatives de règlement amiable, par une lettre du 5</w:t>
      </w:r>
      <w:r w:rsidRPr="00CB791A" w:rsidR="001B5C19">
        <w:rPr>
          <w:color w:val="000000"/>
        </w:rPr>
        <w:t> </w:t>
      </w:r>
      <w:r w:rsidRPr="00CB791A">
        <w:rPr>
          <w:color w:val="000000"/>
        </w:rPr>
        <w:t>septembre 2017, le Gouvernement informa la Cour qu</w:t>
      </w:r>
      <w:r w:rsidRPr="00CB791A" w:rsidR="00CB791A">
        <w:rPr>
          <w:color w:val="000000"/>
        </w:rPr>
        <w:t>’</w:t>
      </w:r>
      <w:r w:rsidRPr="00CB791A">
        <w:rPr>
          <w:color w:val="000000"/>
        </w:rPr>
        <w:t>il envisageait de formuler une déclaration unilatérale afin de résoudre la question soulevée par les requêtes. Il invita en outre la Cour à rayer celles-ci du rôle en application de l</w:t>
      </w:r>
      <w:r w:rsidRPr="00CB791A" w:rsidR="00CB791A">
        <w:rPr>
          <w:color w:val="000000"/>
        </w:rPr>
        <w:t>’</w:t>
      </w:r>
      <w:r w:rsidRPr="00CB791A">
        <w:rPr>
          <w:color w:val="000000"/>
        </w:rPr>
        <w:t>article 37 de la Convention.</w:t>
      </w:r>
    </w:p>
    <w:bookmarkStart w:name="FaitsDU1" w:id="7"/>
    <w:p w:rsidRPr="00CB791A" w:rsidR="00B34B1B" w:rsidP="00CB791A" w:rsidRDefault="00B34B1B" w14:paraId="5328BCC3" w14:textId="606B3C63">
      <w:pPr>
        <w:pStyle w:val="JuPara"/>
        <w:rPr>
          <w:color w:val="000000"/>
        </w:rPr>
      </w:pPr>
      <w:r w:rsidRPr="00CB791A">
        <w:rPr>
          <w:color w:val="000000"/>
        </w:rPr>
        <w:fldChar w:fldCharType="begin"/>
      </w:r>
      <w:r w:rsidRPr="00CB791A">
        <w:rPr>
          <w:color w:val="000000"/>
        </w:rPr>
        <w:instrText xml:space="preserve"> SEQ level0 \*arabic </w:instrText>
      </w:r>
      <w:r w:rsidRPr="00CB791A">
        <w:rPr>
          <w:color w:val="000000"/>
        </w:rPr>
        <w:fldChar w:fldCharType="separate"/>
      </w:r>
      <w:r w:rsidRPr="00CB791A" w:rsidR="00CB791A">
        <w:rPr>
          <w:noProof/>
          <w:color w:val="000000"/>
        </w:rPr>
        <w:t>15</w:t>
      </w:r>
      <w:r w:rsidRPr="00CB791A">
        <w:rPr>
          <w:color w:val="000000"/>
        </w:rPr>
        <w:fldChar w:fldCharType="end"/>
      </w:r>
      <w:bookmarkEnd w:id="7"/>
      <w:r w:rsidRPr="00CB791A">
        <w:rPr>
          <w:color w:val="000000"/>
        </w:rPr>
        <w:t>.  La déclaration était ainsi libellée :</w:t>
      </w:r>
    </w:p>
    <w:p w:rsidRPr="00CB791A" w:rsidR="00B34B1B" w:rsidP="00CB791A" w:rsidRDefault="00B34B1B" w14:paraId="5CDE6918" w14:textId="0836257A">
      <w:pPr>
        <w:pStyle w:val="JuQuot"/>
      </w:pPr>
      <w:r w:rsidRPr="00CB791A">
        <w:t>«</w:t>
      </w:r>
      <w:r w:rsidRPr="00CB791A" w:rsidR="001B5C19">
        <w:t> </w:t>
      </w:r>
      <w:r w:rsidRPr="00CB791A">
        <w:t>Le Gouvernement reconnaît que le rejet par la Cour de cassation des pourvois des requérants comme étant irrecevables au motif que l</w:t>
      </w:r>
      <w:r w:rsidRPr="00CB791A" w:rsidR="00CB791A">
        <w:t>’</w:t>
      </w:r>
      <w:r w:rsidRPr="00CB791A">
        <w:t>avocat signataire n</w:t>
      </w:r>
      <w:r w:rsidRPr="00CB791A" w:rsidR="00CB791A">
        <w:t>’</w:t>
      </w:r>
      <w:r w:rsidRPr="00CB791A">
        <w:t>avait pas mentionné être titulaire de l</w:t>
      </w:r>
      <w:r w:rsidRPr="00CB791A" w:rsidR="00CB791A">
        <w:t>’</w:t>
      </w:r>
      <w:r w:rsidRPr="00CB791A">
        <w:t>attestation de formation requise n</w:t>
      </w:r>
      <w:r w:rsidRPr="00CB791A" w:rsidR="00CB791A">
        <w:t>’</w:t>
      </w:r>
      <w:r w:rsidRPr="00CB791A">
        <w:t>a pas garanti le respect de leur droit d</w:t>
      </w:r>
      <w:r w:rsidRPr="00CB791A" w:rsidR="00CB791A">
        <w:t>’</w:t>
      </w:r>
      <w:r w:rsidRPr="00CB791A">
        <w:t>accès à un tribunal tel que prévu par l</w:t>
      </w:r>
      <w:r w:rsidRPr="00CB791A" w:rsidR="00CB791A">
        <w:t>’</w:t>
      </w:r>
      <w:r w:rsidRPr="00CB791A">
        <w:t>article 6 de la Convention.</w:t>
      </w:r>
    </w:p>
    <w:p w:rsidRPr="00CB791A" w:rsidR="00B34B1B" w:rsidP="00CB791A" w:rsidRDefault="00B34B1B" w14:paraId="5B7298E8" w14:textId="15BC1D33">
      <w:pPr>
        <w:pStyle w:val="JuQuot"/>
      </w:pPr>
      <w:r w:rsidRPr="00CB791A">
        <w:t>Compte tenu de la reconnaissance de la violation, le Gouvernement demande la radiation de l</w:t>
      </w:r>
      <w:r w:rsidRPr="00CB791A" w:rsidR="00CB791A">
        <w:t>’</w:t>
      </w:r>
      <w:r w:rsidRPr="00CB791A">
        <w:t>affaire en contrepartie du versement à chacun des requérants de la somme de 8.000 euros - jugée conforme à la jurisprudence et à la pratique habituelles de la Cour.</w:t>
      </w:r>
    </w:p>
    <w:p w:rsidRPr="00CB791A" w:rsidR="00B34B1B" w:rsidP="00CB791A" w:rsidRDefault="00B34B1B" w14:paraId="5660D84B" w14:textId="0AB0FFA5">
      <w:pPr>
        <w:pStyle w:val="JuQuot"/>
      </w:pPr>
      <w:r w:rsidRPr="00CB791A">
        <w:t>Cette somme, qui couvrira le préjudice moral ainsi que les frais et dépens, sera payée dans les trois mois suivant la date de notification de la décision de la Cour rendue conformément à l</w:t>
      </w:r>
      <w:r w:rsidRPr="00CB791A" w:rsidR="00CB791A">
        <w:t>’</w:t>
      </w:r>
      <w:r w:rsidRPr="00CB791A">
        <w:t>article 37 § 1</w:t>
      </w:r>
      <w:r w:rsidRPr="00CB791A">
        <w:rPr>
          <w:vertAlign w:val="superscript"/>
        </w:rPr>
        <w:t>er</w:t>
      </w:r>
      <w:r w:rsidRPr="00CB791A">
        <w:t xml:space="preserve"> (c) de la Convention.</w:t>
      </w:r>
    </w:p>
    <w:p w:rsidRPr="00CB791A" w:rsidR="00B34B1B" w:rsidP="00CB791A" w:rsidRDefault="00B34B1B" w14:paraId="5C56912F" w14:textId="4868310C">
      <w:pPr>
        <w:pStyle w:val="JuQuot"/>
      </w:pPr>
      <w:r w:rsidRPr="00CB791A">
        <w:t>(...)</w:t>
      </w:r>
      <w:r w:rsidRPr="00CB791A" w:rsidR="001B5C19">
        <w:t> </w:t>
      </w:r>
      <w:r w:rsidRPr="00CB791A">
        <w:t>»</w:t>
      </w:r>
    </w:p>
    <w:p w:rsidRPr="00CB791A" w:rsidR="00B34B1B" w:rsidP="00CB791A" w:rsidRDefault="00B34B1B" w14:paraId="000C8D0C" w14:textId="0030F3AA">
      <w:pPr>
        <w:pStyle w:val="JuPara"/>
        <w:rPr>
          <w:color w:val="000000"/>
        </w:rPr>
      </w:pPr>
      <w:r w:rsidRPr="00CB791A">
        <w:rPr>
          <w:color w:val="000000"/>
        </w:rPr>
        <w:fldChar w:fldCharType="begin"/>
      </w:r>
      <w:r w:rsidRPr="00CB791A">
        <w:rPr>
          <w:color w:val="000000"/>
        </w:rPr>
        <w:instrText xml:space="preserve"> SEQ level0 \*arabic </w:instrText>
      </w:r>
      <w:r w:rsidRPr="00CB791A">
        <w:rPr>
          <w:color w:val="000000"/>
        </w:rPr>
        <w:fldChar w:fldCharType="separate"/>
      </w:r>
      <w:r w:rsidRPr="00CB791A" w:rsidR="00CB791A">
        <w:rPr>
          <w:noProof/>
          <w:color w:val="000000"/>
        </w:rPr>
        <w:t>16</w:t>
      </w:r>
      <w:r w:rsidRPr="00CB791A">
        <w:rPr>
          <w:color w:val="000000"/>
        </w:rPr>
        <w:fldChar w:fldCharType="end"/>
      </w:r>
      <w:r w:rsidRPr="00CB791A">
        <w:rPr>
          <w:color w:val="000000"/>
        </w:rPr>
        <w:t>.  Par des lettres des 6 octobre et 7 décembre 2017, les requérants indiquèrent qu</w:t>
      </w:r>
      <w:r w:rsidRPr="00CB791A" w:rsidR="00CB791A">
        <w:rPr>
          <w:color w:val="000000"/>
        </w:rPr>
        <w:t>’</w:t>
      </w:r>
      <w:r w:rsidRPr="00CB791A">
        <w:rPr>
          <w:color w:val="000000"/>
        </w:rPr>
        <w:t>ils n</w:t>
      </w:r>
      <w:r w:rsidRPr="00CB791A" w:rsidR="00CB791A">
        <w:rPr>
          <w:color w:val="000000"/>
        </w:rPr>
        <w:t>’</w:t>
      </w:r>
      <w:r w:rsidRPr="00CB791A">
        <w:rPr>
          <w:color w:val="000000"/>
        </w:rPr>
        <w:t>étaient pas satisfaits des termes de la déclaration unilatérale notamment au motif que l</w:t>
      </w:r>
      <w:r w:rsidRPr="00CB791A" w:rsidR="00CB791A">
        <w:rPr>
          <w:color w:val="000000"/>
        </w:rPr>
        <w:t>’</w:t>
      </w:r>
      <w:r w:rsidRPr="00CB791A">
        <w:rPr>
          <w:color w:val="000000"/>
        </w:rPr>
        <w:t>accord qui pourrait en être déduit quant à une « réparation amiable » était de nature à compromettre la recevabilité d</w:t>
      </w:r>
      <w:r w:rsidRPr="00CB791A" w:rsidR="00CB791A">
        <w:rPr>
          <w:color w:val="000000"/>
        </w:rPr>
        <w:t>’</w:t>
      </w:r>
      <w:r w:rsidRPr="00CB791A">
        <w:rPr>
          <w:color w:val="000000"/>
        </w:rPr>
        <w:t>éventuelles demandes en réouverture de la procédure pénale. Il était essentiel, pour eux, que ces demandes ne puissent leur être refusées au motif qu</w:t>
      </w:r>
      <w:r w:rsidRPr="00CB791A" w:rsidR="00CB791A">
        <w:rPr>
          <w:color w:val="000000"/>
        </w:rPr>
        <w:t>’</w:t>
      </w:r>
      <w:r w:rsidRPr="00CB791A">
        <w:rPr>
          <w:color w:val="000000"/>
        </w:rPr>
        <w:t>ils auraient accepté une réparation amiable par le biais d</w:t>
      </w:r>
      <w:r w:rsidRPr="00CB791A" w:rsidR="00CB791A">
        <w:rPr>
          <w:color w:val="000000"/>
        </w:rPr>
        <w:t>’</w:t>
      </w:r>
      <w:r w:rsidRPr="00CB791A">
        <w:rPr>
          <w:color w:val="000000"/>
        </w:rPr>
        <w:t>une déclaration unilatérale. Ils se référaient à cet égard à l</w:t>
      </w:r>
      <w:r w:rsidRPr="00CB791A" w:rsidR="00CB791A">
        <w:rPr>
          <w:color w:val="000000"/>
        </w:rPr>
        <w:t>’</w:t>
      </w:r>
      <w:r w:rsidRPr="00CB791A">
        <w:rPr>
          <w:color w:val="000000"/>
        </w:rPr>
        <w:t>article</w:t>
      </w:r>
      <w:r w:rsidRPr="00CB791A" w:rsidR="001B5C19">
        <w:rPr>
          <w:color w:val="000000"/>
        </w:rPr>
        <w:t> </w:t>
      </w:r>
      <w:r w:rsidRPr="00CB791A">
        <w:rPr>
          <w:color w:val="000000"/>
        </w:rPr>
        <w:t>442</w:t>
      </w:r>
      <w:r w:rsidRPr="00CB791A">
        <w:rPr>
          <w:i/>
          <w:color w:val="000000"/>
        </w:rPr>
        <w:t>bis</w:t>
      </w:r>
      <w:r w:rsidRPr="00CB791A">
        <w:rPr>
          <w:color w:val="000000"/>
        </w:rPr>
        <w:t xml:space="preserve"> du CIC (paragraphe </w:t>
      </w:r>
      <w:r w:rsidRPr="00CB791A">
        <w:rPr>
          <w:color w:val="000000"/>
        </w:rPr>
        <w:fldChar w:fldCharType="begin"/>
      </w:r>
      <w:r w:rsidRPr="00CB791A">
        <w:rPr>
          <w:color w:val="000000"/>
        </w:rPr>
        <w:instrText xml:space="preserve"> REF DroitInterne442 \h  \* MERGEFORMAT </w:instrText>
      </w:r>
      <w:r w:rsidRPr="00CB791A">
        <w:rPr>
          <w:color w:val="000000"/>
        </w:rPr>
      </w:r>
      <w:r w:rsidRPr="00CB791A">
        <w:rPr>
          <w:color w:val="000000"/>
        </w:rPr>
        <w:fldChar w:fldCharType="separate"/>
      </w:r>
      <w:r w:rsidRPr="00CB791A" w:rsidR="00CB791A">
        <w:rPr>
          <w:rFonts w:eastAsiaTheme="minorEastAsia"/>
        </w:rPr>
        <w:t>37</w:t>
      </w:r>
      <w:r w:rsidRPr="00CB791A">
        <w:rPr>
          <w:color w:val="000000"/>
        </w:rPr>
        <w:fldChar w:fldCharType="end"/>
      </w:r>
      <w:r w:rsidRPr="00CB791A">
        <w:rPr>
          <w:color w:val="000000"/>
        </w:rPr>
        <w:t xml:space="preserve"> ci-dessous).</w:t>
      </w:r>
    </w:p>
    <w:p w:rsidRPr="00CB791A" w:rsidR="00B34B1B" w:rsidP="00CB791A" w:rsidRDefault="00B34B1B" w14:paraId="7C8BB815" w14:textId="7B6EA4E6">
      <w:pPr>
        <w:pStyle w:val="JuPara"/>
        <w:rPr>
          <w:color w:val="000000"/>
        </w:rPr>
      </w:pPr>
      <w:r w:rsidRPr="00CB791A">
        <w:rPr>
          <w:color w:val="000000"/>
        </w:rPr>
        <w:fldChar w:fldCharType="begin"/>
      </w:r>
      <w:r w:rsidRPr="00CB791A">
        <w:rPr>
          <w:color w:val="000000"/>
        </w:rPr>
        <w:instrText xml:space="preserve"> SEQ level0 \*arabic </w:instrText>
      </w:r>
      <w:r w:rsidRPr="00CB791A">
        <w:rPr>
          <w:color w:val="000000"/>
        </w:rPr>
        <w:fldChar w:fldCharType="separate"/>
      </w:r>
      <w:r w:rsidRPr="00CB791A" w:rsidR="00CB791A">
        <w:rPr>
          <w:noProof/>
          <w:color w:val="000000"/>
        </w:rPr>
        <w:t>17</w:t>
      </w:r>
      <w:r w:rsidRPr="00CB791A">
        <w:rPr>
          <w:color w:val="000000"/>
        </w:rPr>
        <w:fldChar w:fldCharType="end"/>
      </w:r>
      <w:r w:rsidRPr="00CB791A">
        <w:rPr>
          <w:color w:val="000000"/>
        </w:rPr>
        <w:t>.  Invité à soumettre des informations sur l</w:t>
      </w:r>
      <w:r w:rsidRPr="00CB791A" w:rsidR="00CB791A">
        <w:rPr>
          <w:color w:val="000000"/>
        </w:rPr>
        <w:t>’</w:t>
      </w:r>
      <w:r w:rsidRPr="00CB791A">
        <w:rPr>
          <w:color w:val="000000"/>
        </w:rPr>
        <w:t>incidence d</w:t>
      </w:r>
      <w:r w:rsidRPr="00CB791A" w:rsidR="00CB791A">
        <w:rPr>
          <w:color w:val="000000"/>
        </w:rPr>
        <w:t>’</w:t>
      </w:r>
      <w:r w:rsidRPr="00CB791A">
        <w:rPr>
          <w:color w:val="000000"/>
        </w:rPr>
        <w:t>une déclaration unilatérale quant à la possibilité d</w:t>
      </w:r>
      <w:r w:rsidRPr="00CB791A" w:rsidR="00CB791A">
        <w:rPr>
          <w:color w:val="000000"/>
        </w:rPr>
        <w:t>’</w:t>
      </w:r>
      <w:r w:rsidRPr="00CB791A">
        <w:rPr>
          <w:color w:val="000000"/>
        </w:rPr>
        <w:t>obtenir la réouverture d</w:t>
      </w:r>
      <w:r w:rsidRPr="00CB791A" w:rsidR="00CB791A">
        <w:rPr>
          <w:color w:val="000000"/>
        </w:rPr>
        <w:t>’</w:t>
      </w:r>
      <w:r w:rsidRPr="00CB791A">
        <w:rPr>
          <w:color w:val="000000"/>
        </w:rPr>
        <w:t>une procédure judiciaire, le Gouvernement indiqua, par une lettre du 30</w:t>
      </w:r>
      <w:r w:rsidRPr="00CB791A" w:rsidR="001B5C19">
        <w:rPr>
          <w:color w:val="000000"/>
        </w:rPr>
        <w:t> </w:t>
      </w:r>
      <w:r w:rsidRPr="00CB791A">
        <w:rPr>
          <w:color w:val="000000"/>
        </w:rPr>
        <w:t>octobre 2017 :</w:t>
      </w:r>
    </w:p>
    <w:p w:rsidRPr="00CB791A" w:rsidR="00B34B1B" w:rsidP="00CB791A" w:rsidRDefault="00B34B1B" w14:paraId="1721FCB6" w14:textId="78BD88FC">
      <w:pPr>
        <w:pStyle w:val="JuQuot"/>
      </w:pPr>
      <w:r w:rsidRPr="00CB791A">
        <w:t>«</w:t>
      </w:r>
      <w:r w:rsidRPr="00CB791A" w:rsidR="001B5C19">
        <w:t> </w:t>
      </w:r>
      <w:r w:rsidRPr="00CB791A">
        <w:t>(...) [L]a réouverture d</w:t>
      </w:r>
      <w:r w:rsidRPr="00CB791A" w:rsidR="00CB791A">
        <w:t>’</w:t>
      </w:r>
      <w:r w:rsidRPr="00CB791A">
        <w:t>une procédure pénale est recevable sur la base du règlement amiable comme de la déclaration unilatérale lorsque la violation de la Convention crée un doute sérieux sur le résultat de la procédure. (...)</w:t>
      </w:r>
    </w:p>
    <w:p w:rsidRPr="00CB791A" w:rsidR="00B34B1B" w:rsidP="00CB791A" w:rsidRDefault="00B34B1B" w14:paraId="0DE895C8" w14:textId="3DF165CF">
      <w:pPr>
        <w:pStyle w:val="JuQuot"/>
      </w:pPr>
      <w:r w:rsidRPr="00CB791A">
        <w:t>La modification introduite à l</w:t>
      </w:r>
      <w:r w:rsidRPr="00CB791A" w:rsidR="00CB791A">
        <w:t>’</w:t>
      </w:r>
      <w:r w:rsidRPr="00CB791A">
        <w:t>article 442</w:t>
      </w:r>
      <w:r w:rsidRPr="00CB791A">
        <w:rPr>
          <w:i/>
        </w:rPr>
        <w:t>bis</w:t>
      </w:r>
      <w:r w:rsidRPr="00CB791A">
        <w:t xml:space="preserve"> par la loi du 5 février 2016 ne vise pas à ce que tout règlement amiable ou déclaration unilatérale puisse exclure le requérant des droits que le droit interne met à sa disposition. Une exclusion ne doit pouvoir être décidée par la Cour de cassation que si la transgression a un caractère purement formel. Dans sa version antérieure, l</w:t>
      </w:r>
      <w:r w:rsidRPr="00CB791A" w:rsidR="00CB791A">
        <w:t>’</w:t>
      </w:r>
      <w:r w:rsidRPr="00CB791A">
        <w:t>article 442</w:t>
      </w:r>
      <w:r w:rsidRPr="00CB791A">
        <w:rPr>
          <w:i/>
        </w:rPr>
        <w:t>quinquies</w:t>
      </w:r>
      <w:r w:rsidRPr="00CB791A">
        <w:t xml:space="preserve"> du code d</w:t>
      </w:r>
      <w:r w:rsidRPr="00CB791A" w:rsidR="00CB791A">
        <w:t>’</w:t>
      </w:r>
      <w:r w:rsidRPr="00CB791A">
        <w:t>instruction criminelle donnait d</w:t>
      </w:r>
      <w:r w:rsidRPr="00CB791A" w:rsidR="00CB791A">
        <w:t>’</w:t>
      </w:r>
      <w:r w:rsidRPr="00CB791A">
        <w:t>ailleurs déjà à la Cour de cassation le pouvoir de faire cette vérification puisqu</w:t>
      </w:r>
      <w:r w:rsidRPr="00CB791A" w:rsidR="00CB791A">
        <w:t>’</w:t>
      </w:r>
      <w:r w:rsidRPr="00CB791A">
        <w:t>il était dit qu</w:t>
      </w:r>
      <w:r w:rsidRPr="00CB791A" w:rsidR="00CB791A">
        <w:t>’</w:t>
      </w:r>
      <w:r w:rsidRPr="00CB791A">
        <w:t>elle examine l</w:t>
      </w:r>
      <w:r w:rsidRPr="00CB791A" w:rsidR="00CB791A">
        <w:t>’</w:t>
      </w:r>
      <w:r w:rsidRPr="00CB791A">
        <w:t>incidence, sur la fiabilité de la condamnation, des errements de la procédure. Les termes du dernier alinéa de l</w:t>
      </w:r>
      <w:r w:rsidRPr="00CB791A" w:rsidR="00CB791A">
        <w:t>’</w:t>
      </w:r>
      <w:r w:rsidRPr="00CB791A">
        <w:t>article</w:t>
      </w:r>
      <w:r w:rsidRPr="00CB791A" w:rsidR="00CB791A">
        <w:t> </w:t>
      </w:r>
      <w:r w:rsidRPr="00CB791A">
        <w:t>442</w:t>
      </w:r>
      <w:r w:rsidRPr="00CB791A">
        <w:rPr>
          <w:i/>
        </w:rPr>
        <w:t xml:space="preserve">bis </w:t>
      </w:r>
      <w:r w:rsidRPr="00CB791A">
        <w:t>modifié visent à mettre le pouvoir judiciaire à l</w:t>
      </w:r>
      <w:r w:rsidRPr="00CB791A" w:rsidR="00CB791A">
        <w:t>’</w:t>
      </w:r>
      <w:r w:rsidRPr="00CB791A">
        <w:t>abri d</w:t>
      </w:r>
      <w:r w:rsidRPr="00CB791A" w:rsidR="00CB791A">
        <w:t>’</w:t>
      </w:r>
      <w:r w:rsidRPr="00CB791A">
        <w:t>une volteface du condamné qui voudrait obtenir un nouveau procès après y avoir renoncé, tout en ayant déjà été indemnisé pour un dommage non substantiel.</w:t>
      </w:r>
    </w:p>
    <w:p w:rsidRPr="00CB791A" w:rsidR="00B34B1B" w:rsidP="00CB791A" w:rsidRDefault="00B34B1B" w14:paraId="2EC6CDF5" w14:textId="34006C7C">
      <w:pPr>
        <w:pStyle w:val="JuQuot"/>
      </w:pPr>
      <w:r w:rsidRPr="00CB791A">
        <w:t>L</w:t>
      </w:r>
      <w:r w:rsidRPr="00CB791A" w:rsidR="00CB791A">
        <w:t>’</w:t>
      </w:r>
      <w:r w:rsidRPr="00CB791A">
        <w:t>accord qui serait exprimé par les requérants quant à une réparation amiable ou la déclaration unilatérale ne sont dès lors pas de nature à compromettre la recevabilité de demandes en réouverture de la procédure pénale.</w:t>
      </w:r>
      <w:r w:rsidRPr="00CB791A" w:rsidR="001B5C19">
        <w:t> </w:t>
      </w:r>
      <w:r w:rsidRPr="00CB791A">
        <w:t>»</w:t>
      </w:r>
    </w:p>
    <w:p w:rsidRPr="00CB791A" w:rsidR="00B34B1B" w:rsidP="00CB791A" w:rsidRDefault="00B34B1B" w14:paraId="1BD8019A" w14:textId="6634168E">
      <w:pPr>
        <w:pStyle w:val="JuPara"/>
        <w:rPr>
          <w:color w:val="000000"/>
        </w:rPr>
      </w:pPr>
      <w:r w:rsidRPr="00CB791A">
        <w:rPr>
          <w:color w:val="000000"/>
        </w:rPr>
        <w:fldChar w:fldCharType="begin"/>
      </w:r>
      <w:r w:rsidRPr="00CB791A">
        <w:rPr>
          <w:color w:val="000000"/>
        </w:rPr>
        <w:instrText xml:space="preserve"> SEQ level0 \*arabic </w:instrText>
      </w:r>
      <w:r w:rsidRPr="00CB791A">
        <w:rPr>
          <w:color w:val="000000"/>
        </w:rPr>
        <w:fldChar w:fldCharType="separate"/>
      </w:r>
      <w:r w:rsidRPr="00CB791A" w:rsidR="00CB791A">
        <w:rPr>
          <w:noProof/>
          <w:color w:val="000000"/>
        </w:rPr>
        <w:t>18</w:t>
      </w:r>
      <w:r w:rsidRPr="00CB791A">
        <w:rPr>
          <w:color w:val="000000"/>
        </w:rPr>
        <w:fldChar w:fldCharType="end"/>
      </w:r>
      <w:r w:rsidRPr="00CB791A">
        <w:rPr>
          <w:color w:val="000000"/>
        </w:rPr>
        <w:t>.  Par une lettre du 18 décembre 2017, le Gouvernement précisa encore que :</w:t>
      </w:r>
    </w:p>
    <w:p w:rsidRPr="00CB791A" w:rsidR="00B34B1B" w:rsidP="00CB791A" w:rsidRDefault="00B34B1B" w14:paraId="48C2435E" w14:textId="79A817C0">
      <w:pPr>
        <w:pStyle w:val="JuQuot"/>
      </w:pPr>
      <w:r w:rsidRPr="00CB791A">
        <w:t>«</w:t>
      </w:r>
      <w:r w:rsidRPr="00CB791A" w:rsidR="001B5C19">
        <w:t> </w:t>
      </w:r>
      <w:r w:rsidRPr="00CB791A">
        <w:t>(...) c</w:t>
      </w:r>
      <w:r w:rsidRPr="00CB791A" w:rsidR="00CB791A">
        <w:t>’</w:t>
      </w:r>
      <w:r w:rsidRPr="00CB791A">
        <w:t>est la Cour de cassation elle-même – compétente pour l</w:t>
      </w:r>
      <w:r w:rsidRPr="00CB791A" w:rsidR="00CB791A">
        <w:t>’</w:t>
      </w:r>
      <w:r w:rsidRPr="00CB791A">
        <w:t>examen de la recevabilité de toute requête en réouverture – qui précise qu</w:t>
      </w:r>
      <w:r w:rsidRPr="00CB791A" w:rsidR="00CB791A">
        <w:t>’</w:t>
      </w:r>
      <w:r w:rsidRPr="00CB791A">
        <w:t>un accord des requérants quant à une réparation amiable ou une déclaration unilatérale ne serait pas de nature à compromettre la recevabilité de demandes en réouverture de la procédure pénale.</w:t>
      </w:r>
      <w:r w:rsidRPr="00CB791A" w:rsidR="001B5C19">
        <w:t> </w:t>
      </w:r>
      <w:r w:rsidRPr="00CB791A">
        <w:t>»</w:t>
      </w:r>
    </w:p>
    <w:bookmarkStart w:name="FaitsDec13032018RadiationStart" w:id="8"/>
    <w:p w:rsidRPr="00CB791A" w:rsidR="00B34B1B" w:rsidP="00CB791A" w:rsidRDefault="00B34B1B" w14:paraId="5F9F3F7E" w14:textId="5FE8988B">
      <w:pPr>
        <w:pStyle w:val="JuPara"/>
        <w:rPr>
          <w:rFonts w:eastAsiaTheme="minorEastAsia"/>
          <w:szCs w:val="22"/>
        </w:rPr>
      </w:pPr>
      <w:r w:rsidRPr="00CB791A">
        <w:fldChar w:fldCharType="begin"/>
      </w:r>
      <w:r w:rsidRPr="00CB791A">
        <w:instrText xml:space="preserve"> SEQ level0 \*arabic </w:instrText>
      </w:r>
      <w:r w:rsidRPr="00CB791A">
        <w:fldChar w:fldCharType="separate"/>
      </w:r>
      <w:r w:rsidRPr="00CB791A" w:rsidR="00CB791A">
        <w:rPr>
          <w:noProof/>
        </w:rPr>
        <w:t>19</w:t>
      </w:r>
      <w:r w:rsidRPr="00CB791A">
        <w:fldChar w:fldCharType="end"/>
      </w:r>
      <w:bookmarkEnd w:id="8"/>
      <w:r w:rsidRPr="00CB791A">
        <w:t>.  </w:t>
      </w:r>
      <w:r w:rsidRPr="00CB791A">
        <w:rPr>
          <w:rFonts w:eastAsiaTheme="minorEastAsia"/>
          <w:szCs w:val="22"/>
        </w:rPr>
        <w:t xml:space="preserve">Par une décision adoptée le 13 mars 2018 par un comité de la Cour, les requêtes </w:t>
      </w:r>
      <w:r w:rsidRPr="00CB791A">
        <w:t>n</w:t>
      </w:r>
      <w:r w:rsidRPr="00CB791A">
        <w:rPr>
          <w:vertAlign w:val="superscript"/>
        </w:rPr>
        <w:t>os</w:t>
      </w:r>
      <w:r w:rsidRPr="00CB791A">
        <w:t xml:space="preserve"> 74209/16, et </w:t>
      </w:r>
      <w:r w:rsidRPr="00CB791A">
        <w:rPr>
          <w:color w:val="000000"/>
        </w:rPr>
        <w:t xml:space="preserve">75662/16 furent </w:t>
      </w:r>
      <w:r w:rsidRPr="00CB791A">
        <w:rPr>
          <w:rFonts w:eastAsiaTheme="minorEastAsia"/>
          <w:szCs w:val="22"/>
        </w:rPr>
        <w:t>jointes et les affaires furent rayées du rôle, la Cour ayant pris acte de la déclaration unilatérale formulée par le Gouvernement belge.</w:t>
      </w:r>
    </w:p>
    <w:bookmarkStart w:name="FaitsDec13032018RadiationBis" w:id="9"/>
    <w:p w:rsidRPr="00CB791A" w:rsidR="00B34B1B" w:rsidP="00CB791A" w:rsidRDefault="00B34B1B" w14:paraId="7B53B683" w14:textId="554F58FB">
      <w:pPr>
        <w:pStyle w:val="JuPara"/>
        <w:rPr>
          <w:rFonts w:eastAsiaTheme="minorEastAsia"/>
          <w:szCs w:val="22"/>
        </w:rPr>
      </w:pPr>
      <w:r w:rsidRPr="00CB791A">
        <w:fldChar w:fldCharType="begin"/>
      </w:r>
      <w:r w:rsidRPr="00CB791A">
        <w:instrText xml:space="preserve"> SEQ level0 \*arabic </w:instrText>
      </w:r>
      <w:r w:rsidRPr="00CB791A">
        <w:fldChar w:fldCharType="separate"/>
      </w:r>
      <w:r w:rsidRPr="00CB791A" w:rsidR="00CB791A">
        <w:rPr>
          <w:noProof/>
        </w:rPr>
        <w:t>20</w:t>
      </w:r>
      <w:r w:rsidRPr="00CB791A">
        <w:fldChar w:fldCharType="end"/>
      </w:r>
      <w:bookmarkEnd w:id="9"/>
      <w:r w:rsidRPr="00CB791A">
        <w:t>.  </w:t>
      </w:r>
      <w:r w:rsidRPr="00CB791A">
        <w:rPr>
          <w:rFonts w:eastAsiaTheme="minorEastAsia"/>
          <w:szCs w:val="22"/>
        </w:rPr>
        <w:t>En ce qui concerne le désaccord des parties quant à l</w:t>
      </w:r>
      <w:r w:rsidRPr="00CB791A" w:rsidR="00CB791A">
        <w:rPr>
          <w:rFonts w:eastAsiaTheme="minorEastAsia"/>
          <w:szCs w:val="22"/>
        </w:rPr>
        <w:t>’</w:t>
      </w:r>
      <w:r w:rsidRPr="00CB791A">
        <w:rPr>
          <w:rFonts w:eastAsiaTheme="minorEastAsia"/>
          <w:szCs w:val="22"/>
        </w:rPr>
        <w:t>interprétation de l</w:t>
      </w:r>
      <w:r w:rsidRPr="00CB791A" w:rsidR="00CB791A">
        <w:rPr>
          <w:rFonts w:eastAsiaTheme="minorEastAsia"/>
          <w:szCs w:val="22"/>
        </w:rPr>
        <w:t>’</w:t>
      </w:r>
      <w:r w:rsidRPr="00CB791A">
        <w:rPr>
          <w:rFonts w:eastAsiaTheme="minorEastAsia"/>
          <w:szCs w:val="22"/>
        </w:rPr>
        <w:t>article 442</w:t>
      </w:r>
      <w:r w:rsidRPr="00CB791A">
        <w:rPr>
          <w:rFonts w:eastAsiaTheme="minorEastAsia"/>
          <w:i/>
          <w:szCs w:val="22"/>
        </w:rPr>
        <w:t>bis</w:t>
      </w:r>
      <w:r w:rsidRPr="00CB791A">
        <w:rPr>
          <w:rFonts w:eastAsiaTheme="minorEastAsia"/>
          <w:szCs w:val="22"/>
        </w:rPr>
        <w:t xml:space="preserve"> du CIC, la Cour s</w:t>
      </w:r>
      <w:r w:rsidRPr="00CB791A" w:rsidR="00CB791A">
        <w:rPr>
          <w:rFonts w:eastAsiaTheme="minorEastAsia"/>
          <w:szCs w:val="22"/>
        </w:rPr>
        <w:t>’</w:t>
      </w:r>
      <w:r w:rsidRPr="00CB791A">
        <w:rPr>
          <w:rFonts w:eastAsiaTheme="minorEastAsia"/>
          <w:szCs w:val="22"/>
        </w:rPr>
        <w:t>exprima en ces termes :</w:t>
      </w:r>
    </w:p>
    <w:p w:rsidRPr="00CB791A" w:rsidR="00B34B1B" w:rsidP="00CB791A" w:rsidRDefault="00B34B1B" w14:paraId="558DB573" w14:textId="4A72346A">
      <w:pPr>
        <w:pStyle w:val="JuQuot"/>
        <w:rPr>
          <w:rFonts w:eastAsiaTheme="minorEastAsia"/>
        </w:rPr>
      </w:pPr>
      <w:r w:rsidRPr="00CB791A">
        <w:rPr>
          <w:rFonts w:eastAsiaTheme="minorEastAsia"/>
        </w:rPr>
        <w:t>« 18.</w:t>
      </w:r>
      <w:r w:rsidRPr="00CB791A" w:rsidR="001B5C19">
        <w:rPr>
          <w:rFonts w:eastAsiaTheme="minorEastAsia"/>
        </w:rPr>
        <w:t>  </w:t>
      </w:r>
      <w:r w:rsidRPr="00CB791A">
        <w:rPr>
          <w:rFonts w:eastAsiaTheme="minorEastAsia"/>
        </w:rPr>
        <w:t>À ce sujet, la Cour rappelle d</w:t>
      </w:r>
      <w:r w:rsidRPr="00CB791A" w:rsidR="00CB791A">
        <w:rPr>
          <w:rFonts w:eastAsiaTheme="minorEastAsia"/>
        </w:rPr>
        <w:t>’</w:t>
      </w:r>
      <w:r w:rsidRPr="00CB791A">
        <w:rPr>
          <w:rFonts w:eastAsiaTheme="minorEastAsia"/>
        </w:rPr>
        <w:t>abord qu</w:t>
      </w:r>
      <w:r w:rsidRPr="00CB791A" w:rsidR="00CB791A">
        <w:rPr>
          <w:rFonts w:eastAsiaTheme="minorEastAsia"/>
        </w:rPr>
        <w:t>’</w:t>
      </w:r>
      <w:r w:rsidRPr="00CB791A">
        <w:rPr>
          <w:rFonts w:eastAsiaTheme="minorEastAsia"/>
        </w:rPr>
        <w:t>elle a déjà considéré que la réouverture de la procédure devant les juridictions nationales est le moyen le plus approprié, sinon le seul, d</w:t>
      </w:r>
      <w:r w:rsidRPr="00CB791A" w:rsidR="00CB791A">
        <w:rPr>
          <w:rFonts w:eastAsiaTheme="minorEastAsia"/>
        </w:rPr>
        <w:t>’</w:t>
      </w:r>
      <w:r w:rsidRPr="00CB791A">
        <w:rPr>
          <w:rFonts w:eastAsiaTheme="minorEastAsia"/>
        </w:rPr>
        <w:t xml:space="preserve">assurer la </w:t>
      </w:r>
      <w:proofErr w:type="spellStart"/>
      <w:r w:rsidRPr="00CB791A">
        <w:rPr>
          <w:rFonts w:eastAsiaTheme="minorEastAsia"/>
          <w:i/>
        </w:rPr>
        <w:t>restitutio</w:t>
      </w:r>
      <w:proofErr w:type="spellEnd"/>
      <w:r w:rsidRPr="00CB791A">
        <w:rPr>
          <w:rFonts w:eastAsiaTheme="minorEastAsia"/>
          <w:i/>
        </w:rPr>
        <w:t xml:space="preserve"> in integrum</w:t>
      </w:r>
      <w:r w:rsidRPr="00CB791A">
        <w:rPr>
          <w:rFonts w:eastAsiaTheme="minorEastAsia"/>
        </w:rPr>
        <w:t xml:space="preserve"> et de redresser les violations du droit à un procès équitable (voir, par exemple, </w:t>
      </w:r>
      <w:proofErr w:type="spellStart"/>
      <w:r w:rsidRPr="00CB791A">
        <w:rPr>
          <w:rFonts w:eastAsiaTheme="minorEastAsia"/>
          <w:i/>
        </w:rPr>
        <w:t>Sejdovic</w:t>
      </w:r>
      <w:proofErr w:type="spellEnd"/>
      <w:r w:rsidRPr="00CB791A">
        <w:rPr>
          <w:rFonts w:eastAsiaTheme="minorEastAsia"/>
          <w:i/>
        </w:rPr>
        <w:t xml:space="preserve"> c. Italie</w:t>
      </w:r>
      <w:r w:rsidRPr="00CB791A">
        <w:rPr>
          <w:rFonts w:eastAsiaTheme="minorEastAsia"/>
        </w:rPr>
        <w:t xml:space="preserve"> [GC], n</w:t>
      </w:r>
      <w:r w:rsidRPr="00CB791A">
        <w:rPr>
          <w:rFonts w:eastAsiaTheme="minorEastAsia"/>
          <w:vertAlign w:val="superscript"/>
        </w:rPr>
        <w:t>o</w:t>
      </w:r>
      <w:r w:rsidRPr="00CB791A" w:rsidR="009A171A">
        <w:rPr>
          <w:rFonts w:eastAsiaTheme="minorEastAsia"/>
        </w:rPr>
        <w:t> </w:t>
      </w:r>
      <w:r w:rsidRPr="00CB791A">
        <w:rPr>
          <w:rFonts w:eastAsiaTheme="minorEastAsia"/>
        </w:rPr>
        <w:t>56581/00, § 126, CEDH 2006</w:t>
      </w:r>
      <w:r w:rsidRPr="00CB791A">
        <w:rPr>
          <w:rFonts w:ascii="Cambria Math" w:hAnsi="Cambria Math" w:cs="Cambria Math" w:eastAsiaTheme="minorEastAsia"/>
        </w:rPr>
        <w:t>-</w:t>
      </w:r>
      <w:r w:rsidRPr="00CB791A">
        <w:rPr>
          <w:rFonts w:eastAsiaTheme="minorEastAsia"/>
        </w:rPr>
        <w:t>II).</w:t>
      </w:r>
    </w:p>
    <w:p w:rsidRPr="00CB791A" w:rsidR="00B34B1B" w:rsidP="00CB791A" w:rsidRDefault="00B34B1B" w14:paraId="3876F257" w14:textId="7F3C515A">
      <w:pPr>
        <w:pStyle w:val="JuQuot"/>
        <w:rPr>
          <w:rFonts w:eastAsiaTheme="minorEastAsia"/>
        </w:rPr>
      </w:pPr>
      <w:r w:rsidRPr="00CB791A">
        <w:rPr>
          <w:rFonts w:eastAsiaTheme="minorEastAsia"/>
        </w:rPr>
        <w:t>19.</w:t>
      </w:r>
      <w:r w:rsidRPr="00CB791A" w:rsidR="001B5C19">
        <w:rPr>
          <w:rFonts w:eastAsiaTheme="minorEastAsia"/>
        </w:rPr>
        <w:t>  </w:t>
      </w:r>
      <w:r w:rsidRPr="00CB791A">
        <w:rPr>
          <w:rFonts w:eastAsiaTheme="minorEastAsia"/>
        </w:rPr>
        <w:t>En ce qui concerne la présente affaire, la Cour, observant que l</w:t>
      </w:r>
      <w:r w:rsidRPr="00CB791A" w:rsidR="00CB791A">
        <w:rPr>
          <w:rFonts w:eastAsiaTheme="minorEastAsia"/>
        </w:rPr>
        <w:t>’</w:t>
      </w:r>
      <w:r w:rsidRPr="00CB791A">
        <w:rPr>
          <w:rFonts w:eastAsiaTheme="minorEastAsia"/>
        </w:rPr>
        <w:t>appréciation de l</w:t>
      </w:r>
      <w:r w:rsidRPr="00CB791A" w:rsidR="00CB791A">
        <w:rPr>
          <w:rFonts w:eastAsiaTheme="minorEastAsia"/>
        </w:rPr>
        <w:t>’</w:t>
      </w:r>
      <w:r w:rsidRPr="00CB791A">
        <w:rPr>
          <w:rFonts w:eastAsiaTheme="minorEastAsia"/>
        </w:rPr>
        <w:t>octroi d</w:t>
      </w:r>
      <w:r w:rsidRPr="00CB791A" w:rsidR="00CB791A">
        <w:rPr>
          <w:rFonts w:eastAsiaTheme="minorEastAsia"/>
        </w:rPr>
        <w:t>’</w:t>
      </w:r>
      <w:r w:rsidRPr="00CB791A">
        <w:rPr>
          <w:rFonts w:eastAsiaTheme="minorEastAsia"/>
        </w:rPr>
        <w:t>une réouverture relève en tout état de cause du pouvoir de la Cour de cassation, estime qu</w:t>
      </w:r>
      <w:r w:rsidRPr="00CB791A" w:rsidR="00CB791A">
        <w:rPr>
          <w:rFonts w:eastAsiaTheme="minorEastAsia"/>
        </w:rPr>
        <w:t>’</w:t>
      </w:r>
      <w:r w:rsidRPr="00CB791A">
        <w:rPr>
          <w:rFonts w:eastAsiaTheme="minorEastAsia"/>
        </w:rPr>
        <w:t>il ne peut pas être déduit des termes de la déclaration unilatérale que ceux-ci ne satisfont par principe pas aux conditions de recevabilité prévues par l</w:t>
      </w:r>
      <w:r w:rsidRPr="00CB791A" w:rsidR="00CB791A">
        <w:rPr>
          <w:rFonts w:eastAsiaTheme="minorEastAsia"/>
        </w:rPr>
        <w:t>’</w:t>
      </w:r>
      <w:r w:rsidRPr="00CB791A">
        <w:rPr>
          <w:rFonts w:eastAsiaTheme="minorEastAsia"/>
        </w:rPr>
        <w:t>article 442</w:t>
      </w:r>
      <w:r w:rsidRPr="00CB791A">
        <w:rPr>
          <w:rFonts w:eastAsiaTheme="minorEastAsia"/>
          <w:i/>
        </w:rPr>
        <w:t>bis</w:t>
      </w:r>
      <w:r w:rsidRPr="00CB791A">
        <w:rPr>
          <w:rFonts w:eastAsiaTheme="minorEastAsia"/>
        </w:rPr>
        <w:t xml:space="preserve"> CIC, </w:t>
      </w:r>
      <w:r w:rsidRPr="00CB791A">
        <w:rPr>
          <w:rFonts w:eastAsiaTheme="minorEastAsia"/>
          <w:i/>
        </w:rPr>
        <w:t>in fine</w:t>
      </w:r>
      <w:r w:rsidRPr="00CB791A">
        <w:rPr>
          <w:rFonts w:eastAsiaTheme="minorEastAsia"/>
        </w:rPr>
        <w:t>, en cas de radiation de l</w:t>
      </w:r>
      <w:r w:rsidRPr="00CB791A" w:rsidR="00CB791A">
        <w:rPr>
          <w:rFonts w:eastAsiaTheme="minorEastAsia"/>
        </w:rPr>
        <w:t>’</w:t>
      </w:r>
      <w:r w:rsidRPr="00CB791A">
        <w:rPr>
          <w:rFonts w:eastAsiaTheme="minorEastAsia"/>
        </w:rPr>
        <w:t>affaire du rôle sur la base de ladite déclaration. Ainsi, les allégations des requérants ne peuvent être retenues par la Cour pour rejeter la déclaration unilatérale. »</w:t>
      </w:r>
    </w:p>
    <w:bookmarkStart w:name="FaitsDec13032018RadiationEnd" w:id="10"/>
    <w:bookmarkStart w:name="C" w:id="11"/>
    <w:p w:rsidRPr="00CB791A" w:rsidR="00B34B1B" w:rsidP="00CB791A" w:rsidRDefault="00B34B1B" w14:paraId="463BCD38" w14:textId="3EEBB9EE">
      <w:pPr>
        <w:pStyle w:val="JuPara"/>
        <w:rPr>
          <w:rFonts w:eastAsiaTheme="minorEastAsia"/>
          <w:szCs w:val="22"/>
        </w:rPr>
      </w:pPr>
      <w:r w:rsidRPr="00CB791A">
        <w:rPr>
          <w:rFonts w:eastAsiaTheme="minorEastAsia"/>
          <w:szCs w:val="22"/>
        </w:rPr>
        <w:fldChar w:fldCharType="begin"/>
      </w:r>
      <w:r w:rsidRPr="00CB791A">
        <w:rPr>
          <w:rFonts w:eastAsiaTheme="minorEastAsia"/>
          <w:szCs w:val="22"/>
        </w:rPr>
        <w:instrText xml:space="preserve"> SEQ level0 \*arabic </w:instrText>
      </w:r>
      <w:r w:rsidRPr="00CB791A">
        <w:rPr>
          <w:rFonts w:eastAsiaTheme="minorEastAsia"/>
          <w:szCs w:val="22"/>
        </w:rPr>
        <w:fldChar w:fldCharType="separate"/>
      </w:r>
      <w:r w:rsidRPr="00CB791A" w:rsidR="00CB791A">
        <w:rPr>
          <w:rFonts w:eastAsiaTheme="minorEastAsia"/>
          <w:noProof/>
          <w:szCs w:val="22"/>
        </w:rPr>
        <w:t>21</w:t>
      </w:r>
      <w:r w:rsidRPr="00CB791A">
        <w:rPr>
          <w:rFonts w:eastAsiaTheme="minorEastAsia"/>
          <w:szCs w:val="22"/>
        </w:rPr>
        <w:fldChar w:fldCharType="end"/>
      </w:r>
      <w:bookmarkEnd w:id="10"/>
      <w:bookmarkEnd w:id="11"/>
      <w:r w:rsidRPr="00CB791A">
        <w:rPr>
          <w:rFonts w:eastAsiaTheme="minorEastAsia"/>
          <w:szCs w:val="22"/>
        </w:rPr>
        <w:t>.  S</w:t>
      </w:r>
      <w:r w:rsidRPr="00CB791A" w:rsidR="00CB791A">
        <w:rPr>
          <w:rFonts w:eastAsiaTheme="minorEastAsia"/>
          <w:szCs w:val="22"/>
        </w:rPr>
        <w:t>’</w:t>
      </w:r>
      <w:r w:rsidRPr="00CB791A">
        <w:rPr>
          <w:rFonts w:eastAsiaTheme="minorEastAsia"/>
          <w:szCs w:val="22"/>
        </w:rPr>
        <w:t>agissant ensuite des griefs soulevés par les requérants, la Cour indiqua ce qui suit :</w:t>
      </w:r>
    </w:p>
    <w:p w:rsidRPr="00CB791A" w:rsidR="00B34B1B" w:rsidP="00CB791A" w:rsidRDefault="00B34B1B" w14:paraId="7F3CC078" w14:textId="0AC58E88">
      <w:pPr>
        <w:pStyle w:val="JuQuot"/>
        <w:rPr>
          <w:rFonts w:eastAsiaTheme="minorEastAsia"/>
        </w:rPr>
      </w:pPr>
      <w:r w:rsidRPr="00CB791A">
        <w:rPr>
          <w:rFonts w:eastAsiaTheme="minorEastAsia"/>
        </w:rPr>
        <w:t>« 20.</w:t>
      </w:r>
      <w:r w:rsidRPr="00CB791A" w:rsidR="001B5C19">
        <w:rPr>
          <w:rFonts w:eastAsiaTheme="minorEastAsia"/>
        </w:rPr>
        <w:t>  </w:t>
      </w:r>
      <w:r w:rsidRPr="00CB791A">
        <w:rPr>
          <w:rFonts w:eastAsiaTheme="minorEastAsia"/>
        </w:rPr>
        <w:t>La Cour a établi dans un certain nombre d</w:t>
      </w:r>
      <w:r w:rsidRPr="00CB791A" w:rsidR="00CB791A">
        <w:rPr>
          <w:rFonts w:eastAsiaTheme="minorEastAsia"/>
        </w:rPr>
        <w:t>’</w:t>
      </w:r>
      <w:r w:rsidRPr="00CB791A">
        <w:rPr>
          <w:rFonts w:eastAsiaTheme="minorEastAsia"/>
        </w:rPr>
        <w:t>affaires, dont celles dirigées contre la Belgique, sa pratique en ce qui concerne les griefs tirés de la violation du droit d</w:t>
      </w:r>
      <w:r w:rsidRPr="00CB791A" w:rsidR="00CB791A">
        <w:rPr>
          <w:rFonts w:eastAsiaTheme="minorEastAsia"/>
        </w:rPr>
        <w:t>’</w:t>
      </w:r>
      <w:r w:rsidRPr="00CB791A">
        <w:rPr>
          <w:rFonts w:eastAsiaTheme="minorEastAsia"/>
        </w:rPr>
        <w:t xml:space="preserve">accès à un tribunal (voir, récemment, </w:t>
      </w:r>
      <w:proofErr w:type="spellStart"/>
      <w:r w:rsidRPr="00CB791A">
        <w:rPr>
          <w:rFonts w:eastAsiaTheme="minorEastAsia"/>
          <w:i/>
        </w:rPr>
        <w:t>Miessen</w:t>
      </w:r>
      <w:proofErr w:type="spellEnd"/>
      <w:r w:rsidRPr="00CB791A">
        <w:rPr>
          <w:rFonts w:eastAsiaTheme="minorEastAsia"/>
          <w:i/>
        </w:rPr>
        <w:t xml:space="preserve"> c. Belgique</w:t>
      </w:r>
      <w:r w:rsidRPr="00CB791A">
        <w:rPr>
          <w:rFonts w:eastAsiaTheme="minorEastAsia"/>
        </w:rPr>
        <w:t>, n</w:t>
      </w:r>
      <w:r w:rsidRPr="00CB791A">
        <w:rPr>
          <w:rFonts w:eastAsiaTheme="minorEastAsia"/>
          <w:vertAlign w:val="superscript"/>
        </w:rPr>
        <w:t>o</w:t>
      </w:r>
      <w:r w:rsidRPr="00CB791A">
        <w:rPr>
          <w:rFonts w:eastAsiaTheme="minorEastAsia"/>
        </w:rPr>
        <w:t xml:space="preserve"> 31517/12, §§</w:t>
      </w:r>
      <w:r w:rsidRPr="00CB791A" w:rsidR="001B5C19">
        <w:rPr>
          <w:rFonts w:eastAsiaTheme="minorEastAsia"/>
        </w:rPr>
        <w:t> </w:t>
      </w:r>
      <w:r w:rsidRPr="00CB791A">
        <w:rPr>
          <w:rFonts w:eastAsiaTheme="minorEastAsia"/>
        </w:rPr>
        <w:t>63-66, 18</w:t>
      </w:r>
      <w:r w:rsidRPr="00CB791A" w:rsidR="001B5C19">
        <w:rPr>
          <w:rFonts w:eastAsiaTheme="minorEastAsia"/>
        </w:rPr>
        <w:t> </w:t>
      </w:r>
      <w:r w:rsidRPr="00CB791A">
        <w:rPr>
          <w:rFonts w:eastAsiaTheme="minorEastAsia"/>
        </w:rPr>
        <w:t>octobre 2016, et références citées).</w:t>
      </w:r>
    </w:p>
    <w:p w:rsidRPr="00CB791A" w:rsidR="00B34B1B" w:rsidP="00CB791A" w:rsidRDefault="00B34B1B" w14:paraId="58B0C7B5" w14:textId="26D8A890">
      <w:pPr>
        <w:pStyle w:val="JuQuot"/>
        <w:rPr>
          <w:rFonts w:eastAsiaTheme="minorEastAsia"/>
        </w:rPr>
      </w:pPr>
      <w:r w:rsidRPr="00CB791A">
        <w:rPr>
          <w:rFonts w:eastAsiaTheme="minorEastAsia"/>
        </w:rPr>
        <w:t>21.</w:t>
      </w:r>
      <w:r w:rsidRPr="00CB791A" w:rsidR="001B5C19">
        <w:rPr>
          <w:rFonts w:eastAsiaTheme="minorEastAsia"/>
        </w:rPr>
        <w:t>  </w:t>
      </w:r>
      <w:r w:rsidRPr="00CB791A">
        <w:rPr>
          <w:rFonts w:eastAsiaTheme="minorEastAsia"/>
        </w:rPr>
        <w:t>Eu égard à la nature des concessions que renferme la déclaration du Gouvernement, ainsi qu</w:t>
      </w:r>
      <w:r w:rsidRPr="00CB791A" w:rsidR="00CB791A">
        <w:rPr>
          <w:rFonts w:eastAsiaTheme="minorEastAsia"/>
        </w:rPr>
        <w:t>’</w:t>
      </w:r>
      <w:r w:rsidRPr="00CB791A">
        <w:rPr>
          <w:rFonts w:eastAsiaTheme="minorEastAsia"/>
        </w:rPr>
        <w:t>au montant de l</w:t>
      </w:r>
      <w:r w:rsidRPr="00CB791A" w:rsidR="00CB791A">
        <w:rPr>
          <w:rFonts w:eastAsiaTheme="minorEastAsia"/>
        </w:rPr>
        <w:t>’</w:t>
      </w:r>
      <w:r w:rsidRPr="00CB791A">
        <w:rPr>
          <w:rFonts w:eastAsiaTheme="minorEastAsia"/>
        </w:rPr>
        <w:t xml:space="preserve">indemnisation proposée – qui est conforme aux montants alloués dans des affaires comparables (voir, notamment, </w:t>
      </w:r>
      <w:proofErr w:type="spellStart"/>
      <w:r w:rsidRPr="00CB791A">
        <w:rPr>
          <w:rFonts w:eastAsiaTheme="minorEastAsia"/>
          <w:i/>
        </w:rPr>
        <w:t>Helft</w:t>
      </w:r>
      <w:proofErr w:type="spellEnd"/>
      <w:r w:rsidRPr="00CB791A">
        <w:rPr>
          <w:rFonts w:eastAsiaTheme="minorEastAsia"/>
          <w:i/>
        </w:rPr>
        <w:t xml:space="preserve"> c. Belgique </w:t>
      </w:r>
      <w:r w:rsidRPr="00CB791A">
        <w:rPr>
          <w:rFonts w:eastAsiaTheme="minorEastAsia"/>
        </w:rPr>
        <w:t>(déc.), n</w:t>
      </w:r>
      <w:r w:rsidRPr="00CB791A">
        <w:rPr>
          <w:rFonts w:eastAsiaTheme="minorEastAsia"/>
          <w:vertAlign w:val="superscript"/>
        </w:rPr>
        <w:t>o</w:t>
      </w:r>
      <w:r w:rsidRPr="00CB791A">
        <w:rPr>
          <w:rFonts w:eastAsiaTheme="minorEastAsia"/>
        </w:rPr>
        <w:t xml:space="preserve"> 788/08, 10 mai 2011) –, la Cour estime qu</w:t>
      </w:r>
      <w:r w:rsidRPr="00CB791A" w:rsidR="00CB791A">
        <w:rPr>
          <w:rFonts w:eastAsiaTheme="minorEastAsia"/>
        </w:rPr>
        <w:t>’</w:t>
      </w:r>
      <w:r w:rsidRPr="00CB791A">
        <w:rPr>
          <w:rFonts w:eastAsiaTheme="minorEastAsia"/>
        </w:rPr>
        <w:t>il ne se justifie plus de poursuivre l</w:t>
      </w:r>
      <w:r w:rsidRPr="00CB791A" w:rsidR="00CB791A">
        <w:rPr>
          <w:rFonts w:eastAsiaTheme="minorEastAsia"/>
        </w:rPr>
        <w:t>’</w:t>
      </w:r>
      <w:r w:rsidRPr="00CB791A">
        <w:rPr>
          <w:rFonts w:eastAsiaTheme="minorEastAsia"/>
        </w:rPr>
        <w:t>examen des requêtes (article 37 § 1 c)).</w:t>
      </w:r>
    </w:p>
    <w:p w:rsidRPr="00CB791A" w:rsidR="00B34B1B" w:rsidP="00CB791A" w:rsidRDefault="00B34B1B" w14:paraId="10EA5E5F" w14:textId="28043288">
      <w:pPr>
        <w:pStyle w:val="JuQuot"/>
        <w:rPr>
          <w:rFonts w:eastAsiaTheme="minorEastAsia"/>
        </w:rPr>
      </w:pPr>
      <w:r w:rsidRPr="00CB791A">
        <w:rPr>
          <w:rFonts w:eastAsiaTheme="minorEastAsia"/>
        </w:rPr>
        <w:t>22.</w:t>
      </w:r>
      <w:r w:rsidRPr="00CB791A" w:rsidR="001B5C19">
        <w:rPr>
          <w:rFonts w:eastAsiaTheme="minorEastAsia"/>
        </w:rPr>
        <w:t>  </w:t>
      </w:r>
      <w:r w:rsidRPr="00CB791A">
        <w:rPr>
          <w:rFonts w:eastAsiaTheme="minorEastAsia"/>
        </w:rPr>
        <w:t>En outre, à la lumière des considérations qui précèdent, et eu égard en particulier à sa jurisprudence claire et abondante relative au droit d</w:t>
      </w:r>
      <w:r w:rsidRPr="00CB791A" w:rsidR="00CB791A">
        <w:rPr>
          <w:rFonts w:eastAsiaTheme="minorEastAsia"/>
        </w:rPr>
        <w:t>’</w:t>
      </w:r>
      <w:r w:rsidRPr="00CB791A">
        <w:rPr>
          <w:rFonts w:eastAsiaTheme="minorEastAsia"/>
        </w:rPr>
        <w:t>accès à un tribunal (voir paragraphe 20, ci-dessus), la Cour estime que le respect des droits de l</w:t>
      </w:r>
      <w:r w:rsidRPr="00CB791A" w:rsidR="00CB791A">
        <w:rPr>
          <w:rFonts w:eastAsiaTheme="minorEastAsia"/>
        </w:rPr>
        <w:t>’</w:t>
      </w:r>
      <w:r w:rsidRPr="00CB791A">
        <w:rPr>
          <w:rFonts w:eastAsiaTheme="minorEastAsia"/>
        </w:rPr>
        <w:t>homme garantis par la Convention et ses Protocoles n</w:t>
      </w:r>
      <w:r w:rsidRPr="00CB791A" w:rsidR="00CB791A">
        <w:rPr>
          <w:rFonts w:eastAsiaTheme="minorEastAsia"/>
        </w:rPr>
        <w:t>’</w:t>
      </w:r>
      <w:r w:rsidRPr="00CB791A">
        <w:rPr>
          <w:rFonts w:eastAsiaTheme="minorEastAsia"/>
        </w:rPr>
        <w:t>exige pas qu</w:t>
      </w:r>
      <w:r w:rsidRPr="00CB791A" w:rsidR="00CB791A">
        <w:rPr>
          <w:rFonts w:eastAsiaTheme="minorEastAsia"/>
        </w:rPr>
        <w:t>’</w:t>
      </w:r>
      <w:r w:rsidRPr="00CB791A">
        <w:rPr>
          <w:rFonts w:eastAsiaTheme="minorEastAsia"/>
        </w:rPr>
        <w:t>elle poursuive l</w:t>
      </w:r>
      <w:r w:rsidRPr="00CB791A" w:rsidR="00CB791A">
        <w:rPr>
          <w:rFonts w:eastAsiaTheme="minorEastAsia"/>
        </w:rPr>
        <w:t>’</w:t>
      </w:r>
      <w:r w:rsidRPr="00CB791A">
        <w:rPr>
          <w:rFonts w:eastAsiaTheme="minorEastAsia"/>
        </w:rPr>
        <w:t xml:space="preserve">examen des requêtes (article 37 § 1 </w:t>
      </w:r>
      <w:r w:rsidRPr="00CB791A">
        <w:rPr>
          <w:rFonts w:eastAsiaTheme="minorEastAsia"/>
          <w:i/>
        </w:rPr>
        <w:t>in fine</w:t>
      </w:r>
      <w:r w:rsidRPr="00CB791A">
        <w:rPr>
          <w:rFonts w:eastAsiaTheme="minorEastAsia"/>
        </w:rPr>
        <w:t>).</w:t>
      </w:r>
    </w:p>
    <w:p w:rsidRPr="00CB791A" w:rsidR="00B34B1B" w:rsidP="00CB791A" w:rsidRDefault="00B34B1B" w14:paraId="0A332068" w14:textId="77777777">
      <w:pPr>
        <w:pStyle w:val="JuQuot"/>
        <w:rPr>
          <w:rFonts w:eastAsiaTheme="minorEastAsia"/>
        </w:rPr>
      </w:pPr>
      <w:r w:rsidRPr="00CB791A">
        <w:rPr>
          <w:rFonts w:eastAsiaTheme="minorEastAsia"/>
        </w:rPr>
        <w:t>(...)</w:t>
      </w:r>
    </w:p>
    <w:p w:rsidRPr="00CB791A" w:rsidR="00B34B1B" w:rsidP="00CB791A" w:rsidRDefault="00B34B1B" w14:paraId="666EEA9B" w14:textId="35B8A3BA">
      <w:pPr>
        <w:pStyle w:val="JuQuot"/>
        <w:rPr>
          <w:rFonts w:eastAsiaTheme="minorEastAsia"/>
        </w:rPr>
      </w:pPr>
      <w:r w:rsidRPr="00CB791A">
        <w:rPr>
          <w:rFonts w:eastAsiaTheme="minorEastAsia"/>
        </w:rPr>
        <w:t>24.</w:t>
      </w:r>
      <w:r w:rsidRPr="00CB791A" w:rsidR="001B5C19">
        <w:rPr>
          <w:rFonts w:eastAsiaTheme="minorEastAsia"/>
        </w:rPr>
        <w:t>  </w:t>
      </w:r>
      <w:r w:rsidRPr="00CB791A">
        <w:rPr>
          <w:rFonts w:eastAsiaTheme="minorEastAsia"/>
        </w:rPr>
        <w:t>Enfin, la Cour souligne que, dans le cas où le Gouvernement ne respecterait pas les termes de sa déclaration unilatérale, les requêtes pourraient être réinscrites au rôle en vertu de l</w:t>
      </w:r>
      <w:r w:rsidRPr="00CB791A" w:rsidR="00CB791A">
        <w:rPr>
          <w:rFonts w:eastAsiaTheme="minorEastAsia"/>
        </w:rPr>
        <w:t>’</w:t>
      </w:r>
      <w:r w:rsidRPr="00CB791A">
        <w:rPr>
          <w:rFonts w:eastAsiaTheme="minorEastAsia"/>
        </w:rPr>
        <w:t>article 37 § 2 de la Convention (</w:t>
      </w:r>
      <w:proofErr w:type="spellStart"/>
      <w:r w:rsidRPr="00CB791A">
        <w:rPr>
          <w:rFonts w:eastAsiaTheme="minorEastAsia"/>
          <w:i/>
        </w:rPr>
        <w:t>Josipović</w:t>
      </w:r>
      <w:proofErr w:type="spellEnd"/>
      <w:r w:rsidRPr="00CB791A">
        <w:rPr>
          <w:rFonts w:eastAsiaTheme="minorEastAsia"/>
          <w:i/>
        </w:rPr>
        <w:t xml:space="preserve"> c. Serbie</w:t>
      </w:r>
      <w:r w:rsidRPr="00CB791A">
        <w:rPr>
          <w:rFonts w:eastAsiaTheme="minorEastAsia"/>
        </w:rPr>
        <w:t xml:space="preserve"> (déc.), nº 18369/07, 4 mars 2008). »</w:t>
      </w:r>
    </w:p>
    <w:p w:rsidRPr="00CB791A" w:rsidR="00B34B1B" w:rsidP="00CB791A" w:rsidRDefault="00B34B1B" w14:paraId="482B1852" w14:textId="7BA15D0E">
      <w:pPr>
        <w:pStyle w:val="JuPara"/>
      </w:pPr>
      <w:r w:rsidRPr="00CB791A">
        <w:fldChar w:fldCharType="begin"/>
      </w:r>
      <w:r w:rsidRPr="00CB791A">
        <w:instrText xml:space="preserve"> SEQ level0 \*arabic </w:instrText>
      </w:r>
      <w:r w:rsidRPr="00CB791A">
        <w:fldChar w:fldCharType="separate"/>
      </w:r>
      <w:r w:rsidRPr="00CB791A" w:rsidR="00CB791A">
        <w:rPr>
          <w:noProof/>
        </w:rPr>
        <w:t>22</w:t>
      </w:r>
      <w:r w:rsidRPr="00CB791A">
        <w:fldChar w:fldCharType="end"/>
      </w:r>
      <w:r w:rsidRPr="00CB791A">
        <w:t>.  Le 5 septembre 2018, les requérants introduisirent devant la Cour de cassation des requêtes en réouverture de la procédure sur pied des articles</w:t>
      </w:r>
      <w:r w:rsidRPr="00CB791A" w:rsidR="001B5C19">
        <w:t> </w:t>
      </w:r>
      <w:r w:rsidRPr="00CB791A">
        <w:t>442</w:t>
      </w:r>
      <w:r w:rsidRPr="00CB791A">
        <w:rPr>
          <w:i/>
        </w:rPr>
        <w:t>bis</w:t>
      </w:r>
      <w:r w:rsidRPr="00CB791A">
        <w:t xml:space="preserve"> et suivants du CIC. Se référant à l</w:t>
      </w:r>
      <w:r w:rsidRPr="00CB791A" w:rsidR="00CB791A">
        <w:t>’</w:t>
      </w:r>
      <w:r w:rsidRPr="00CB791A">
        <w:t>article 442</w:t>
      </w:r>
      <w:r w:rsidRPr="00CB791A">
        <w:rPr>
          <w:i/>
        </w:rPr>
        <w:t>quinquies</w:t>
      </w:r>
      <w:r w:rsidRPr="00CB791A">
        <w:t xml:space="preserve"> du</w:t>
      </w:r>
      <w:r w:rsidRPr="00CB791A" w:rsidR="00CB791A">
        <w:t xml:space="preserve"> </w:t>
      </w:r>
      <w:r w:rsidRPr="00CB791A">
        <w:t xml:space="preserve">CIC (paragraphe </w:t>
      </w:r>
      <w:r w:rsidRPr="00CB791A">
        <w:rPr>
          <w:rFonts w:eastAsiaTheme="minorEastAsia"/>
        </w:rPr>
        <w:fldChar w:fldCharType="begin"/>
      </w:r>
      <w:r w:rsidRPr="00CB791A">
        <w:instrText xml:space="preserve"> REF CIC442ter \h </w:instrText>
      </w:r>
      <w:r w:rsidRPr="00CB791A">
        <w:rPr>
          <w:rFonts w:eastAsiaTheme="minorEastAsia"/>
        </w:rPr>
      </w:r>
      <w:r w:rsidRPr="00CB791A">
        <w:rPr>
          <w:rFonts w:eastAsiaTheme="minorEastAsia"/>
        </w:rPr>
        <w:fldChar w:fldCharType="separate"/>
      </w:r>
      <w:r w:rsidRPr="00CB791A" w:rsidR="00CB791A">
        <w:rPr>
          <w:rFonts w:eastAsiaTheme="minorEastAsia"/>
          <w:noProof/>
        </w:rPr>
        <w:t>38</w:t>
      </w:r>
      <w:r w:rsidRPr="00CB791A">
        <w:rPr>
          <w:rFonts w:eastAsiaTheme="minorEastAsia"/>
        </w:rPr>
        <w:fldChar w:fldCharType="end"/>
      </w:r>
      <w:r w:rsidRPr="00CB791A">
        <w:t xml:space="preserve"> ci-dessous), les requérants faisaient valoir que la contrariété avec la Convention touchait en l</w:t>
      </w:r>
      <w:r w:rsidRPr="00CB791A" w:rsidR="00CB791A">
        <w:t>’</w:t>
      </w:r>
      <w:r w:rsidRPr="00CB791A">
        <w:t>espèce la procédure suivie devant la Cour de cassation et soutenaient que constituait une conséquence négative très grave et actuelle justifiant la réouverture de la procédure le fait pour les requérants que l</w:t>
      </w:r>
      <w:r w:rsidRPr="00CB791A" w:rsidR="00CB791A">
        <w:t>’</w:t>
      </w:r>
      <w:r w:rsidRPr="00CB791A">
        <w:t>arrêt du 1</w:t>
      </w:r>
      <w:r w:rsidRPr="00CB791A">
        <w:rPr>
          <w:vertAlign w:val="superscript"/>
        </w:rPr>
        <w:t>er</w:t>
      </w:r>
      <w:r w:rsidRPr="00CB791A">
        <w:t xml:space="preserve"> juin 2016 de la Cour de cassation avait eu pour conséquence que leur déclaration de culpabilité et les peines de confiscation étaient devenues définitives.</w:t>
      </w:r>
    </w:p>
    <w:bookmarkStart w:name="R" w:id="12"/>
    <w:p w:rsidRPr="00CB791A" w:rsidR="00B34B1B" w:rsidP="00CB791A" w:rsidRDefault="00B34B1B" w14:paraId="3850DDBA" w14:textId="40A2A54A">
      <w:pPr>
        <w:pStyle w:val="JuPara"/>
        <w:rPr>
          <w:rFonts w:eastAsiaTheme="minorEastAsia"/>
        </w:rPr>
      </w:pPr>
      <w:r w:rsidRPr="00CB791A">
        <w:fldChar w:fldCharType="begin"/>
      </w:r>
      <w:r w:rsidRPr="00CB791A">
        <w:instrText xml:space="preserve"> SEQ level0 \*arabic </w:instrText>
      </w:r>
      <w:r w:rsidRPr="00CB791A">
        <w:fldChar w:fldCharType="separate"/>
      </w:r>
      <w:r w:rsidRPr="00CB791A" w:rsidR="00CB791A">
        <w:rPr>
          <w:noProof/>
        </w:rPr>
        <w:t>23</w:t>
      </w:r>
      <w:r w:rsidRPr="00CB791A">
        <w:fldChar w:fldCharType="end"/>
      </w:r>
      <w:bookmarkEnd w:id="12"/>
      <w:r w:rsidRPr="00CB791A">
        <w:t>.</w:t>
      </w:r>
      <w:r w:rsidRPr="00CB791A">
        <w:rPr>
          <w:rFonts w:eastAsiaTheme="minorEastAsia"/>
        </w:rPr>
        <w:t>  Le Gouvernement s</w:t>
      </w:r>
      <w:r w:rsidRPr="00CB791A" w:rsidR="00CB791A">
        <w:rPr>
          <w:rFonts w:eastAsiaTheme="minorEastAsia"/>
        </w:rPr>
        <w:t>’</w:t>
      </w:r>
      <w:r w:rsidRPr="00CB791A">
        <w:rPr>
          <w:rFonts w:eastAsiaTheme="minorEastAsia"/>
        </w:rPr>
        <w:t>acquitta du paiement des sommes proposées à la faveur de la déclaration unilatérale.</w:t>
      </w:r>
    </w:p>
    <w:bookmarkStart w:name="B" w:id="13"/>
    <w:bookmarkStart w:name="FaitsCass7112018Start" w:id="14"/>
    <w:p w:rsidRPr="00CB791A" w:rsidR="00B34B1B" w:rsidP="00CB791A" w:rsidRDefault="00B34B1B" w14:paraId="1156FD8B" w14:textId="6EC5CA76">
      <w:pPr>
        <w:pStyle w:val="JuPara"/>
        <w:rPr>
          <w:rFonts w:eastAsiaTheme="minorEastAsia"/>
        </w:rPr>
      </w:pPr>
      <w:r w:rsidRPr="00CB791A">
        <w:rPr>
          <w:rFonts w:eastAsiaTheme="minorEastAsia"/>
        </w:rPr>
        <w:fldChar w:fldCharType="begin"/>
      </w:r>
      <w:r w:rsidRPr="00CB791A">
        <w:rPr>
          <w:rFonts w:eastAsiaTheme="minorEastAsia"/>
        </w:rPr>
        <w:instrText xml:space="preserve"> SEQ level0 \*arabic </w:instrText>
      </w:r>
      <w:r w:rsidRPr="00CB791A">
        <w:rPr>
          <w:rFonts w:eastAsiaTheme="minorEastAsia"/>
        </w:rPr>
        <w:fldChar w:fldCharType="separate"/>
      </w:r>
      <w:r w:rsidRPr="00CB791A" w:rsidR="00CB791A">
        <w:rPr>
          <w:rFonts w:eastAsiaTheme="minorEastAsia"/>
          <w:noProof/>
        </w:rPr>
        <w:t>24</w:t>
      </w:r>
      <w:r w:rsidRPr="00CB791A">
        <w:rPr>
          <w:rFonts w:eastAsiaTheme="minorEastAsia"/>
        </w:rPr>
        <w:fldChar w:fldCharType="end"/>
      </w:r>
      <w:bookmarkEnd w:id="13"/>
      <w:r w:rsidRPr="00CB791A">
        <w:rPr>
          <w:rFonts w:eastAsiaTheme="minorEastAsia"/>
        </w:rPr>
        <w:t>.</w:t>
      </w:r>
      <w:bookmarkEnd w:id="14"/>
      <w:r w:rsidRPr="00CB791A">
        <w:rPr>
          <w:rFonts w:eastAsiaTheme="minorEastAsia"/>
        </w:rPr>
        <w:t>  Par un arrêt du 7 novembre 2018 (P.18.0949.F-P.</w:t>
      </w:r>
      <w:proofErr w:type="gramStart"/>
      <w:r w:rsidRPr="00CB791A">
        <w:rPr>
          <w:rFonts w:eastAsiaTheme="minorEastAsia"/>
        </w:rPr>
        <w:t>18.0950.F</w:t>
      </w:r>
      <w:proofErr w:type="gramEnd"/>
      <w:r w:rsidRPr="00CB791A">
        <w:rPr>
          <w:rFonts w:eastAsiaTheme="minorEastAsia"/>
        </w:rPr>
        <w:t>), la Cour de cassation déclara les demandes de réouverture introduites à la suite de la décision de radiation de la Cour du 13 mars 2018 sans fondement et dit n</w:t>
      </w:r>
      <w:r w:rsidRPr="00CB791A" w:rsidR="00CB791A">
        <w:rPr>
          <w:rFonts w:eastAsiaTheme="minorEastAsia"/>
        </w:rPr>
        <w:t>’</w:t>
      </w:r>
      <w:r w:rsidRPr="00CB791A">
        <w:rPr>
          <w:rFonts w:eastAsiaTheme="minorEastAsia"/>
        </w:rPr>
        <w:t>y avoir pas lieu à ordonner la réouverture de la procédure.</w:t>
      </w:r>
    </w:p>
    <w:bookmarkStart w:name="FaitsCass07112018bis" w:id="15"/>
    <w:bookmarkStart w:name="E" w:id="16"/>
    <w:p w:rsidRPr="00CB791A" w:rsidR="00B34B1B" w:rsidP="00CB791A" w:rsidRDefault="00B34B1B" w14:paraId="51497039" w14:textId="1346F90A">
      <w:pPr>
        <w:pStyle w:val="JuPara"/>
        <w:rPr>
          <w:rFonts w:eastAsiaTheme="minorEastAsia"/>
        </w:rPr>
      </w:pPr>
      <w:r w:rsidRPr="00CB791A">
        <w:fldChar w:fldCharType="begin"/>
      </w:r>
      <w:r w:rsidRPr="00CB791A">
        <w:instrText xml:space="preserve"> SEQ level0 \*arabic </w:instrText>
      </w:r>
      <w:r w:rsidRPr="00CB791A">
        <w:fldChar w:fldCharType="separate"/>
      </w:r>
      <w:r w:rsidRPr="00CB791A" w:rsidR="00CB791A">
        <w:rPr>
          <w:noProof/>
        </w:rPr>
        <w:t>25</w:t>
      </w:r>
      <w:r w:rsidRPr="00CB791A">
        <w:fldChar w:fldCharType="end"/>
      </w:r>
      <w:bookmarkEnd w:id="15"/>
      <w:bookmarkEnd w:id="16"/>
      <w:r w:rsidRPr="00CB791A">
        <w:t>.</w:t>
      </w:r>
      <w:r w:rsidRPr="00CB791A">
        <w:rPr>
          <w:rFonts w:eastAsiaTheme="minorEastAsia"/>
        </w:rPr>
        <w:t>  A l</w:t>
      </w:r>
      <w:r w:rsidRPr="00CB791A" w:rsidR="00CB791A">
        <w:rPr>
          <w:rFonts w:eastAsiaTheme="minorEastAsia"/>
        </w:rPr>
        <w:t>’</w:t>
      </w:r>
      <w:r w:rsidRPr="00CB791A">
        <w:rPr>
          <w:rFonts w:eastAsiaTheme="minorEastAsia"/>
        </w:rPr>
        <w:t>appui de sa décision, la Cour de cassation estima dans un premier temps que ni la déclaration unilatérale ni la décision de la Cour ne s</w:t>
      </w:r>
      <w:r w:rsidRPr="00CB791A" w:rsidR="00CB791A">
        <w:rPr>
          <w:rFonts w:eastAsiaTheme="minorEastAsia"/>
        </w:rPr>
        <w:t>’</w:t>
      </w:r>
      <w:r w:rsidRPr="00CB791A">
        <w:rPr>
          <w:rFonts w:eastAsiaTheme="minorEastAsia"/>
        </w:rPr>
        <w:t>imposaient à elle, pour les motifs suivants :</w:t>
      </w:r>
    </w:p>
    <w:p w:rsidRPr="00CB791A" w:rsidR="00B34B1B" w:rsidP="00CB791A" w:rsidRDefault="00B34B1B" w14:paraId="0963136D" w14:textId="1C66962B">
      <w:pPr>
        <w:pStyle w:val="JuQuot"/>
        <w:rPr>
          <w:rFonts w:eastAsiaTheme="minorEastAsia"/>
        </w:rPr>
      </w:pPr>
      <w:r w:rsidRPr="00CB791A">
        <w:rPr>
          <w:rFonts w:eastAsiaTheme="minorEastAsia"/>
        </w:rPr>
        <w:t>«</w:t>
      </w:r>
      <w:r w:rsidRPr="00CB791A" w:rsidR="009A171A">
        <w:rPr>
          <w:rFonts w:eastAsiaTheme="minorEastAsia"/>
        </w:rPr>
        <w:t> </w:t>
      </w:r>
      <w:r w:rsidRPr="00CB791A">
        <w:rPr>
          <w:rFonts w:eastAsiaTheme="minorEastAsia"/>
        </w:rPr>
        <w:t>2.</w:t>
      </w:r>
      <w:r w:rsidRPr="00CB791A" w:rsidR="001B5C19">
        <w:rPr>
          <w:rFonts w:eastAsiaTheme="minorEastAsia"/>
        </w:rPr>
        <w:t>  </w:t>
      </w:r>
      <w:r w:rsidRPr="00CB791A">
        <w:rPr>
          <w:rFonts w:eastAsiaTheme="minorEastAsia"/>
        </w:rPr>
        <w:t>La décision du [13 mars 2018] s</w:t>
      </w:r>
      <w:r w:rsidRPr="00CB791A" w:rsidR="00CB791A">
        <w:rPr>
          <w:rFonts w:eastAsiaTheme="minorEastAsia"/>
        </w:rPr>
        <w:t>’</w:t>
      </w:r>
      <w:r w:rsidRPr="00CB791A">
        <w:rPr>
          <w:rFonts w:eastAsiaTheme="minorEastAsia"/>
        </w:rPr>
        <w:t>est bornée à prendre acte de la déclaration du Gouvernement belge selon qui l</w:t>
      </w:r>
      <w:r w:rsidRPr="00CB791A" w:rsidR="00CB791A">
        <w:rPr>
          <w:rFonts w:eastAsiaTheme="minorEastAsia"/>
        </w:rPr>
        <w:t>’</w:t>
      </w:r>
      <w:r w:rsidRPr="00CB791A">
        <w:rPr>
          <w:rFonts w:eastAsiaTheme="minorEastAsia"/>
        </w:rPr>
        <w:t>exigence de la mention d</w:t>
      </w:r>
      <w:r w:rsidRPr="00CB791A" w:rsidR="00CB791A">
        <w:rPr>
          <w:rFonts w:eastAsiaTheme="minorEastAsia"/>
        </w:rPr>
        <w:t>’</w:t>
      </w:r>
      <w:r w:rsidRPr="00CB791A">
        <w:rPr>
          <w:rFonts w:eastAsiaTheme="minorEastAsia"/>
        </w:rPr>
        <w:t>avocat attesté dans les écrits de la procédure ne garantit pas le respect du droit d</w:t>
      </w:r>
      <w:r w:rsidRPr="00CB791A" w:rsidR="00CB791A">
        <w:rPr>
          <w:rFonts w:eastAsiaTheme="minorEastAsia"/>
        </w:rPr>
        <w:t>’</w:t>
      </w:r>
      <w:r w:rsidRPr="00CB791A">
        <w:rPr>
          <w:rFonts w:eastAsiaTheme="minorEastAsia"/>
        </w:rPr>
        <w:t>accès à un tribunal.</w:t>
      </w:r>
    </w:p>
    <w:p w:rsidRPr="00CB791A" w:rsidR="00B34B1B" w:rsidP="00CB791A" w:rsidRDefault="00B34B1B" w14:paraId="38ECF279" w14:textId="77777777">
      <w:pPr>
        <w:pStyle w:val="JuQuot"/>
        <w:rPr>
          <w:rFonts w:eastAsiaTheme="minorEastAsia"/>
        </w:rPr>
      </w:pPr>
      <w:r w:rsidRPr="00CB791A">
        <w:rPr>
          <w:rFonts w:eastAsiaTheme="minorEastAsia"/>
        </w:rPr>
        <w:t>(...)</w:t>
      </w:r>
    </w:p>
    <w:p w:rsidRPr="00CB791A" w:rsidR="00B34B1B" w:rsidP="00CB791A" w:rsidRDefault="00B34B1B" w14:paraId="751ED66F" w14:textId="35CAAE12">
      <w:pPr>
        <w:pStyle w:val="JuQuot"/>
        <w:rPr>
          <w:rFonts w:eastAsiaTheme="minorEastAsia"/>
        </w:rPr>
      </w:pPr>
      <w:r w:rsidRPr="00CB791A">
        <w:rPr>
          <w:rFonts w:eastAsiaTheme="minorEastAsia"/>
        </w:rPr>
        <w:t>3.</w:t>
      </w:r>
      <w:r w:rsidRPr="00CB791A" w:rsidR="001B5C19">
        <w:rPr>
          <w:rFonts w:eastAsiaTheme="minorEastAsia"/>
        </w:rPr>
        <w:t>  </w:t>
      </w:r>
      <w:r w:rsidRPr="00CB791A">
        <w:rPr>
          <w:rFonts w:eastAsiaTheme="minorEastAsia"/>
        </w:rPr>
        <w:t>Le principe de la séparation des pouvoirs implique que le pouvoir judiciaire n</w:t>
      </w:r>
      <w:r w:rsidRPr="00CB791A" w:rsidR="00CB791A">
        <w:rPr>
          <w:rFonts w:eastAsiaTheme="minorEastAsia"/>
        </w:rPr>
        <w:t>’</w:t>
      </w:r>
      <w:r w:rsidRPr="00CB791A">
        <w:rPr>
          <w:rFonts w:eastAsiaTheme="minorEastAsia"/>
        </w:rPr>
        <w:t>est lié ni par l</w:t>
      </w:r>
      <w:r w:rsidRPr="00CB791A" w:rsidR="00CB791A">
        <w:rPr>
          <w:rFonts w:eastAsiaTheme="minorEastAsia"/>
        </w:rPr>
        <w:t>’</w:t>
      </w:r>
      <w:r w:rsidRPr="00CB791A">
        <w:rPr>
          <w:rFonts w:eastAsiaTheme="minorEastAsia"/>
        </w:rPr>
        <w:t>interprétation que l</w:t>
      </w:r>
      <w:r w:rsidRPr="00CB791A" w:rsidR="00CB791A">
        <w:rPr>
          <w:rFonts w:eastAsiaTheme="minorEastAsia"/>
        </w:rPr>
        <w:t>’</w:t>
      </w:r>
      <w:r w:rsidRPr="00CB791A">
        <w:rPr>
          <w:rFonts w:eastAsiaTheme="minorEastAsia"/>
        </w:rPr>
        <w:t>administration donne de la Convention ni par son affirmation suivant laquelle un juge aurait méconnu celle-ci.</w:t>
      </w:r>
    </w:p>
    <w:p w:rsidRPr="00CB791A" w:rsidR="00B34B1B" w:rsidP="00CB791A" w:rsidRDefault="00B34B1B" w14:paraId="3B154F4B" w14:textId="75C0C007">
      <w:pPr>
        <w:pStyle w:val="JuQuot"/>
        <w:rPr>
          <w:rFonts w:eastAsiaTheme="minorEastAsia"/>
        </w:rPr>
      </w:pPr>
      <w:r w:rsidRPr="00CB791A">
        <w:rPr>
          <w:rFonts w:eastAsiaTheme="minorEastAsia"/>
        </w:rPr>
        <w:t>4.</w:t>
      </w:r>
      <w:r w:rsidRPr="00CB791A" w:rsidR="001B5C19">
        <w:rPr>
          <w:rFonts w:eastAsiaTheme="minorEastAsia"/>
        </w:rPr>
        <w:t>  </w:t>
      </w:r>
      <w:r w:rsidRPr="00CB791A">
        <w:rPr>
          <w:rFonts w:eastAsiaTheme="minorEastAsia"/>
        </w:rPr>
        <w:t>La décision de radiation du [13 mars 2018] n</w:t>
      </w:r>
      <w:r w:rsidRPr="00CB791A" w:rsidR="00CB791A">
        <w:rPr>
          <w:rFonts w:eastAsiaTheme="minorEastAsia"/>
        </w:rPr>
        <w:t>’</w:t>
      </w:r>
      <w:r w:rsidRPr="00CB791A">
        <w:rPr>
          <w:rFonts w:eastAsiaTheme="minorEastAsia"/>
        </w:rPr>
        <w:t>est pas revêtue de l</w:t>
      </w:r>
      <w:r w:rsidRPr="00CB791A" w:rsidR="00CB791A">
        <w:rPr>
          <w:rFonts w:eastAsiaTheme="minorEastAsia"/>
        </w:rPr>
        <w:t>’</w:t>
      </w:r>
      <w:r w:rsidRPr="00CB791A">
        <w:rPr>
          <w:rFonts w:eastAsiaTheme="minorEastAsia"/>
        </w:rPr>
        <w:t>autorité de la chose interprétée. La Cour européenne ne décide pas que l</w:t>
      </w:r>
      <w:r w:rsidRPr="00CB791A" w:rsidR="00CB791A">
        <w:rPr>
          <w:rFonts w:eastAsiaTheme="minorEastAsia"/>
        </w:rPr>
        <w:t>’</w:t>
      </w:r>
      <w:r w:rsidRPr="00CB791A">
        <w:rPr>
          <w:rFonts w:eastAsiaTheme="minorEastAsia"/>
        </w:rPr>
        <w:t>article 425, § 1</w:t>
      </w:r>
      <w:r w:rsidRPr="00CB791A">
        <w:rPr>
          <w:rFonts w:eastAsiaTheme="minorEastAsia"/>
          <w:vertAlign w:val="superscript"/>
        </w:rPr>
        <w:t>er</w:t>
      </w:r>
      <w:r w:rsidRPr="00CB791A">
        <w:rPr>
          <w:rFonts w:eastAsiaTheme="minorEastAsia"/>
        </w:rPr>
        <w:t>, alinéa</w:t>
      </w:r>
      <w:r w:rsidRPr="00CB791A" w:rsidR="00777A4A">
        <w:rPr>
          <w:rFonts w:eastAsiaTheme="minorEastAsia"/>
        </w:rPr>
        <w:t> </w:t>
      </w:r>
      <w:r w:rsidRPr="00CB791A">
        <w:rPr>
          <w:rFonts w:eastAsiaTheme="minorEastAsia"/>
        </w:rPr>
        <w:t>2, du Code d</w:t>
      </w:r>
      <w:r w:rsidRPr="00CB791A" w:rsidR="00CB791A">
        <w:rPr>
          <w:rFonts w:eastAsiaTheme="minorEastAsia"/>
        </w:rPr>
        <w:t>’</w:t>
      </w:r>
      <w:r w:rsidRPr="00CB791A">
        <w:rPr>
          <w:rFonts w:eastAsiaTheme="minorEastAsia"/>
        </w:rPr>
        <w:t>instruction criminelle méconnaît le droit d</w:t>
      </w:r>
      <w:r w:rsidRPr="00CB791A" w:rsidR="00CB791A">
        <w:rPr>
          <w:rFonts w:eastAsiaTheme="minorEastAsia"/>
        </w:rPr>
        <w:t>’</w:t>
      </w:r>
      <w:r w:rsidRPr="00CB791A">
        <w:rPr>
          <w:rFonts w:eastAsiaTheme="minorEastAsia"/>
        </w:rPr>
        <w:t>accès à un tribunal. Elle n</w:t>
      </w:r>
      <w:r w:rsidRPr="00CB791A" w:rsidR="00CB791A">
        <w:rPr>
          <w:rFonts w:eastAsiaTheme="minorEastAsia"/>
        </w:rPr>
        <w:t>’</w:t>
      </w:r>
      <w:r w:rsidRPr="00CB791A">
        <w:rPr>
          <w:rFonts w:eastAsiaTheme="minorEastAsia"/>
        </w:rPr>
        <w:t>interdit pas d</w:t>
      </w:r>
      <w:r w:rsidRPr="00CB791A" w:rsidR="00CB791A">
        <w:rPr>
          <w:rFonts w:eastAsiaTheme="minorEastAsia"/>
        </w:rPr>
        <w:t>’</w:t>
      </w:r>
      <w:r w:rsidRPr="00CB791A">
        <w:rPr>
          <w:rFonts w:eastAsiaTheme="minorEastAsia"/>
        </w:rPr>
        <w:t>exiger que la preuve de l</w:t>
      </w:r>
      <w:r w:rsidRPr="00CB791A" w:rsidR="00CB791A">
        <w:rPr>
          <w:rFonts w:eastAsiaTheme="minorEastAsia"/>
        </w:rPr>
        <w:t>’</w:t>
      </w:r>
      <w:r w:rsidRPr="00CB791A">
        <w:rPr>
          <w:rFonts w:eastAsiaTheme="minorEastAsia"/>
        </w:rPr>
        <w:t>attestation prévue par cet article soit fournie par une mention portée dans les écrits de procédures visés aux articles 423 et 429 dudit code et déposés dans les formes prescrites par ceux-ci. »</w:t>
      </w:r>
    </w:p>
    <w:bookmarkStart w:name="FaitsCass07112018End" w:id="17"/>
    <w:bookmarkStart w:name="M" w:id="18"/>
    <w:p w:rsidRPr="00CB791A" w:rsidR="00B34B1B" w:rsidP="00CB791A" w:rsidRDefault="00B34B1B" w14:paraId="3B8FCA89" w14:textId="7BD750A6">
      <w:pPr>
        <w:pStyle w:val="JuPara"/>
        <w:rPr>
          <w:rFonts w:eastAsiaTheme="minorEastAsia"/>
          <w:szCs w:val="22"/>
        </w:rPr>
      </w:pPr>
      <w:r w:rsidRPr="00CB791A">
        <w:fldChar w:fldCharType="begin"/>
      </w:r>
      <w:r w:rsidRPr="00CB791A">
        <w:instrText xml:space="preserve"> SEQ level0 \*arabic </w:instrText>
      </w:r>
      <w:r w:rsidRPr="00CB791A">
        <w:fldChar w:fldCharType="separate"/>
      </w:r>
      <w:r w:rsidRPr="00CB791A" w:rsidR="00CB791A">
        <w:rPr>
          <w:noProof/>
        </w:rPr>
        <w:t>26</w:t>
      </w:r>
      <w:r w:rsidRPr="00CB791A">
        <w:fldChar w:fldCharType="end"/>
      </w:r>
      <w:bookmarkEnd w:id="17"/>
      <w:bookmarkEnd w:id="18"/>
      <w:r w:rsidRPr="00CB791A">
        <w:t>.  Dans un second temps, la Cour de cassation considéra que les conditions de la réouverture n</w:t>
      </w:r>
      <w:r w:rsidRPr="00CB791A" w:rsidR="00CB791A">
        <w:t>’</w:t>
      </w:r>
      <w:r w:rsidRPr="00CB791A">
        <w:t>étaient en tout état de cause pas réunies en l</w:t>
      </w:r>
      <w:r w:rsidRPr="00CB791A" w:rsidR="00CB791A">
        <w:t>’</w:t>
      </w:r>
      <w:r w:rsidRPr="00CB791A">
        <w:t>espèce, et ce pour les motifs suivants :</w:t>
      </w:r>
    </w:p>
    <w:p w:rsidRPr="00CB791A" w:rsidR="00B34B1B" w:rsidP="00CB791A" w:rsidRDefault="00B34B1B" w14:paraId="1659BEE4" w14:textId="3E9D2742">
      <w:pPr>
        <w:pStyle w:val="JuQuot"/>
        <w:rPr>
          <w:rFonts w:eastAsiaTheme="minorEastAsia"/>
        </w:rPr>
      </w:pPr>
      <w:r w:rsidRPr="00CB791A">
        <w:rPr>
          <w:rFonts w:eastAsiaTheme="minorEastAsia"/>
        </w:rPr>
        <w:t>« 5.</w:t>
      </w:r>
      <w:r w:rsidRPr="00CB791A" w:rsidR="00777A4A">
        <w:rPr>
          <w:rFonts w:eastAsiaTheme="minorEastAsia"/>
        </w:rPr>
        <w:t>  </w:t>
      </w:r>
      <w:r w:rsidRPr="00CB791A">
        <w:rPr>
          <w:rFonts w:eastAsiaTheme="minorEastAsia"/>
        </w:rPr>
        <w:t>Le droit d</w:t>
      </w:r>
      <w:r w:rsidRPr="00CB791A" w:rsidR="00CB791A">
        <w:rPr>
          <w:rFonts w:eastAsiaTheme="minorEastAsia"/>
        </w:rPr>
        <w:t>’</w:t>
      </w:r>
      <w:r w:rsidRPr="00CB791A">
        <w:rPr>
          <w:rFonts w:eastAsiaTheme="minorEastAsia"/>
        </w:rPr>
        <w:t>accès à un tribunal n</w:t>
      </w:r>
      <w:r w:rsidRPr="00CB791A" w:rsidR="00CB791A">
        <w:rPr>
          <w:rFonts w:eastAsiaTheme="minorEastAsia"/>
        </w:rPr>
        <w:t>’</w:t>
      </w:r>
      <w:r w:rsidRPr="00CB791A">
        <w:rPr>
          <w:rFonts w:eastAsiaTheme="minorEastAsia"/>
        </w:rPr>
        <w:t>est pas absolu. Il se prête à des limitations pourvu que celles-ci</w:t>
      </w:r>
    </w:p>
    <w:p w:rsidRPr="00CB791A" w:rsidR="00B34B1B" w:rsidP="00CB791A" w:rsidRDefault="00B34B1B" w14:paraId="0BFCF17F" w14:textId="57BFCC62">
      <w:pPr>
        <w:pStyle w:val="JuQuot"/>
        <w:rPr>
          <w:rFonts w:eastAsiaTheme="minorEastAsia"/>
        </w:rPr>
      </w:pPr>
      <w:r w:rsidRPr="00CB791A">
        <w:rPr>
          <w:rFonts w:eastAsiaTheme="minorEastAsia"/>
        </w:rPr>
        <w:t>- ne restreignent pas l</w:t>
      </w:r>
      <w:r w:rsidRPr="00CB791A" w:rsidR="00CB791A">
        <w:rPr>
          <w:rFonts w:eastAsiaTheme="minorEastAsia"/>
        </w:rPr>
        <w:t>’</w:t>
      </w:r>
      <w:r w:rsidRPr="00CB791A">
        <w:rPr>
          <w:rFonts w:eastAsiaTheme="minorEastAsia"/>
        </w:rPr>
        <w:t>accès au juge à un point tel que le recours s</w:t>
      </w:r>
      <w:r w:rsidRPr="00CB791A" w:rsidR="00CB791A">
        <w:rPr>
          <w:rFonts w:eastAsiaTheme="minorEastAsia"/>
        </w:rPr>
        <w:t>’</w:t>
      </w:r>
      <w:r w:rsidRPr="00CB791A">
        <w:rPr>
          <w:rFonts w:eastAsiaTheme="minorEastAsia"/>
        </w:rPr>
        <w:t>en trouve atteint dans sa substance même,</w:t>
      </w:r>
    </w:p>
    <w:p w:rsidRPr="00CB791A" w:rsidR="00B34B1B" w:rsidP="00CB791A" w:rsidRDefault="00B34B1B" w14:paraId="01C93F40" w14:textId="77777777">
      <w:pPr>
        <w:pStyle w:val="JuQuot"/>
        <w:rPr>
          <w:rFonts w:eastAsiaTheme="minorEastAsia"/>
        </w:rPr>
      </w:pPr>
      <w:r w:rsidRPr="00CB791A">
        <w:rPr>
          <w:rFonts w:eastAsiaTheme="minorEastAsia"/>
        </w:rPr>
        <w:t>- tendent à un but légitime,</w:t>
      </w:r>
    </w:p>
    <w:p w:rsidRPr="00CB791A" w:rsidR="00B34B1B" w:rsidP="00CB791A" w:rsidRDefault="00B34B1B" w14:paraId="208C30E0" w14:textId="77777777">
      <w:pPr>
        <w:pStyle w:val="JuQuot"/>
        <w:rPr>
          <w:rFonts w:eastAsiaTheme="minorEastAsia"/>
        </w:rPr>
      </w:pPr>
      <w:r w:rsidRPr="00CB791A">
        <w:rPr>
          <w:rFonts w:eastAsiaTheme="minorEastAsia"/>
        </w:rPr>
        <w:t>- respectent un rapport raisonnable de proportionnalité entre les moyens employés et le but visé.</w:t>
      </w:r>
    </w:p>
    <w:p w:rsidRPr="00CB791A" w:rsidR="00B34B1B" w:rsidP="00CB791A" w:rsidRDefault="00B34B1B" w14:paraId="3D3BC4D0" w14:textId="34C99232">
      <w:pPr>
        <w:pStyle w:val="JuQuot"/>
        <w:rPr>
          <w:rFonts w:eastAsiaTheme="minorEastAsia"/>
        </w:rPr>
      </w:pPr>
      <w:r w:rsidRPr="00CB791A">
        <w:rPr>
          <w:rFonts w:eastAsiaTheme="minorEastAsia"/>
        </w:rPr>
        <w:t>6.</w:t>
      </w:r>
      <w:r w:rsidRPr="00CB791A" w:rsidR="00777A4A">
        <w:rPr>
          <w:rFonts w:eastAsiaTheme="minorEastAsia"/>
        </w:rPr>
        <w:t>  </w:t>
      </w:r>
      <w:r w:rsidRPr="00CB791A">
        <w:rPr>
          <w:rFonts w:eastAsiaTheme="minorEastAsia"/>
        </w:rPr>
        <w:t>La qualité d</w:t>
      </w:r>
      <w:r w:rsidRPr="00CB791A" w:rsidR="00CB791A">
        <w:rPr>
          <w:rFonts w:eastAsiaTheme="minorEastAsia"/>
        </w:rPr>
        <w:t>’</w:t>
      </w:r>
      <w:r w:rsidRPr="00CB791A">
        <w:rPr>
          <w:rFonts w:eastAsiaTheme="minorEastAsia"/>
        </w:rPr>
        <w:t>avocat attesté est prouvée par la simple mention de sa possession dans les écrits auxquels la Cour peut avoir égard. Il s</w:t>
      </w:r>
      <w:r w:rsidRPr="00CB791A" w:rsidR="00CB791A">
        <w:rPr>
          <w:rFonts w:eastAsiaTheme="minorEastAsia"/>
        </w:rPr>
        <w:t>’</w:t>
      </w:r>
      <w:r w:rsidRPr="00CB791A">
        <w:rPr>
          <w:rFonts w:eastAsiaTheme="minorEastAsia"/>
        </w:rPr>
        <w:t>ensuit qu</w:t>
      </w:r>
      <w:r w:rsidRPr="00CB791A" w:rsidR="00CB791A">
        <w:rPr>
          <w:rFonts w:eastAsiaTheme="minorEastAsia"/>
        </w:rPr>
        <w:t>’</w:t>
      </w:r>
      <w:r w:rsidRPr="00CB791A">
        <w:rPr>
          <w:rFonts w:eastAsiaTheme="minorEastAsia"/>
        </w:rPr>
        <w:t>elle ne l</w:t>
      </w:r>
      <w:r w:rsidRPr="00CB791A" w:rsidR="00CB791A">
        <w:rPr>
          <w:rFonts w:eastAsiaTheme="minorEastAsia"/>
        </w:rPr>
        <w:t>’</w:t>
      </w:r>
      <w:r w:rsidRPr="00CB791A">
        <w:rPr>
          <w:rFonts w:eastAsiaTheme="minorEastAsia"/>
        </w:rPr>
        <w:t>est pas lorsque cette mention est inexistante. Ce dispositif satisfait aux trois critères énoncés ci-dessus.</w:t>
      </w:r>
    </w:p>
    <w:p w:rsidRPr="00CB791A" w:rsidR="00B34B1B" w:rsidP="00CB791A" w:rsidRDefault="00B34B1B" w14:paraId="38FA3C53" w14:textId="644146AD">
      <w:pPr>
        <w:pStyle w:val="JuQuot"/>
        <w:rPr>
          <w:rFonts w:eastAsiaTheme="minorEastAsia"/>
        </w:rPr>
      </w:pPr>
      <w:r w:rsidRPr="00CB791A">
        <w:rPr>
          <w:rFonts w:eastAsiaTheme="minorEastAsia"/>
        </w:rPr>
        <w:t>L</w:t>
      </w:r>
      <w:r w:rsidRPr="00CB791A" w:rsidR="00CB791A">
        <w:rPr>
          <w:rFonts w:eastAsiaTheme="minorEastAsia"/>
        </w:rPr>
        <w:t>’</w:t>
      </w:r>
      <w:r w:rsidRPr="00CB791A">
        <w:rPr>
          <w:rFonts w:eastAsiaTheme="minorEastAsia"/>
        </w:rPr>
        <w:t>avocat doit indiquer, dans l</w:t>
      </w:r>
      <w:r w:rsidRPr="00CB791A" w:rsidR="00CB791A">
        <w:rPr>
          <w:rFonts w:eastAsiaTheme="minorEastAsia"/>
        </w:rPr>
        <w:t>’</w:t>
      </w:r>
      <w:r w:rsidRPr="00CB791A">
        <w:rPr>
          <w:rFonts w:eastAsiaTheme="minorEastAsia"/>
        </w:rPr>
        <w:t>acte de pourvoi ou dans le mémoire, qu</w:t>
      </w:r>
      <w:r w:rsidRPr="00CB791A" w:rsidR="00CB791A">
        <w:rPr>
          <w:rFonts w:eastAsiaTheme="minorEastAsia"/>
        </w:rPr>
        <w:t>’</w:t>
      </w:r>
      <w:r w:rsidRPr="00CB791A">
        <w:rPr>
          <w:rFonts w:eastAsiaTheme="minorEastAsia"/>
        </w:rPr>
        <w:t>il détient l</w:t>
      </w:r>
      <w:r w:rsidRPr="00CB791A" w:rsidR="00CB791A">
        <w:rPr>
          <w:rFonts w:eastAsiaTheme="minorEastAsia"/>
        </w:rPr>
        <w:t>’</w:t>
      </w:r>
      <w:r w:rsidRPr="00CB791A">
        <w:rPr>
          <w:rFonts w:eastAsiaTheme="minorEastAsia"/>
        </w:rPr>
        <w:t>attestation lui permettant d</w:t>
      </w:r>
      <w:r w:rsidRPr="00CB791A" w:rsidR="00CB791A">
        <w:rPr>
          <w:rFonts w:eastAsiaTheme="minorEastAsia"/>
        </w:rPr>
        <w:t>’</w:t>
      </w:r>
      <w:r w:rsidRPr="00CB791A">
        <w:rPr>
          <w:rFonts w:eastAsiaTheme="minorEastAsia"/>
        </w:rPr>
        <w:t>introduire cette procédure. La preuve de l</w:t>
      </w:r>
      <w:r w:rsidRPr="00CB791A" w:rsidR="00CB791A">
        <w:rPr>
          <w:rFonts w:eastAsiaTheme="minorEastAsia"/>
        </w:rPr>
        <w:t>’</w:t>
      </w:r>
      <w:r w:rsidRPr="00CB791A">
        <w:rPr>
          <w:rFonts w:eastAsiaTheme="minorEastAsia"/>
        </w:rPr>
        <w:t>attestation est donc considérée comme étant rapportée par la seule affirmation de sa possession. Réduit à sa plus simple expression, pareil mode de preuve ne saurait être considéré comme portant atteinte au droit de se pourvoir en cassation : la recevabilité du recours n</w:t>
      </w:r>
      <w:r w:rsidRPr="00CB791A" w:rsidR="00CB791A">
        <w:rPr>
          <w:rFonts w:eastAsiaTheme="minorEastAsia"/>
        </w:rPr>
        <w:t>’</w:t>
      </w:r>
      <w:r w:rsidRPr="00CB791A">
        <w:rPr>
          <w:rFonts w:eastAsiaTheme="minorEastAsia"/>
        </w:rPr>
        <w:t>est tributaire, en effet, que d</w:t>
      </w:r>
      <w:r w:rsidRPr="00CB791A" w:rsidR="00CB791A">
        <w:rPr>
          <w:rFonts w:eastAsiaTheme="minorEastAsia"/>
        </w:rPr>
        <w:t>’</w:t>
      </w:r>
      <w:r w:rsidRPr="00CB791A">
        <w:rPr>
          <w:rFonts w:eastAsiaTheme="minorEastAsia"/>
        </w:rPr>
        <w:t>une manifestation de la volonté de celui qui l</w:t>
      </w:r>
      <w:r w:rsidRPr="00CB791A" w:rsidR="00CB791A">
        <w:rPr>
          <w:rFonts w:eastAsiaTheme="minorEastAsia"/>
        </w:rPr>
        <w:t>’</w:t>
      </w:r>
      <w:r w:rsidRPr="00CB791A">
        <w:rPr>
          <w:rFonts w:eastAsiaTheme="minorEastAsia"/>
        </w:rPr>
        <w:t>introduit et de la traduction de cette volonté dans l</w:t>
      </w:r>
      <w:r w:rsidRPr="00CB791A" w:rsidR="00CB791A">
        <w:rPr>
          <w:rFonts w:eastAsiaTheme="minorEastAsia"/>
        </w:rPr>
        <w:t>’</w:t>
      </w:r>
      <w:r w:rsidRPr="00CB791A">
        <w:rPr>
          <w:rFonts w:eastAsiaTheme="minorEastAsia"/>
        </w:rPr>
        <w:t>écrit.</w:t>
      </w:r>
    </w:p>
    <w:p w:rsidRPr="00CB791A" w:rsidR="00B34B1B" w:rsidP="00CB791A" w:rsidRDefault="00B34B1B" w14:paraId="72E9110B" w14:textId="26305C33">
      <w:pPr>
        <w:pStyle w:val="JuQuot"/>
        <w:rPr>
          <w:rFonts w:eastAsiaTheme="minorEastAsia"/>
        </w:rPr>
      </w:pPr>
      <w:r w:rsidRPr="00CB791A">
        <w:rPr>
          <w:rFonts w:eastAsiaTheme="minorEastAsia"/>
        </w:rPr>
        <w:t>Le but de ce formalisme minimal est légitime. Il s</w:t>
      </w:r>
      <w:r w:rsidRPr="00CB791A" w:rsidR="00CB791A">
        <w:rPr>
          <w:rFonts w:eastAsiaTheme="minorEastAsia"/>
        </w:rPr>
        <w:t>’</w:t>
      </w:r>
      <w:r w:rsidRPr="00CB791A">
        <w:rPr>
          <w:rFonts w:eastAsiaTheme="minorEastAsia"/>
        </w:rPr>
        <w:t>agit d</w:t>
      </w:r>
      <w:r w:rsidRPr="00CB791A" w:rsidR="00CB791A">
        <w:rPr>
          <w:rFonts w:eastAsiaTheme="minorEastAsia"/>
        </w:rPr>
        <w:t>’</w:t>
      </w:r>
      <w:r w:rsidRPr="00CB791A">
        <w:rPr>
          <w:rFonts w:eastAsiaTheme="minorEastAsia"/>
        </w:rPr>
        <w:t>éviter que la Cour ne soit encombrée par des pourvois irrecevables ou manifestement mal fondés, et de lui épargner également les recherches en fait qui la distrairaient du jugement des affaires régulièrement déférées à sa juridiction.</w:t>
      </w:r>
    </w:p>
    <w:p w:rsidRPr="00CB791A" w:rsidR="00B34B1B" w:rsidP="00CB791A" w:rsidRDefault="00B34B1B" w14:paraId="723FCB7A" w14:textId="6A075C2C">
      <w:pPr>
        <w:pStyle w:val="JuQuot"/>
        <w:rPr>
          <w:rFonts w:eastAsiaTheme="minorEastAsia"/>
        </w:rPr>
      </w:pPr>
      <w:r w:rsidRPr="00CB791A">
        <w:rPr>
          <w:rFonts w:eastAsiaTheme="minorEastAsia"/>
        </w:rPr>
        <w:t>L</w:t>
      </w:r>
      <w:r w:rsidRPr="00CB791A" w:rsidR="00CB791A">
        <w:rPr>
          <w:rFonts w:eastAsiaTheme="minorEastAsia"/>
        </w:rPr>
        <w:t>’</w:t>
      </w:r>
      <w:r w:rsidRPr="00CB791A">
        <w:rPr>
          <w:rFonts w:eastAsiaTheme="minorEastAsia"/>
        </w:rPr>
        <w:t>attestation de formation visée par l</w:t>
      </w:r>
      <w:r w:rsidRPr="00CB791A" w:rsidR="00CB791A">
        <w:rPr>
          <w:rFonts w:eastAsiaTheme="minorEastAsia"/>
        </w:rPr>
        <w:t>’</w:t>
      </w:r>
      <w:r w:rsidRPr="00CB791A">
        <w:rPr>
          <w:rFonts w:eastAsiaTheme="minorEastAsia"/>
        </w:rPr>
        <w:t>article 425, § 1</w:t>
      </w:r>
      <w:r w:rsidRPr="00CB791A">
        <w:rPr>
          <w:rFonts w:eastAsiaTheme="minorEastAsia"/>
          <w:vertAlign w:val="superscript"/>
        </w:rPr>
        <w:t>er</w:t>
      </w:r>
      <w:r w:rsidRPr="00CB791A">
        <w:rPr>
          <w:rFonts w:eastAsiaTheme="minorEastAsia"/>
        </w:rPr>
        <w:t>, alinéa 2, du Code d</w:t>
      </w:r>
      <w:r w:rsidRPr="00CB791A" w:rsidR="00CB791A">
        <w:rPr>
          <w:rFonts w:eastAsiaTheme="minorEastAsia"/>
        </w:rPr>
        <w:t>’</w:t>
      </w:r>
      <w:r w:rsidRPr="00CB791A">
        <w:rPr>
          <w:rFonts w:eastAsiaTheme="minorEastAsia"/>
        </w:rPr>
        <w:t>instruction criminelle est une condition de recevabilité du pourvoi. Il n</w:t>
      </w:r>
      <w:r w:rsidRPr="00CB791A" w:rsidR="00CB791A">
        <w:rPr>
          <w:rFonts w:eastAsiaTheme="minorEastAsia"/>
        </w:rPr>
        <w:t>’</w:t>
      </w:r>
      <w:r w:rsidRPr="00CB791A">
        <w:rPr>
          <w:rFonts w:eastAsiaTheme="minorEastAsia"/>
        </w:rPr>
        <w:t>est donc pas hors de proportion de permettre à la Cour la vérification, selon un mode simplifié, du respect de cette formalité. En jugeant que la preuve en est rapportée par la seule déclaration de l</w:t>
      </w:r>
      <w:r w:rsidRPr="00CB791A" w:rsidR="00CB791A">
        <w:rPr>
          <w:rFonts w:eastAsiaTheme="minorEastAsia"/>
        </w:rPr>
        <w:t>’</w:t>
      </w:r>
      <w:r w:rsidRPr="00CB791A">
        <w:rPr>
          <w:rFonts w:eastAsiaTheme="minorEastAsia"/>
        </w:rPr>
        <w:t>auteur du pourvoi, la Cour accorde à celui-ci un crédit dont elle ne peut, nulle part ailleurs, trouver l</w:t>
      </w:r>
      <w:r w:rsidRPr="00CB791A" w:rsidR="00CB791A">
        <w:rPr>
          <w:rFonts w:eastAsiaTheme="minorEastAsia"/>
        </w:rPr>
        <w:t>’</w:t>
      </w:r>
      <w:r w:rsidRPr="00CB791A">
        <w:rPr>
          <w:rFonts w:eastAsiaTheme="minorEastAsia"/>
        </w:rPr>
        <w:t>équivalent. L</w:t>
      </w:r>
      <w:r w:rsidRPr="00CB791A" w:rsidR="00CB791A">
        <w:rPr>
          <w:rFonts w:eastAsiaTheme="minorEastAsia"/>
        </w:rPr>
        <w:t>’</w:t>
      </w:r>
      <w:r w:rsidRPr="00CB791A">
        <w:rPr>
          <w:rFonts w:eastAsiaTheme="minorEastAsia"/>
        </w:rPr>
        <w:t>identité des avocats attestés et la date de leurs certificats ne sont rapportées que dans des listes dont l</w:t>
      </w:r>
      <w:r w:rsidRPr="00CB791A" w:rsidR="00CB791A">
        <w:rPr>
          <w:rFonts w:eastAsiaTheme="minorEastAsia"/>
        </w:rPr>
        <w:t>’</w:t>
      </w:r>
      <w:r w:rsidRPr="00CB791A">
        <w:rPr>
          <w:rFonts w:eastAsiaTheme="minorEastAsia"/>
        </w:rPr>
        <w:t>absence de tout caractère authentique ou officiel ne permet pas de garantir la fiabilité.</w:t>
      </w:r>
    </w:p>
    <w:p w:rsidRPr="00CB791A" w:rsidR="00B34B1B" w:rsidP="00CB791A" w:rsidRDefault="00B34B1B" w14:paraId="146E0A86" w14:textId="4693EABA">
      <w:pPr>
        <w:pStyle w:val="JuQuot"/>
        <w:rPr>
          <w:rFonts w:eastAsiaTheme="minorEastAsia"/>
        </w:rPr>
      </w:pPr>
      <w:r w:rsidRPr="00CB791A">
        <w:rPr>
          <w:rFonts w:eastAsiaTheme="minorEastAsia"/>
        </w:rPr>
        <w:t>Il n</w:t>
      </w:r>
      <w:r w:rsidRPr="00CB791A" w:rsidR="00CB791A">
        <w:rPr>
          <w:rFonts w:eastAsiaTheme="minorEastAsia"/>
        </w:rPr>
        <w:t>’</w:t>
      </w:r>
      <w:r w:rsidRPr="00CB791A">
        <w:rPr>
          <w:rFonts w:eastAsiaTheme="minorEastAsia"/>
        </w:rPr>
        <w:t>apparaît dès lors pas, de l</w:t>
      </w:r>
      <w:r w:rsidRPr="00CB791A" w:rsidR="00CB791A">
        <w:rPr>
          <w:rFonts w:eastAsiaTheme="minorEastAsia"/>
        </w:rPr>
        <w:t>’</w:t>
      </w:r>
      <w:r w:rsidRPr="00CB791A">
        <w:rPr>
          <w:rFonts w:eastAsiaTheme="minorEastAsia"/>
        </w:rPr>
        <w:t>examen des demandes, que l</w:t>
      </w:r>
      <w:r w:rsidRPr="00CB791A" w:rsidR="00CB791A">
        <w:rPr>
          <w:rFonts w:eastAsiaTheme="minorEastAsia"/>
        </w:rPr>
        <w:t>’</w:t>
      </w:r>
      <w:r w:rsidRPr="00CB791A">
        <w:rPr>
          <w:rFonts w:eastAsiaTheme="minorEastAsia"/>
        </w:rPr>
        <w:t>arrêt de la Cour du 1</w:t>
      </w:r>
      <w:r w:rsidRPr="00CB791A">
        <w:rPr>
          <w:rFonts w:eastAsiaTheme="minorEastAsia"/>
          <w:vertAlign w:val="superscript"/>
        </w:rPr>
        <w:t>er </w:t>
      </w:r>
      <w:r w:rsidRPr="00CB791A">
        <w:rPr>
          <w:rFonts w:eastAsiaTheme="minorEastAsia"/>
        </w:rPr>
        <w:t>juin 2016 soit contraire sur le fond à la Convention de sauvegarde des droits de l</w:t>
      </w:r>
      <w:r w:rsidRPr="00CB791A" w:rsidR="00CB791A">
        <w:rPr>
          <w:rFonts w:eastAsiaTheme="minorEastAsia"/>
        </w:rPr>
        <w:t>’</w:t>
      </w:r>
      <w:r w:rsidRPr="00CB791A">
        <w:rPr>
          <w:rFonts w:eastAsiaTheme="minorEastAsia"/>
        </w:rPr>
        <w:t>homme et des libertés fondamentales, ni que cet arrêt soit entaché d</w:t>
      </w:r>
      <w:r w:rsidRPr="00CB791A" w:rsidR="00CB791A">
        <w:rPr>
          <w:rFonts w:eastAsiaTheme="minorEastAsia"/>
        </w:rPr>
        <w:t>’</w:t>
      </w:r>
      <w:r w:rsidRPr="00CB791A">
        <w:rPr>
          <w:rFonts w:eastAsiaTheme="minorEastAsia"/>
        </w:rPr>
        <w:t>une violation résultant d</w:t>
      </w:r>
      <w:r w:rsidRPr="00CB791A" w:rsidR="00CB791A">
        <w:rPr>
          <w:rFonts w:eastAsiaTheme="minorEastAsia"/>
        </w:rPr>
        <w:t>’</w:t>
      </w:r>
      <w:r w:rsidRPr="00CB791A">
        <w:rPr>
          <w:rFonts w:eastAsiaTheme="minorEastAsia"/>
        </w:rPr>
        <w:t xml:space="preserve">une erreur ou </w:t>
      </w:r>
      <w:proofErr w:type="gramStart"/>
      <w:r w:rsidRPr="00CB791A">
        <w:rPr>
          <w:rFonts w:eastAsiaTheme="minorEastAsia"/>
        </w:rPr>
        <w:t>d</w:t>
      </w:r>
      <w:r w:rsidRPr="00CB791A" w:rsidR="00CB791A">
        <w:rPr>
          <w:rFonts w:eastAsiaTheme="minorEastAsia"/>
        </w:rPr>
        <w:t>’</w:t>
      </w:r>
      <w:r w:rsidRPr="00CB791A">
        <w:rPr>
          <w:rFonts w:eastAsiaTheme="minorEastAsia"/>
        </w:rPr>
        <w:t>une défaillance graves</w:t>
      </w:r>
      <w:proofErr w:type="gramEnd"/>
      <w:r w:rsidRPr="00CB791A">
        <w:rPr>
          <w:rFonts w:eastAsiaTheme="minorEastAsia"/>
        </w:rPr>
        <w:t>.</w:t>
      </w:r>
    </w:p>
    <w:p w:rsidRPr="00CB791A" w:rsidR="00B34B1B" w:rsidP="00CB791A" w:rsidRDefault="00B34B1B" w14:paraId="5C966C41" w14:textId="45B9F197">
      <w:pPr>
        <w:pStyle w:val="JuQuot"/>
        <w:rPr>
          <w:rFonts w:eastAsiaTheme="minorEastAsia"/>
        </w:rPr>
      </w:pPr>
      <w:r w:rsidRPr="00CB791A">
        <w:rPr>
          <w:rFonts w:eastAsiaTheme="minorEastAsia"/>
        </w:rPr>
        <w:t>Partant, une des conditions d</w:t>
      </w:r>
      <w:r w:rsidRPr="00CB791A" w:rsidR="00CB791A">
        <w:rPr>
          <w:rFonts w:eastAsiaTheme="minorEastAsia"/>
        </w:rPr>
        <w:t>’</w:t>
      </w:r>
      <w:r w:rsidRPr="00CB791A">
        <w:rPr>
          <w:rFonts w:eastAsiaTheme="minorEastAsia"/>
        </w:rPr>
        <w:t>application de l</w:t>
      </w:r>
      <w:r w:rsidRPr="00CB791A" w:rsidR="00CB791A">
        <w:rPr>
          <w:rFonts w:eastAsiaTheme="minorEastAsia"/>
        </w:rPr>
        <w:t>’</w:t>
      </w:r>
      <w:r w:rsidRPr="00CB791A">
        <w:rPr>
          <w:rFonts w:eastAsiaTheme="minorEastAsia"/>
        </w:rPr>
        <w:t>article 442</w:t>
      </w:r>
      <w:r w:rsidRPr="00CB791A">
        <w:rPr>
          <w:rFonts w:eastAsiaTheme="minorEastAsia"/>
          <w:i/>
        </w:rPr>
        <w:t>quinquies</w:t>
      </w:r>
      <w:r w:rsidRPr="00CB791A">
        <w:rPr>
          <w:rFonts w:eastAsiaTheme="minorEastAsia"/>
        </w:rPr>
        <w:t>, alinéa 1</w:t>
      </w:r>
      <w:r w:rsidRPr="00CB791A">
        <w:rPr>
          <w:rFonts w:eastAsiaTheme="minorEastAsia"/>
          <w:vertAlign w:val="superscript"/>
        </w:rPr>
        <w:t>er</w:t>
      </w:r>
      <w:r w:rsidRPr="00CB791A">
        <w:rPr>
          <w:rFonts w:eastAsiaTheme="minorEastAsia"/>
        </w:rPr>
        <w:t>, du Code d</w:t>
      </w:r>
      <w:r w:rsidRPr="00CB791A" w:rsidR="00CB791A">
        <w:rPr>
          <w:rFonts w:eastAsiaTheme="minorEastAsia"/>
        </w:rPr>
        <w:t>’</w:t>
      </w:r>
      <w:r w:rsidRPr="00CB791A">
        <w:rPr>
          <w:rFonts w:eastAsiaTheme="minorEastAsia"/>
        </w:rPr>
        <w:t>instruction criminelle, fait défaut. »</w:t>
      </w:r>
    </w:p>
    <w:bookmarkStart w:name="FaitsDec29052019Réinscription" w:id="19"/>
    <w:p w:rsidRPr="00CB791A" w:rsidR="00B34B1B" w:rsidP="00CB791A" w:rsidRDefault="00B34B1B" w14:paraId="11C3CE96" w14:textId="1256AF37">
      <w:pPr>
        <w:pStyle w:val="JuPara"/>
        <w:rPr>
          <w:rFonts w:eastAsiaTheme="minorEastAsia"/>
          <w:szCs w:val="22"/>
        </w:rPr>
      </w:pPr>
      <w:r w:rsidRPr="00CB791A">
        <w:fldChar w:fldCharType="begin"/>
      </w:r>
      <w:r w:rsidRPr="00CB791A">
        <w:instrText xml:space="preserve"> SEQ level0 \*arabic </w:instrText>
      </w:r>
      <w:r w:rsidRPr="00CB791A">
        <w:fldChar w:fldCharType="separate"/>
      </w:r>
      <w:r w:rsidRPr="00CB791A" w:rsidR="00CB791A">
        <w:rPr>
          <w:noProof/>
        </w:rPr>
        <w:t>27</w:t>
      </w:r>
      <w:r w:rsidRPr="00CB791A">
        <w:fldChar w:fldCharType="end"/>
      </w:r>
      <w:bookmarkEnd w:id="19"/>
      <w:r w:rsidRPr="00CB791A">
        <w:t>.  </w:t>
      </w:r>
      <w:r w:rsidRPr="00CB791A">
        <w:rPr>
          <w:rFonts w:eastAsiaTheme="minorEastAsia"/>
          <w:szCs w:val="22"/>
        </w:rPr>
        <w:t>Par courrier du 15 mars 2019, les requérants demandèrent à la Cour la réinscription de leur affaire au rôle. Le 28 mai 2019, la Cour accéda à la demande des requérants de réinscrire les requêtes initiales au rôle sur fondement de l</w:t>
      </w:r>
      <w:r w:rsidRPr="00CB791A" w:rsidR="00CB791A">
        <w:rPr>
          <w:rFonts w:eastAsiaTheme="minorEastAsia"/>
          <w:szCs w:val="22"/>
        </w:rPr>
        <w:t>’</w:t>
      </w:r>
      <w:r w:rsidRPr="00CB791A">
        <w:rPr>
          <w:rFonts w:eastAsiaTheme="minorEastAsia"/>
          <w:szCs w:val="22"/>
        </w:rPr>
        <w:t>article 37 § 2 de la Convention.</w:t>
      </w:r>
    </w:p>
    <w:p w:rsidRPr="00CB791A" w:rsidR="00B34B1B" w:rsidP="00CB791A" w:rsidRDefault="00B34B1B" w14:paraId="1FD90339" w14:textId="52D81050">
      <w:pPr>
        <w:pStyle w:val="JuPara"/>
        <w:rPr>
          <w:rFonts w:eastAsiaTheme="minorEastAsia"/>
        </w:rPr>
      </w:pPr>
      <w:r w:rsidRPr="00CB791A">
        <w:fldChar w:fldCharType="begin"/>
      </w:r>
      <w:r w:rsidRPr="00CB791A">
        <w:instrText xml:space="preserve"> SEQ level0 \*arabic </w:instrText>
      </w:r>
      <w:r w:rsidRPr="00CB791A">
        <w:fldChar w:fldCharType="separate"/>
      </w:r>
      <w:r w:rsidRPr="00CB791A" w:rsidR="00CB791A">
        <w:rPr>
          <w:noProof/>
        </w:rPr>
        <w:t>28</w:t>
      </w:r>
      <w:r w:rsidRPr="00CB791A">
        <w:fldChar w:fldCharType="end"/>
      </w:r>
      <w:r w:rsidRPr="00CB791A">
        <w:t>.  </w:t>
      </w:r>
      <w:r w:rsidRPr="00CB791A">
        <w:rPr>
          <w:rFonts w:eastAsiaTheme="minorEastAsia"/>
        </w:rPr>
        <w:t>Dans le même temps, les requérants saisirent la Cour de nouvelles requêtes (n</w:t>
      </w:r>
      <w:r w:rsidRPr="00CB791A">
        <w:rPr>
          <w:rFonts w:eastAsiaTheme="minorEastAsia"/>
          <w:vertAlign w:val="superscript"/>
        </w:rPr>
        <w:t xml:space="preserve">os </w:t>
      </w:r>
      <w:r w:rsidRPr="00CB791A">
        <w:rPr>
          <w:rFonts w:eastAsiaTheme="minorEastAsia"/>
        </w:rPr>
        <w:t>19431/19 et 19653/19),</w:t>
      </w:r>
      <w:r w:rsidRPr="00CB791A">
        <w:t xml:space="preserve"> </w:t>
      </w:r>
      <w:r w:rsidRPr="00CB791A">
        <w:rPr>
          <w:rFonts w:eastAsiaTheme="minorEastAsia"/>
        </w:rPr>
        <w:t>se plaignant que l</w:t>
      </w:r>
      <w:r w:rsidRPr="00CB791A" w:rsidR="00CB791A">
        <w:rPr>
          <w:rFonts w:eastAsiaTheme="minorEastAsia"/>
        </w:rPr>
        <w:t>’</w:t>
      </w:r>
      <w:r w:rsidRPr="00CB791A">
        <w:rPr>
          <w:rFonts w:eastAsiaTheme="minorEastAsia"/>
        </w:rPr>
        <w:t>arrêt de la Cour de cassation du 7 novembre 2018 les avait mis dans l</w:t>
      </w:r>
      <w:r w:rsidRPr="00CB791A" w:rsidR="00CB791A">
        <w:rPr>
          <w:rFonts w:eastAsiaTheme="minorEastAsia"/>
        </w:rPr>
        <w:t>’</w:t>
      </w:r>
      <w:r w:rsidRPr="00CB791A">
        <w:rPr>
          <w:rFonts w:eastAsiaTheme="minorEastAsia"/>
        </w:rPr>
        <w:t>impossibilité d</w:t>
      </w:r>
      <w:r w:rsidRPr="00CB791A" w:rsidR="00CB791A">
        <w:rPr>
          <w:rFonts w:eastAsiaTheme="minorEastAsia"/>
        </w:rPr>
        <w:t>’</w:t>
      </w:r>
      <w:r w:rsidRPr="00CB791A">
        <w:rPr>
          <w:rFonts w:eastAsiaTheme="minorEastAsia"/>
        </w:rPr>
        <w:t>obtenir la réouverture des procédures pénales dirigées contre eux et les avait donc privés de leur droit d</w:t>
      </w:r>
      <w:r w:rsidRPr="00CB791A" w:rsidR="00CB791A">
        <w:rPr>
          <w:rFonts w:eastAsiaTheme="minorEastAsia"/>
        </w:rPr>
        <w:t>’</w:t>
      </w:r>
      <w:r w:rsidRPr="00CB791A">
        <w:rPr>
          <w:rFonts w:eastAsiaTheme="minorEastAsia"/>
        </w:rPr>
        <w:t>accès à un tribunal au sens de l</w:t>
      </w:r>
      <w:r w:rsidRPr="00CB791A" w:rsidR="00CB791A">
        <w:rPr>
          <w:rFonts w:eastAsiaTheme="minorEastAsia"/>
        </w:rPr>
        <w:t>’</w:t>
      </w:r>
      <w:r w:rsidRPr="00CB791A">
        <w:rPr>
          <w:rFonts w:eastAsiaTheme="minorEastAsia"/>
        </w:rPr>
        <w:t>article 6 § 1 de la Convention.</w:t>
      </w:r>
    </w:p>
    <w:p w:rsidRPr="00CB791A" w:rsidR="00B34B1B" w:rsidP="00CB791A" w:rsidRDefault="00B34B1B" w14:paraId="635D540F" w14:textId="617A28C6">
      <w:pPr>
        <w:pStyle w:val="JuPara"/>
        <w:rPr>
          <w:rFonts w:eastAsiaTheme="minorEastAsia"/>
        </w:rPr>
      </w:pPr>
      <w:r w:rsidRPr="00CB791A">
        <w:fldChar w:fldCharType="begin"/>
      </w:r>
      <w:r w:rsidRPr="00CB791A">
        <w:instrText xml:space="preserve"> SEQ level0 \*arabic </w:instrText>
      </w:r>
      <w:r w:rsidRPr="00CB791A">
        <w:fldChar w:fldCharType="separate"/>
      </w:r>
      <w:r w:rsidRPr="00CB791A" w:rsidR="00CB791A">
        <w:rPr>
          <w:noProof/>
        </w:rPr>
        <w:t>29</w:t>
      </w:r>
      <w:r w:rsidRPr="00CB791A">
        <w:fldChar w:fldCharType="end"/>
      </w:r>
      <w:r w:rsidRPr="00CB791A">
        <w:t>.  Les nouvelles requêtes furent communiquées au Gouvernement le 29 août 2019 et les questions suivantes posées aux parties :</w:t>
      </w:r>
    </w:p>
    <w:p w:rsidRPr="00CB791A" w:rsidR="00B34B1B" w:rsidP="00CB791A" w:rsidRDefault="00B34B1B" w14:paraId="0E6E9FB0" w14:textId="023911A8">
      <w:pPr>
        <w:pStyle w:val="JuQuot"/>
      </w:pPr>
      <w:r w:rsidRPr="00CB791A">
        <w:t>« 1.</w:t>
      </w:r>
      <w:r w:rsidRPr="00CB791A" w:rsidR="00777A4A">
        <w:t>  </w:t>
      </w:r>
      <w:r w:rsidRPr="00CB791A">
        <w:t>Les requérants continuent-ils à subir les conséquences de la violation reconnue par le Gouvernement dans la déclaration unilatérale, dont la Cour a pris acte, dans sa décision de radiation du 13 mars 2018 ? En d</w:t>
      </w:r>
      <w:r w:rsidRPr="00CB791A" w:rsidR="00CB791A">
        <w:t>’</w:t>
      </w:r>
      <w:r w:rsidRPr="00CB791A">
        <w:t>autres termes, ont-ils encore la qualité de « victimes » au sens de l</w:t>
      </w:r>
      <w:r w:rsidRPr="00CB791A" w:rsidR="00CB791A">
        <w:t>’</w:t>
      </w:r>
      <w:r w:rsidRPr="00CB791A">
        <w:t>article 34 de la Convention à la suite de la manière dont les engagements pris par le Gouvernement dans ladite déclaration ont été mis en œuvre ?</w:t>
      </w:r>
    </w:p>
    <w:p w:rsidRPr="00CB791A" w:rsidR="00B34B1B" w:rsidP="00CB791A" w:rsidRDefault="00B34B1B" w14:paraId="44F0ED6B" w14:textId="3B13A414">
      <w:pPr>
        <w:pStyle w:val="JuQuot"/>
      </w:pPr>
      <w:r w:rsidRPr="00CB791A">
        <w:t>2.</w:t>
      </w:r>
      <w:r w:rsidRPr="00CB791A" w:rsidR="00777A4A">
        <w:t>  </w:t>
      </w:r>
      <w:r w:rsidRPr="00CB791A">
        <w:t>La décision de la Cour du 13 mars 2018, prise sur la base de l</w:t>
      </w:r>
      <w:r w:rsidRPr="00CB791A" w:rsidR="00CB791A">
        <w:t>’</w:t>
      </w:r>
      <w:r w:rsidRPr="00CB791A">
        <w:t>article 37 § 1 de la Convention, s</w:t>
      </w:r>
      <w:r w:rsidRPr="00CB791A" w:rsidR="00CB791A">
        <w:t>’</w:t>
      </w:r>
      <w:r w:rsidRPr="00CB791A">
        <w:t>opposait-elle à ce que la Cour de cassation examine ensuite, dans le cadre de la procédure en réouverture, s</w:t>
      </w:r>
      <w:r w:rsidRPr="00CB791A" w:rsidR="00CB791A">
        <w:t>’</w:t>
      </w:r>
      <w:r w:rsidRPr="00CB791A">
        <w:t>il y avait violation ou non de l</w:t>
      </w:r>
      <w:r w:rsidRPr="00CB791A" w:rsidR="00CB791A">
        <w:t>’</w:t>
      </w:r>
      <w:r w:rsidRPr="00CB791A">
        <w:t>article 6 § 1 de la Convention en l</w:t>
      </w:r>
      <w:r w:rsidRPr="00CB791A" w:rsidR="00CB791A">
        <w:t>’</w:t>
      </w:r>
      <w:r w:rsidRPr="00CB791A">
        <w:t>espèce ?</w:t>
      </w:r>
    </w:p>
    <w:p w:rsidRPr="00CB791A" w:rsidR="00B34B1B" w:rsidP="00CB791A" w:rsidRDefault="00B34B1B" w14:paraId="69D0EA79" w14:textId="27156A7F">
      <w:pPr>
        <w:pStyle w:val="JuQuot"/>
      </w:pPr>
      <w:r w:rsidRPr="00CB791A">
        <w:t>3.</w:t>
      </w:r>
      <w:r w:rsidRPr="00CB791A" w:rsidR="00777A4A">
        <w:t>  </w:t>
      </w:r>
      <w:r w:rsidRPr="00CB791A">
        <w:t>Eu égard aux termes de la déclaration unilatérale, dont la Cour a pris acte, dans sa décision du 13 mars 2018, et aux circonstances spécifiques des affaires en l</w:t>
      </w:r>
      <w:r w:rsidRPr="00CB791A" w:rsidR="00CB791A">
        <w:t>’</w:t>
      </w:r>
      <w:r w:rsidRPr="00CB791A">
        <w:t>espèce, peut-on considérer que l</w:t>
      </w:r>
      <w:r w:rsidRPr="00CB791A" w:rsidR="00CB791A">
        <w:t>’</w:t>
      </w:r>
      <w:r w:rsidRPr="00CB791A">
        <w:t>État défendeur s</w:t>
      </w:r>
      <w:r w:rsidRPr="00CB791A" w:rsidR="00CB791A">
        <w:t>’</w:t>
      </w:r>
      <w:r w:rsidRPr="00CB791A">
        <w:t>est acquitté de l</w:t>
      </w:r>
      <w:r w:rsidRPr="00CB791A" w:rsidR="00CB791A">
        <w:t>’</w:t>
      </w:r>
      <w:r w:rsidRPr="00CB791A">
        <w:t>obligation qui lui incombe en vertu de l</w:t>
      </w:r>
      <w:r w:rsidRPr="00CB791A" w:rsidR="00CB791A">
        <w:t>’</w:t>
      </w:r>
      <w:r w:rsidRPr="00CB791A">
        <w:t>article 6 § 1 de la Convention d</w:t>
      </w:r>
      <w:r w:rsidRPr="00CB791A" w:rsidR="00CB791A">
        <w:t>’</w:t>
      </w:r>
      <w:r w:rsidRPr="00CB791A">
        <w:t>assurer aux requérants un droit d</w:t>
      </w:r>
      <w:r w:rsidRPr="00CB791A" w:rsidR="00CB791A">
        <w:t>’</w:t>
      </w:r>
      <w:r w:rsidRPr="00CB791A">
        <w:t xml:space="preserve">accès à un tribunal (les principes généraux sur ce terrain figurent dans </w:t>
      </w:r>
      <w:proofErr w:type="spellStart"/>
      <w:r w:rsidRPr="00CB791A">
        <w:rPr>
          <w:i/>
        </w:rPr>
        <w:t>Jeronovičs</w:t>
      </w:r>
      <w:proofErr w:type="spellEnd"/>
      <w:r w:rsidRPr="00CB791A">
        <w:rPr>
          <w:i/>
        </w:rPr>
        <w:t xml:space="preserve"> c. Lettonie </w:t>
      </w:r>
      <w:r w:rsidRPr="00CB791A">
        <w:t>[GC], n</w:t>
      </w:r>
      <w:r w:rsidRPr="00CB791A">
        <w:rPr>
          <w:vertAlign w:val="superscript"/>
        </w:rPr>
        <w:t>o</w:t>
      </w:r>
      <w:r w:rsidRPr="00CB791A">
        <w:t xml:space="preserve"> 44898/10, §§ 64-70, 5 juillet 2016) ? »</w:t>
      </w:r>
    </w:p>
    <w:p w:rsidRPr="00CB791A" w:rsidR="00B34B1B" w:rsidP="00CB791A" w:rsidRDefault="00B34B1B" w14:paraId="0EC0248A" w14:textId="77777777">
      <w:pPr>
        <w:pStyle w:val="JuHHead"/>
      </w:pPr>
      <w:bookmarkStart w:name="_Hlk36127227" w:id="20"/>
      <w:r w:rsidRPr="00CB791A">
        <w:rPr>
          <w:caps w:val="0"/>
        </w:rPr>
        <w:t>LE CADRE JURIDIQUE ET LA PRATIQUE INTERNES PERTINENTS</w:t>
      </w:r>
    </w:p>
    <w:bookmarkEnd w:id="20"/>
    <w:p w:rsidRPr="00CB791A" w:rsidR="00B34B1B" w:rsidP="00CB791A" w:rsidRDefault="00B34B1B" w14:paraId="7C4669EB" w14:textId="77777777">
      <w:pPr>
        <w:pStyle w:val="JuHIRoman"/>
      </w:pPr>
      <w:r w:rsidRPr="00CB791A">
        <w:t>Recevabilité du pourvoi en cassation en matière pénale</w:t>
      </w:r>
    </w:p>
    <w:bookmarkStart w:name="DroitInterne425" w:id="21"/>
    <w:bookmarkStart w:name="A" w:id="22"/>
    <w:bookmarkStart w:name="_Hlk36127236" w:id="23"/>
    <w:p w:rsidRPr="00CB791A" w:rsidR="00B34B1B" w:rsidP="00CB791A" w:rsidRDefault="00B34B1B" w14:paraId="345A4785" w14:textId="0C376EE6">
      <w:pPr>
        <w:pStyle w:val="JuPara"/>
        <w:rPr>
          <w:rFonts w:eastAsiaTheme="minorEastAsia"/>
          <w:lang w:bidi="en-US"/>
        </w:rPr>
      </w:pPr>
      <w:r w:rsidRPr="00CB791A">
        <w:fldChar w:fldCharType="begin"/>
      </w:r>
      <w:r w:rsidRPr="00CB791A">
        <w:instrText xml:space="preserve"> SEQ level0 \*arabic </w:instrText>
      </w:r>
      <w:r w:rsidRPr="00CB791A">
        <w:fldChar w:fldCharType="separate"/>
      </w:r>
      <w:r w:rsidRPr="00CB791A" w:rsidR="00CB791A">
        <w:rPr>
          <w:noProof/>
        </w:rPr>
        <w:t>30</w:t>
      </w:r>
      <w:r w:rsidRPr="00CB791A">
        <w:fldChar w:fldCharType="end"/>
      </w:r>
      <w:bookmarkEnd w:id="21"/>
      <w:bookmarkEnd w:id="22"/>
      <w:r w:rsidRPr="00CB791A">
        <w:t>.  Telles que modifiées par la loi du 14 février 2014 relative à la procédure devant la Cour de cassation en matière pénale, les dispositions pertinentes du CIC se lisent comme suit :</w:t>
      </w:r>
    </w:p>
    <w:p w:rsidRPr="00CB791A" w:rsidR="00B34B1B" w:rsidP="00CB791A" w:rsidRDefault="00B34B1B" w14:paraId="06768992" w14:textId="77777777">
      <w:pPr>
        <w:pStyle w:val="JuHArticle"/>
        <w:rPr>
          <w:rFonts w:eastAsiaTheme="minorEastAsia"/>
          <w:lang w:bidi="en-US"/>
        </w:rPr>
      </w:pPr>
      <w:r w:rsidRPr="00CB791A">
        <w:rPr>
          <w:rFonts w:eastAsiaTheme="minorEastAsia"/>
          <w:lang w:bidi="en-US"/>
        </w:rPr>
        <w:t>Article 425</w:t>
      </w:r>
    </w:p>
    <w:p w:rsidRPr="00CB791A" w:rsidR="00B34B1B" w:rsidP="00CB791A" w:rsidRDefault="00B34B1B" w14:paraId="0C8847C3" w14:textId="76A3AF7B">
      <w:pPr>
        <w:pStyle w:val="JuQuot"/>
        <w:rPr>
          <w:rFonts w:eastAsiaTheme="minorEastAsia"/>
        </w:rPr>
      </w:pPr>
      <w:r w:rsidRPr="00CB791A">
        <w:rPr>
          <w:rFonts w:eastAsiaTheme="minorEastAsia"/>
        </w:rPr>
        <w:t>« § 1</w:t>
      </w:r>
      <w:r w:rsidRPr="00CB791A">
        <w:rPr>
          <w:rFonts w:eastAsiaTheme="minorEastAsia"/>
          <w:vertAlign w:val="superscript"/>
        </w:rPr>
        <w:t>er</w:t>
      </w:r>
      <w:r w:rsidRPr="00CB791A">
        <w:rPr>
          <w:rFonts w:eastAsiaTheme="minorEastAsia"/>
        </w:rPr>
        <w:t>.</w:t>
      </w:r>
      <w:r w:rsidRPr="00CB791A" w:rsidR="00777A4A">
        <w:rPr>
          <w:rFonts w:eastAsiaTheme="minorEastAsia"/>
        </w:rPr>
        <w:t>  </w:t>
      </w:r>
      <w:r w:rsidRPr="00CB791A">
        <w:rPr>
          <w:rFonts w:eastAsiaTheme="minorEastAsia"/>
        </w:rPr>
        <w:t>Sans préjudice du § 2, la déclaration de pourvoi est faite par le ministère public ou l</w:t>
      </w:r>
      <w:r w:rsidRPr="00CB791A" w:rsidR="00CB791A">
        <w:rPr>
          <w:rFonts w:eastAsiaTheme="minorEastAsia"/>
        </w:rPr>
        <w:t>’</w:t>
      </w:r>
      <w:r w:rsidRPr="00CB791A">
        <w:rPr>
          <w:rFonts w:eastAsiaTheme="minorEastAsia"/>
        </w:rPr>
        <w:t>avocat au greffe de la juridiction qui a rendu la décision attaquée. Elle est signée par le ministère public ou l</w:t>
      </w:r>
      <w:r w:rsidRPr="00CB791A" w:rsidR="00CB791A">
        <w:rPr>
          <w:rFonts w:eastAsiaTheme="minorEastAsia"/>
        </w:rPr>
        <w:t>’</w:t>
      </w:r>
      <w:r w:rsidRPr="00CB791A">
        <w:rPr>
          <w:rFonts w:eastAsiaTheme="minorEastAsia"/>
        </w:rPr>
        <w:t>avocat ainsi que par le greffier et inscrite dans le registre destiné à cet effet.</w:t>
      </w:r>
    </w:p>
    <w:p w:rsidRPr="00CB791A" w:rsidR="00B34B1B" w:rsidP="00CB791A" w:rsidRDefault="00B34B1B" w14:paraId="6335AD46" w14:textId="4B94786F">
      <w:pPr>
        <w:pStyle w:val="JuQuot"/>
        <w:rPr>
          <w:rFonts w:eastAsiaTheme="minorEastAsia"/>
        </w:rPr>
      </w:pPr>
      <w:r w:rsidRPr="00CB791A">
        <w:rPr>
          <w:rFonts w:eastAsiaTheme="minorEastAsia"/>
        </w:rPr>
        <w:t xml:space="preserve"> L</w:t>
      </w:r>
      <w:r w:rsidRPr="00CB791A" w:rsidR="00CB791A">
        <w:rPr>
          <w:rFonts w:eastAsiaTheme="minorEastAsia"/>
        </w:rPr>
        <w:t>’</w:t>
      </w:r>
      <w:r w:rsidRPr="00CB791A">
        <w:rPr>
          <w:rFonts w:eastAsiaTheme="minorEastAsia"/>
        </w:rPr>
        <w:t>avocat doit être titulaire d</w:t>
      </w:r>
      <w:r w:rsidRPr="00CB791A" w:rsidR="00CB791A">
        <w:rPr>
          <w:rFonts w:eastAsiaTheme="minorEastAsia"/>
        </w:rPr>
        <w:t>’</w:t>
      </w:r>
      <w:r w:rsidRPr="00CB791A">
        <w:rPr>
          <w:rFonts w:eastAsiaTheme="minorEastAsia"/>
        </w:rPr>
        <w:t>une attestation de formation en procédure en cassation visée par le livre II, titre III. Le Roi fixe les critères auxquels la formation doit répondre.</w:t>
      </w:r>
    </w:p>
    <w:p w:rsidRPr="00CB791A" w:rsidR="00B34B1B" w:rsidP="00CB791A" w:rsidRDefault="00B34B1B" w14:paraId="1D45416E" w14:textId="150E8F75">
      <w:pPr>
        <w:pStyle w:val="JuQuot"/>
        <w:ind w:left="0" w:firstLine="0"/>
        <w:rPr>
          <w:rFonts w:eastAsiaTheme="minorEastAsia"/>
        </w:rPr>
      </w:pPr>
      <w:r w:rsidRPr="00CB791A">
        <w:rPr>
          <w:rFonts w:eastAsiaTheme="minorEastAsia"/>
        </w:rPr>
        <w:t>§§ 2-3.</w:t>
      </w:r>
      <w:r w:rsidRPr="00CB791A" w:rsidR="00777A4A">
        <w:rPr>
          <w:rFonts w:eastAsiaTheme="minorEastAsia"/>
        </w:rPr>
        <w:t>  </w:t>
      </w:r>
      <w:r w:rsidRPr="00CB791A" w:rsidR="00CB791A">
        <w:rPr>
          <w:rFonts w:eastAsiaTheme="minorEastAsia"/>
        </w:rPr>
        <w:t>(</w:t>
      </w:r>
      <w:r w:rsidRPr="00CB791A">
        <w:rPr>
          <w:rFonts w:eastAsiaTheme="minorEastAsia"/>
        </w:rPr>
        <w:t>...</w:t>
      </w:r>
      <w:r w:rsidRPr="00CB791A" w:rsidR="00CB791A">
        <w:rPr>
          <w:rFonts w:eastAsiaTheme="minorEastAsia"/>
        </w:rPr>
        <w:t>)</w:t>
      </w:r>
    </w:p>
    <w:p w:rsidRPr="00CB791A" w:rsidR="00B34B1B" w:rsidP="00CB791A" w:rsidRDefault="00B34B1B" w14:paraId="04EBDB20" w14:textId="77777777">
      <w:pPr>
        <w:pStyle w:val="JuHArticle"/>
        <w:rPr>
          <w:rFonts w:eastAsiaTheme="minorEastAsia"/>
          <w:lang w:bidi="en-US"/>
        </w:rPr>
      </w:pPr>
      <w:r w:rsidRPr="00CB791A">
        <w:rPr>
          <w:rFonts w:eastAsiaTheme="minorEastAsia"/>
          <w:lang w:bidi="en-US"/>
        </w:rPr>
        <w:t>Article 429</w:t>
      </w:r>
    </w:p>
    <w:p w:rsidRPr="00CB791A" w:rsidR="00B34B1B" w:rsidP="00CB791A" w:rsidRDefault="00B34B1B" w14:paraId="67421D02" w14:textId="7981D7A8">
      <w:pPr>
        <w:pStyle w:val="JuQuot"/>
        <w:rPr>
          <w:rFonts w:eastAsiaTheme="minorEastAsia"/>
        </w:rPr>
      </w:pPr>
      <w:r w:rsidRPr="00CB791A">
        <w:rPr>
          <w:rFonts w:eastAsiaTheme="minorEastAsia"/>
        </w:rPr>
        <w:t>« Hormis le ministère public, le demandeur en cassation ne peut indiquer ses moyens que dans un mémoire signé par un avocat, titulaire de l</w:t>
      </w:r>
      <w:r w:rsidRPr="00CB791A" w:rsidR="00CB791A">
        <w:rPr>
          <w:rFonts w:eastAsiaTheme="minorEastAsia"/>
        </w:rPr>
        <w:t>’</w:t>
      </w:r>
      <w:r w:rsidRPr="00CB791A">
        <w:rPr>
          <w:rFonts w:eastAsiaTheme="minorEastAsia"/>
        </w:rPr>
        <w:t>attestation visée à l</w:t>
      </w:r>
      <w:r w:rsidRPr="00CB791A" w:rsidR="00CB791A">
        <w:rPr>
          <w:rFonts w:eastAsiaTheme="minorEastAsia"/>
        </w:rPr>
        <w:t>’</w:t>
      </w:r>
      <w:r w:rsidRPr="00CB791A">
        <w:rPr>
          <w:rFonts w:eastAsiaTheme="minorEastAsia"/>
        </w:rPr>
        <w:t>article 425, § 1</w:t>
      </w:r>
      <w:r w:rsidRPr="00CB791A">
        <w:rPr>
          <w:rFonts w:eastAsiaTheme="minorEastAsia"/>
          <w:vertAlign w:val="superscript"/>
        </w:rPr>
        <w:t>er</w:t>
      </w:r>
      <w:r w:rsidRPr="00CB791A">
        <w:rPr>
          <w:rFonts w:eastAsiaTheme="minorEastAsia"/>
        </w:rPr>
        <w:t>, alinéa 2, et remis au greffe de la Cour de Cassation, quinze jours au plus tard avant l</w:t>
      </w:r>
      <w:r w:rsidRPr="00CB791A" w:rsidR="00CB791A">
        <w:rPr>
          <w:rFonts w:eastAsiaTheme="minorEastAsia"/>
        </w:rPr>
        <w:t>’</w:t>
      </w:r>
      <w:r w:rsidRPr="00CB791A">
        <w:rPr>
          <w:rFonts w:eastAsiaTheme="minorEastAsia"/>
        </w:rPr>
        <w:t>audience.</w:t>
      </w:r>
    </w:p>
    <w:p w:rsidRPr="00CB791A" w:rsidR="00B34B1B" w:rsidP="00CB791A" w:rsidRDefault="00B34B1B" w14:paraId="6E5FD361" w14:textId="70F3BDFF">
      <w:pPr>
        <w:pStyle w:val="JuQuot"/>
        <w:rPr>
          <w:rFonts w:eastAsiaTheme="minorEastAsia"/>
        </w:rPr>
      </w:pPr>
      <w:r w:rsidRPr="00CB791A">
        <w:rPr>
          <w:rFonts w:eastAsiaTheme="minorEastAsia"/>
        </w:rPr>
        <w:t xml:space="preserve"> Il ne peut toutefois produire de mémoires ou de pièces autres que les désistements, les actes de reprise d</w:t>
      </w:r>
      <w:r w:rsidRPr="00CB791A" w:rsidR="00CB791A">
        <w:rPr>
          <w:rFonts w:eastAsiaTheme="minorEastAsia"/>
        </w:rPr>
        <w:t>’</w:t>
      </w:r>
      <w:r w:rsidRPr="00CB791A">
        <w:rPr>
          <w:rFonts w:eastAsiaTheme="minorEastAsia"/>
        </w:rPr>
        <w:t>instance, les actes qui révèlent que le pourvoi est devenu sans objet et les notes visées à l</w:t>
      </w:r>
      <w:r w:rsidRPr="00CB791A" w:rsidR="00CB791A">
        <w:rPr>
          <w:rFonts w:eastAsiaTheme="minorEastAsia"/>
        </w:rPr>
        <w:t>’</w:t>
      </w:r>
      <w:r w:rsidRPr="00CB791A">
        <w:rPr>
          <w:rFonts w:eastAsiaTheme="minorEastAsia"/>
        </w:rPr>
        <w:t>article 1107 du Code judiciaire, après les deux mois qui suivent la déclaration de pourvoi en cassation.</w:t>
      </w:r>
    </w:p>
    <w:p w:rsidRPr="00CB791A" w:rsidR="00B34B1B" w:rsidP="00CB791A" w:rsidRDefault="00B34B1B" w14:paraId="6D3D2187" w14:textId="0CD56DAD">
      <w:pPr>
        <w:pStyle w:val="JuQuot"/>
        <w:rPr>
          <w:rFonts w:eastAsiaTheme="minorEastAsia"/>
        </w:rPr>
      </w:pPr>
      <w:r w:rsidRPr="00CB791A">
        <w:rPr>
          <w:rFonts w:eastAsiaTheme="minorEastAsia"/>
        </w:rPr>
        <w:t xml:space="preserve"> Le défendeur en cassation ne peut indiquer sa réponse que dans un mémoire signé par un avocat, titulaire de l</w:t>
      </w:r>
      <w:r w:rsidRPr="00CB791A" w:rsidR="00CB791A">
        <w:rPr>
          <w:rFonts w:eastAsiaTheme="minorEastAsia"/>
        </w:rPr>
        <w:t>’</w:t>
      </w:r>
      <w:r w:rsidRPr="00CB791A">
        <w:rPr>
          <w:rFonts w:eastAsiaTheme="minorEastAsia"/>
        </w:rPr>
        <w:t>attestation visée à l</w:t>
      </w:r>
      <w:r w:rsidRPr="00CB791A" w:rsidR="00CB791A">
        <w:rPr>
          <w:rFonts w:eastAsiaTheme="minorEastAsia"/>
        </w:rPr>
        <w:t>’</w:t>
      </w:r>
      <w:r w:rsidRPr="00CB791A">
        <w:rPr>
          <w:rFonts w:eastAsiaTheme="minorEastAsia"/>
        </w:rPr>
        <w:t>article 425, § 1</w:t>
      </w:r>
      <w:r w:rsidRPr="00CB791A">
        <w:rPr>
          <w:rFonts w:eastAsiaTheme="minorEastAsia"/>
          <w:vertAlign w:val="superscript"/>
        </w:rPr>
        <w:t>er</w:t>
      </w:r>
      <w:r w:rsidRPr="00CB791A">
        <w:rPr>
          <w:rFonts w:eastAsiaTheme="minorEastAsia"/>
        </w:rPr>
        <w:t>, alinéa 2 et remis au greffe de la Cour de Cassation, au plus tard huit jours avant l</w:t>
      </w:r>
      <w:r w:rsidRPr="00CB791A" w:rsidR="00CB791A">
        <w:rPr>
          <w:rFonts w:eastAsiaTheme="minorEastAsia"/>
        </w:rPr>
        <w:t>’</w:t>
      </w:r>
      <w:r w:rsidRPr="00CB791A">
        <w:rPr>
          <w:rFonts w:eastAsiaTheme="minorEastAsia"/>
        </w:rPr>
        <w:t>audience.</w:t>
      </w:r>
    </w:p>
    <w:p w:rsidRPr="00CB791A" w:rsidR="00B34B1B" w:rsidP="00CB791A" w:rsidRDefault="00B34B1B" w14:paraId="5D3C2A75" w14:textId="2D97E30B">
      <w:pPr>
        <w:pStyle w:val="JuQuot"/>
        <w:rPr>
          <w:rFonts w:eastAsiaTheme="minorEastAsia"/>
        </w:rPr>
      </w:pPr>
      <w:r w:rsidRPr="00CB791A">
        <w:rPr>
          <w:rFonts w:eastAsiaTheme="minorEastAsia"/>
        </w:rPr>
        <w:t xml:space="preserve"> Sauf l</w:t>
      </w:r>
      <w:r w:rsidRPr="00CB791A" w:rsidR="00CB791A">
        <w:rPr>
          <w:rFonts w:eastAsiaTheme="minorEastAsia"/>
        </w:rPr>
        <w:t>’</w:t>
      </w:r>
      <w:r w:rsidRPr="00CB791A">
        <w:rPr>
          <w:rFonts w:eastAsiaTheme="minorEastAsia"/>
        </w:rPr>
        <w:t>exception visée à l</w:t>
      </w:r>
      <w:r w:rsidRPr="00CB791A" w:rsidR="00CB791A">
        <w:rPr>
          <w:rFonts w:eastAsiaTheme="minorEastAsia"/>
        </w:rPr>
        <w:t>’</w:t>
      </w:r>
      <w:r w:rsidRPr="00CB791A">
        <w:rPr>
          <w:rFonts w:eastAsiaTheme="minorEastAsia"/>
        </w:rPr>
        <w:t>article 427, alinéa 1</w:t>
      </w:r>
      <w:r w:rsidRPr="00CB791A">
        <w:rPr>
          <w:rFonts w:eastAsiaTheme="minorEastAsia"/>
          <w:vertAlign w:val="superscript"/>
        </w:rPr>
        <w:t>er</w:t>
      </w:r>
      <w:r w:rsidRPr="00CB791A">
        <w:rPr>
          <w:rFonts w:eastAsiaTheme="minorEastAsia"/>
        </w:rPr>
        <w:t>, le mémoire du demandeur est communiqué par courrier recommandé ou par voie électronique à la partie contre laquelle le pourvoi est dirigé et le défendeur lui communique de la même manière son mémoire en réponse. La preuve de l</w:t>
      </w:r>
      <w:r w:rsidRPr="00CB791A" w:rsidR="00CB791A">
        <w:rPr>
          <w:rFonts w:eastAsiaTheme="minorEastAsia"/>
        </w:rPr>
        <w:t>’</w:t>
      </w:r>
      <w:r w:rsidRPr="00CB791A">
        <w:rPr>
          <w:rFonts w:eastAsiaTheme="minorEastAsia"/>
        </w:rPr>
        <w:t>envoi est déposée au greffe dans les délais prévus aux alinéas 1</w:t>
      </w:r>
      <w:r w:rsidRPr="00CB791A">
        <w:rPr>
          <w:rFonts w:eastAsiaTheme="minorEastAsia"/>
          <w:vertAlign w:val="superscript"/>
        </w:rPr>
        <w:t>er</w:t>
      </w:r>
      <w:r w:rsidRPr="00CB791A">
        <w:rPr>
          <w:rFonts w:eastAsiaTheme="minorEastAsia"/>
        </w:rPr>
        <w:t xml:space="preserve"> à 3. Ces formalités sont prescrites à peine d</w:t>
      </w:r>
      <w:r w:rsidRPr="00CB791A" w:rsidR="00CB791A">
        <w:rPr>
          <w:rFonts w:eastAsiaTheme="minorEastAsia"/>
        </w:rPr>
        <w:t>’</w:t>
      </w:r>
      <w:r w:rsidRPr="00CB791A">
        <w:rPr>
          <w:rFonts w:eastAsiaTheme="minorEastAsia"/>
        </w:rPr>
        <w:t>irrecevabilité.</w:t>
      </w:r>
    </w:p>
    <w:p w:rsidRPr="00CB791A" w:rsidR="00B34B1B" w:rsidP="00CB791A" w:rsidRDefault="00B34B1B" w14:paraId="6835B26D" w14:textId="77777777">
      <w:pPr>
        <w:pStyle w:val="JuQuot"/>
        <w:rPr>
          <w:rFonts w:eastAsiaTheme="minorEastAsia"/>
        </w:rPr>
      </w:pPr>
      <w:r w:rsidRPr="00CB791A">
        <w:rPr>
          <w:rFonts w:eastAsiaTheme="minorEastAsia"/>
        </w:rPr>
        <w:t xml:space="preserve"> Le greffier constate la remise par les parties de mémoires ou de pièces en indiquant la date de réception.</w:t>
      </w:r>
    </w:p>
    <w:p w:rsidRPr="00CB791A" w:rsidR="00B34B1B" w:rsidP="00CB791A" w:rsidRDefault="00B34B1B" w14:paraId="6F0AFD53" w14:textId="6134AC25">
      <w:pPr>
        <w:pStyle w:val="JuQuot"/>
        <w:rPr>
          <w:rFonts w:eastAsiaTheme="minorEastAsia"/>
        </w:rPr>
      </w:pPr>
      <w:r w:rsidRPr="00CB791A">
        <w:rPr>
          <w:rFonts w:eastAsiaTheme="minorEastAsia"/>
        </w:rPr>
        <w:t xml:space="preserve"> Il délivre récépissé au déposant s</w:t>
      </w:r>
      <w:r w:rsidRPr="00CB791A" w:rsidR="00CB791A">
        <w:rPr>
          <w:rFonts w:eastAsiaTheme="minorEastAsia"/>
        </w:rPr>
        <w:t>’</w:t>
      </w:r>
      <w:r w:rsidRPr="00CB791A">
        <w:rPr>
          <w:rFonts w:eastAsiaTheme="minorEastAsia"/>
        </w:rPr>
        <w:t>il en est requis. »</w:t>
      </w:r>
    </w:p>
    <w:p w:rsidRPr="00CB791A" w:rsidR="00B34B1B" w:rsidP="00CB791A" w:rsidRDefault="00B34B1B" w14:paraId="13A5516A" w14:textId="57DB33E9">
      <w:pPr>
        <w:pStyle w:val="JuPara"/>
        <w:rPr>
          <w:rFonts w:eastAsiaTheme="minorEastAsia"/>
        </w:rPr>
      </w:pPr>
      <w:r w:rsidRPr="00CB791A">
        <w:rPr>
          <w:rFonts w:eastAsiaTheme="minorEastAsia"/>
        </w:rPr>
        <w:fldChar w:fldCharType="begin"/>
      </w:r>
      <w:r w:rsidRPr="00CB791A">
        <w:rPr>
          <w:rFonts w:eastAsiaTheme="minorEastAsia"/>
        </w:rPr>
        <w:instrText xml:space="preserve"> SEQ level0 \*arabic </w:instrText>
      </w:r>
      <w:r w:rsidRPr="00CB791A">
        <w:rPr>
          <w:rFonts w:eastAsiaTheme="minorEastAsia"/>
        </w:rPr>
        <w:fldChar w:fldCharType="separate"/>
      </w:r>
      <w:r w:rsidRPr="00CB791A" w:rsidR="00CB791A">
        <w:rPr>
          <w:rFonts w:eastAsiaTheme="minorEastAsia"/>
          <w:noProof/>
        </w:rPr>
        <w:t>31</w:t>
      </w:r>
      <w:r w:rsidRPr="00CB791A">
        <w:rPr>
          <w:rFonts w:eastAsiaTheme="minorEastAsia"/>
        </w:rPr>
        <w:fldChar w:fldCharType="end"/>
      </w:r>
      <w:r w:rsidRPr="00CB791A">
        <w:rPr>
          <w:rFonts w:eastAsiaTheme="minorEastAsia"/>
        </w:rPr>
        <w:t>.  L</w:t>
      </w:r>
      <w:r w:rsidRPr="00CB791A" w:rsidR="00CB791A">
        <w:rPr>
          <w:rFonts w:eastAsiaTheme="minorEastAsia"/>
        </w:rPr>
        <w:t>’</w:t>
      </w:r>
      <w:r w:rsidRPr="00CB791A">
        <w:rPr>
          <w:rFonts w:eastAsiaTheme="minorEastAsia"/>
        </w:rPr>
        <w:t>article 425, à l</w:t>
      </w:r>
      <w:r w:rsidRPr="00CB791A" w:rsidR="00CB791A">
        <w:rPr>
          <w:rFonts w:eastAsiaTheme="minorEastAsia"/>
        </w:rPr>
        <w:t>’</w:t>
      </w:r>
      <w:r w:rsidRPr="00CB791A">
        <w:rPr>
          <w:rFonts w:eastAsiaTheme="minorEastAsia"/>
        </w:rPr>
        <w:t>exception de l</w:t>
      </w:r>
      <w:r w:rsidRPr="00CB791A" w:rsidR="00CB791A">
        <w:rPr>
          <w:rFonts w:eastAsiaTheme="minorEastAsia"/>
        </w:rPr>
        <w:t>’</w:t>
      </w:r>
      <w:r w:rsidRPr="00CB791A">
        <w:rPr>
          <w:rFonts w:eastAsiaTheme="minorEastAsia"/>
        </w:rPr>
        <w:t>alinéa 2 du § 1</w:t>
      </w:r>
      <w:r w:rsidRPr="00CB791A">
        <w:rPr>
          <w:rFonts w:eastAsiaTheme="minorEastAsia"/>
          <w:vertAlign w:val="superscript"/>
        </w:rPr>
        <w:t>er</w:t>
      </w:r>
      <w:r w:rsidRPr="00CB791A">
        <w:rPr>
          <w:rFonts w:eastAsiaTheme="minorEastAsia"/>
        </w:rPr>
        <w:t>, deuxième phrase, et l</w:t>
      </w:r>
      <w:r w:rsidRPr="00CB791A" w:rsidR="00CB791A">
        <w:rPr>
          <w:rFonts w:eastAsiaTheme="minorEastAsia"/>
        </w:rPr>
        <w:t>’</w:t>
      </w:r>
      <w:r w:rsidRPr="00CB791A">
        <w:rPr>
          <w:rFonts w:eastAsiaTheme="minorEastAsia"/>
        </w:rPr>
        <w:t>article 429 nouveaux sont entrés en vigueur le 1</w:t>
      </w:r>
      <w:r w:rsidRPr="00CB791A">
        <w:rPr>
          <w:rFonts w:eastAsiaTheme="minorEastAsia"/>
          <w:vertAlign w:val="superscript"/>
        </w:rPr>
        <w:t>er</w:t>
      </w:r>
      <w:r w:rsidRPr="00CB791A" w:rsidR="00777A4A">
        <w:rPr>
          <w:rFonts w:eastAsiaTheme="minorEastAsia"/>
        </w:rPr>
        <w:t> </w:t>
      </w:r>
      <w:r w:rsidRPr="00CB791A">
        <w:rPr>
          <w:rFonts w:eastAsiaTheme="minorEastAsia"/>
        </w:rPr>
        <w:t>février 2016. L</w:t>
      </w:r>
      <w:r w:rsidRPr="00CB791A" w:rsidR="00CB791A">
        <w:rPr>
          <w:rFonts w:eastAsiaTheme="minorEastAsia"/>
        </w:rPr>
        <w:t>’</w:t>
      </w:r>
      <w:r w:rsidRPr="00CB791A">
        <w:rPr>
          <w:rFonts w:eastAsiaTheme="minorEastAsia"/>
        </w:rPr>
        <w:t>article 425 § 1</w:t>
      </w:r>
      <w:r w:rsidRPr="00CB791A">
        <w:rPr>
          <w:rFonts w:eastAsiaTheme="minorEastAsia"/>
          <w:vertAlign w:val="superscript"/>
        </w:rPr>
        <w:t>er</w:t>
      </w:r>
      <w:r w:rsidRPr="00CB791A">
        <w:rPr>
          <w:rFonts w:eastAsiaTheme="minorEastAsia"/>
        </w:rPr>
        <w:t xml:space="preserve"> alinéa 2, deuxième phrase, est entré en vigueur le jour où l</w:t>
      </w:r>
      <w:r w:rsidRPr="00CB791A" w:rsidR="00CB791A">
        <w:rPr>
          <w:rFonts w:eastAsiaTheme="minorEastAsia"/>
        </w:rPr>
        <w:t>’</w:t>
      </w:r>
      <w:r w:rsidRPr="00CB791A">
        <w:rPr>
          <w:rFonts w:eastAsiaTheme="minorEastAsia"/>
        </w:rPr>
        <w:t>arrêté d</w:t>
      </w:r>
      <w:r w:rsidRPr="00CB791A" w:rsidR="00CB791A">
        <w:rPr>
          <w:rFonts w:eastAsiaTheme="minorEastAsia"/>
        </w:rPr>
        <w:t>’</w:t>
      </w:r>
      <w:r w:rsidRPr="00CB791A">
        <w:rPr>
          <w:rFonts w:eastAsiaTheme="minorEastAsia"/>
        </w:rPr>
        <w:t>exécution de la loi du 14 février 2014 (arrêté royal du 10</w:t>
      </w:r>
      <w:r w:rsidRPr="00CB791A" w:rsidR="00777A4A">
        <w:rPr>
          <w:rFonts w:eastAsiaTheme="minorEastAsia"/>
        </w:rPr>
        <w:t> </w:t>
      </w:r>
      <w:r w:rsidRPr="00CB791A">
        <w:rPr>
          <w:rFonts w:eastAsiaTheme="minorEastAsia"/>
        </w:rPr>
        <w:t>octobre 2014) est entré en vigueur, à savoir le 20 novembre 2014.</w:t>
      </w:r>
    </w:p>
    <w:bookmarkStart w:name="DroitInterneRèglFormation" w:id="24"/>
    <w:bookmarkStart w:name="_Hlk64823671" w:id="25"/>
    <w:p w:rsidRPr="00CB791A" w:rsidR="00B34B1B" w:rsidP="00CB791A" w:rsidRDefault="00B34B1B" w14:paraId="48311784" w14:textId="3699DBF8">
      <w:pPr>
        <w:pStyle w:val="JuPara"/>
        <w:rPr>
          <w:rFonts w:eastAsiaTheme="minorEastAsia"/>
        </w:rPr>
      </w:pPr>
      <w:r w:rsidRPr="00CB791A">
        <w:rPr>
          <w:rFonts w:eastAsiaTheme="minorEastAsia"/>
        </w:rPr>
        <w:fldChar w:fldCharType="begin"/>
      </w:r>
      <w:r w:rsidRPr="00CB791A">
        <w:rPr>
          <w:rFonts w:eastAsiaTheme="minorEastAsia"/>
        </w:rPr>
        <w:instrText xml:space="preserve"> SEQ level0 \*arabic </w:instrText>
      </w:r>
      <w:r w:rsidRPr="00CB791A">
        <w:rPr>
          <w:rFonts w:eastAsiaTheme="minorEastAsia"/>
        </w:rPr>
        <w:fldChar w:fldCharType="separate"/>
      </w:r>
      <w:r w:rsidRPr="00CB791A" w:rsidR="00CB791A">
        <w:rPr>
          <w:rFonts w:eastAsiaTheme="minorEastAsia"/>
          <w:noProof/>
        </w:rPr>
        <w:t>32</w:t>
      </w:r>
      <w:r w:rsidRPr="00CB791A">
        <w:rPr>
          <w:rFonts w:eastAsiaTheme="minorEastAsia"/>
        </w:rPr>
        <w:fldChar w:fldCharType="end"/>
      </w:r>
      <w:bookmarkEnd w:id="24"/>
      <w:r w:rsidRPr="00CB791A">
        <w:rPr>
          <w:rFonts w:eastAsiaTheme="minorEastAsia"/>
        </w:rPr>
        <w:t>.  Le règlement de la formation en cassation dans les affaires pénales mis sur pied en application de l</w:t>
      </w:r>
      <w:r w:rsidRPr="00CB791A" w:rsidR="00CB791A">
        <w:rPr>
          <w:rFonts w:eastAsiaTheme="minorEastAsia"/>
        </w:rPr>
        <w:t>’</w:t>
      </w:r>
      <w:r w:rsidRPr="00CB791A">
        <w:rPr>
          <w:rFonts w:eastAsiaTheme="minorEastAsia"/>
        </w:rPr>
        <w:t>article 2 § 2 de l</w:t>
      </w:r>
      <w:r w:rsidRPr="00CB791A" w:rsidR="00CB791A">
        <w:rPr>
          <w:rFonts w:eastAsiaTheme="minorEastAsia"/>
        </w:rPr>
        <w:t>’</w:t>
      </w:r>
      <w:r w:rsidRPr="00CB791A">
        <w:rPr>
          <w:rFonts w:eastAsiaTheme="minorEastAsia"/>
        </w:rPr>
        <w:t>arrêté royal du 10</w:t>
      </w:r>
      <w:r w:rsidRPr="00CB791A" w:rsidR="00777A4A">
        <w:rPr>
          <w:rFonts w:eastAsiaTheme="minorEastAsia"/>
        </w:rPr>
        <w:t> </w:t>
      </w:r>
      <w:r w:rsidRPr="00CB791A">
        <w:rPr>
          <w:rFonts w:eastAsiaTheme="minorEastAsia"/>
        </w:rPr>
        <w:t>octobre 2014 fixant les critères relatifs à la formation prévue à l</w:t>
      </w:r>
      <w:r w:rsidRPr="00CB791A" w:rsidR="00CB791A">
        <w:rPr>
          <w:rFonts w:eastAsiaTheme="minorEastAsia"/>
        </w:rPr>
        <w:t>’</w:t>
      </w:r>
      <w:r w:rsidRPr="00CB791A">
        <w:rPr>
          <w:rFonts w:eastAsiaTheme="minorEastAsia"/>
        </w:rPr>
        <w:t>article 425</w:t>
      </w:r>
      <w:r w:rsidRPr="00CB791A" w:rsidR="00CB791A">
        <w:rPr>
          <w:rFonts w:eastAsiaTheme="minorEastAsia"/>
        </w:rPr>
        <w:t xml:space="preserve"> </w:t>
      </w:r>
      <w:r w:rsidRPr="00CB791A">
        <w:rPr>
          <w:rFonts w:eastAsiaTheme="minorEastAsia"/>
        </w:rPr>
        <w:t>§ 1</w:t>
      </w:r>
      <w:r w:rsidRPr="00CB791A">
        <w:rPr>
          <w:rFonts w:eastAsiaTheme="minorEastAsia"/>
          <w:vertAlign w:val="superscript"/>
        </w:rPr>
        <w:t>er </w:t>
      </w:r>
      <w:r w:rsidRPr="00CB791A">
        <w:rPr>
          <w:rFonts w:eastAsiaTheme="minorEastAsia"/>
        </w:rPr>
        <w:t>alinéa 2 du CIC mentionne ce qui suit :</w:t>
      </w:r>
    </w:p>
    <w:p w:rsidRPr="00CB791A" w:rsidR="00B34B1B" w:rsidP="00CB791A" w:rsidRDefault="00B34B1B" w14:paraId="1E5FEBC9" w14:textId="7D678C1F">
      <w:pPr>
        <w:pStyle w:val="JuQuot"/>
        <w:rPr>
          <w:rFonts w:eastAsiaTheme="minorEastAsia"/>
        </w:rPr>
      </w:pPr>
      <w:r w:rsidRPr="00CB791A">
        <w:rPr>
          <w:rFonts w:eastAsiaTheme="minorEastAsia"/>
        </w:rPr>
        <w:t>« La commission de formation conservera une liste des avocats auxquels l</w:t>
      </w:r>
      <w:r w:rsidRPr="00CB791A" w:rsidR="00CB791A">
        <w:rPr>
          <w:rFonts w:eastAsiaTheme="minorEastAsia"/>
        </w:rPr>
        <w:t>’</w:t>
      </w:r>
      <w:r w:rsidRPr="00CB791A">
        <w:rPr>
          <w:rFonts w:eastAsiaTheme="minorEastAsia"/>
        </w:rPr>
        <w:t>attestation a été délivrée et remettra cette liste et chaque adaptation à la Cour de Cassation, de la manière déterminée par la Cour de Cassation. La liste pourra être consultée par le public sur les sites Web de l</w:t>
      </w:r>
      <w:r w:rsidRPr="00CB791A" w:rsidR="00CB791A">
        <w:rPr>
          <w:rFonts w:eastAsiaTheme="minorEastAsia"/>
        </w:rPr>
        <w:t>’</w:t>
      </w:r>
      <w:r w:rsidRPr="00CB791A">
        <w:rPr>
          <w:rFonts w:eastAsiaTheme="minorEastAsia"/>
        </w:rPr>
        <w:t>Ordre des Barreaux flamands et de l</w:t>
      </w:r>
      <w:r w:rsidRPr="00CB791A" w:rsidR="00CB791A">
        <w:rPr>
          <w:rFonts w:eastAsiaTheme="minorEastAsia"/>
        </w:rPr>
        <w:t>’</w:t>
      </w:r>
      <w:r w:rsidRPr="00CB791A">
        <w:rPr>
          <w:rFonts w:eastAsiaTheme="minorEastAsia"/>
        </w:rPr>
        <w:t>Ordre des Barreaux francophones et germanophone. »</w:t>
      </w:r>
    </w:p>
    <w:bookmarkStart w:name="DroitInterneSiteCass" w:id="26"/>
    <w:p w:rsidRPr="00CB791A" w:rsidR="00B34B1B" w:rsidP="00CB791A" w:rsidRDefault="00B34B1B" w14:paraId="60E546C6" w14:textId="6C273E8B">
      <w:pPr>
        <w:pStyle w:val="JuPara"/>
        <w:rPr>
          <w:rFonts w:eastAsiaTheme="minorEastAsia"/>
          <w:szCs w:val="22"/>
        </w:rPr>
      </w:pPr>
      <w:r w:rsidRPr="00CB791A">
        <w:rPr>
          <w:rFonts w:eastAsiaTheme="minorEastAsia"/>
          <w:szCs w:val="22"/>
        </w:rPr>
        <w:fldChar w:fldCharType="begin"/>
      </w:r>
      <w:r w:rsidRPr="00CB791A">
        <w:rPr>
          <w:rFonts w:eastAsiaTheme="minorEastAsia"/>
          <w:szCs w:val="22"/>
        </w:rPr>
        <w:instrText xml:space="preserve"> SEQ level0 \*arabic </w:instrText>
      </w:r>
      <w:r w:rsidRPr="00CB791A">
        <w:rPr>
          <w:rFonts w:eastAsiaTheme="minorEastAsia"/>
          <w:szCs w:val="22"/>
        </w:rPr>
        <w:fldChar w:fldCharType="separate"/>
      </w:r>
      <w:r w:rsidRPr="00CB791A" w:rsidR="00CB791A">
        <w:rPr>
          <w:rFonts w:eastAsiaTheme="minorEastAsia"/>
          <w:noProof/>
          <w:szCs w:val="22"/>
        </w:rPr>
        <w:t>33</w:t>
      </w:r>
      <w:r w:rsidRPr="00CB791A">
        <w:rPr>
          <w:rFonts w:eastAsiaTheme="minorEastAsia"/>
          <w:szCs w:val="22"/>
        </w:rPr>
        <w:fldChar w:fldCharType="end"/>
      </w:r>
      <w:bookmarkEnd w:id="26"/>
      <w:r w:rsidRPr="00CB791A">
        <w:rPr>
          <w:rFonts w:eastAsiaTheme="minorEastAsia"/>
          <w:szCs w:val="22"/>
        </w:rPr>
        <w:t>.  </w:t>
      </w:r>
      <w:r w:rsidRPr="00CB791A">
        <w:rPr>
          <w:rFonts w:eastAsia="Times New Roman"/>
        </w:rPr>
        <w:t>Sur le site internet de la Cour de cassation figuraient au moment où les pourvois en cause en l</w:t>
      </w:r>
      <w:r w:rsidRPr="00CB791A" w:rsidR="00CB791A">
        <w:rPr>
          <w:rFonts w:eastAsia="Times New Roman"/>
        </w:rPr>
        <w:t>’</w:t>
      </w:r>
      <w:r w:rsidRPr="00CB791A">
        <w:rPr>
          <w:rFonts w:eastAsia="Times New Roman"/>
        </w:rPr>
        <w:t>espèce ont été formés, et figurent toujours, les informations et liens suivants</w:t>
      </w:r>
      <w:r w:rsidRPr="00CB791A">
        <w:rPr>
          <w:rFonts w:eastAsiaTheme="minorEastAsia"/>
          <w:szCs w:val="22"/>
        </w:rPr>
        <w:t> :</w:t>
      </w:r>
    </w:p>
    <w:p w:rsidRPr="00CB791A" w:rsidR="00B34B1B" w:rsidP="00CB791A" w:rsidRDefault="00B34B1B" w14:paraId="56D90214" w14:textId="02D8A419">
      <w:pPr>
        <w:pStyle w:val="JuQuot"/>
        <w:rPr>
          <w:rFonts w:eastAsiaTheme="minorEastAsia"/>
        </w:rPr>
      </w:pPr>
      <w:r w:rsidRPr="00CB791A">
        <w:rPr>
          <w:rFonts w:eastAsiaTheme="minorEastAsia"/>
        </w:rPr>
        <w:t>« La déclaration de pourvoi et les mémoires doivent en règle, être signés par un avocat. Celui-ci ne doit pas nécessairement être membre du barreau de cassation. En revanche, il doit être titulaire d</w:t>
      </w:r>
      <w:r w:rsidRPr="00CB791A" w:rsidR="00CB791A">
        <w:rPr>
          <w:rFonts w:eastAsiaTheme="minorEastAsia"/>
        </w:rPr>
        <w:t>’</w:t>
      </w:r>
      <w:r w:rsidRPr="00CB791A">
        <w:rPr>
          <w:rFonts w:eastAsiaTheme="minorEastAsia"/>
        </w:rPr>
        <w:t>une attestation de formation à la technique de cassation en matière pénale. La liste des avocats titulaires de cette attestation est accessible via les liens suivants : [sites respectifs de l</w:t>
      </w:r>
      <w:r w:rsidRPr="00CB791A" w:rsidR="00CB791A">
        <w:rPr>
          <w:rFonts w:eastAsiaTheme="minorEastAsia"/>
        </w:rPr>
        <w:t>’</w:t>
      </w:r>
      <w:r w:rsidRPr="00CB791A">
        <w:rPr>
          <w:rFonts w:eastAsiaTheme="minorEastAsia"/>
        </w:rPr>
        <w:t>Ordre des Barreaux flamands et de l</w:t>
      </w:r>
      <w:r w:rsidRPr="00CB791A" w:rsidR="00CB791A">
        <w:rPr>
          <w:rFonts w:eastAsiaTheme="minorEastAsia"/>
        </w:rPr>
        <w:t>’</w:t>
      </w:r>
      <w:r w:rsidRPr="00CB791A">
        <w:rPr>
          <w:rFonts w:eastAsiaTheme="minorEastAsia"/>
        </w:rPr>
        <w:t xml:space="preserve">Ordre des Barreaux francophones et germanophone] </w:t>
      </w:r>
      <w:r w:rsidRPr="00CB791A" w:rsidDel="00BB04FD">
        <w:rPr>
          <w:rFonts w:eastAsiaTheme="minorEastAsia"/>
        </w:rPr>
        <w:t>(</w:t>
      </w:r>
      <w:r w:rsidRPr="00CB791A">
        <w:rPr>
          <w:rFonts w:eastAsiaTheme="minorEastAsia"/>
        </w:rPr>
        <w:t>...) »</w:t>
      </w:r>
    </w:p>
    <w:bookmarkStart w:name="DroitInterneRappAnnCass" w:id="27"/>
    <w:bookmarkEnd w:id="25"/>
    <w:p w:rsidRPr="00CB791A" w:rsidR="00B34B1B" w:rsidP="00CB791A" w:rsidRDefault="00B34B1B" w14:paraId="5E31A589" w14:textId="7345F218">
      <w:pPr>
        <w:pStyle w:val="JuPara"/>
        <w:rPr>
          <w:rFonts w:eastAsiaTheme="minorEastAsia"/>
        </w:rPr>
      </w:pPr>
      <w:r w:rsidRPr="00CB791A">
        <w:rPr>
          <w:rFonts w:eastAsiaTheme="minorEastAsia"/>
        </w:rPr>
        <w:fldChar w:fldCharType="begin"/>
      </w:r>
      <w:r w:rsidRPr="00CB791A">
        <w:rPr>
          <w:rFonts w:eastAsiaTheme="minorEastAsia"/>
        </w:rPr>
        <w:instrText xml:space="preserve"> SEQ level0 \*arabic </w:instrText>
      </w:r>
      <w:r w:rsidRPr="00CB791A">
        <w:rPr>
          <w:rFonts w:eastAsiaTheme="minorEastAsia"/>
        </w:rPr>
        <w:fldChar w:fldCharType="separate"/>
      </w:r>
      <w:r w:rsidRPr="00CB791A" w:rsidR="00CB791A">
        <w:rPr>
          <w:rFonts w:eastAsiaTheme="minorEastAsia"/>
          <w:noProof/>
        </w:rPr>
        <w:t>34</w:t>
      </w:r>
      <w:r w:rsidRPr="00CB791A">
        <w:rPr>
          <w:rFonts w:eastAsiaTheme="minorEastAsia"/>
        </w:rPr>
        <w:fldChar w:fldCharType="end"/>
      </w:r>
      <w:bookmarkEnd w:id="27"/>
      <w:r w:rsidRPr="00CB791A">
        <w:rPr>
          <w:rFonts w:eastAsiaTheme="minorEastAsia"/>
        </w:rPr>
        <w:t>.  Le rapport annuel 2016 de la Cour de cassation explique comme suit l</w:t>
      </w:r>
      <w:r w:rsidRPr="00CB791A" w:rsidR="00CB791A">
        <w:rPr>
          <w:rFonts w:eastAsiaTheme="minorEastAsia"/>
        </w:rPr>
        <w:t>’</w:t>
      </w:r>
      <w:r w:rsidRPr="00CB791A">
        <w:rPr>
          <w:rFonts w:eastAsiaTheme="minorEastAsia"/>
        </w:rPr>
        <w:t>introduction par la loi du 14 février 2014 de l</w:t>
      </w:r>
      <w:r w:rsidRPr="00CB791A" w:rsidR="00CB791A">
        <w:rPr>
          <w:rFonts w:eastAsiaTheme="minorEastAsia"/>
        </w:rPr>
        <w:t>’</w:t>
      </w:r>
      <w:r w:rsidRPr="00CB791A">
        <w:rPr>
          <w:rFonts w:eastAsiaTheme="minorEastAsia"/>
        </w:rPr>
        <w:t>obligation pour l</w:t>
      </w:r>
      <w:r w:rsidRPr="00CB791A" w:rsidR="00CB791A">
        <w:rPr>
          <w:rFonts w:eastAsiaTheme="minorEastAsia"/>
        </w:rPr>
        <w:t>’</w:t>
      </w:r>
      <w:r w:rsidRPr="00CB791A">
        <w:rPr>
          <w:rFonts w:eastAsiaTheme="minorEastAsia"/>
        </w:rPr>
        <w:t>avocat intervenant lors d</w:t>
      </w:r>
      <w:r w:rsidRPr="00CB791A" w:rsidR="00CB791A">
        <w:rPr>
          <w:rFonts w:eastAsiaTheme="minorEastAsia"/>
        </w:rPr>
        <w:t>’</w:t>
      </w:r>
      <w:r w:rsidRPr="00CB791A">
        <w:rPr>
          <w:rFonts w:eastAsiaTheme="minorEastAsia"/>
        </w:rPr>
        <w:t>un pourvoi en matière répressive d</w:t>
      </w:r>
      <w:r w:rsidRPr="00CB791A" w:rsidR="00CB791A">
        <w:rPr>
          <w:rFonts w:eastAsiaTheme="minorEastAsia"/>
        </w:rPr>
        <w:t>’</w:t>
      </w:r>
      <w:r w:rsidRPr="00CB791A">
        <w:rPr>
          <w:rFonts w:eastAsiaTheme="minorEastAsia"/>
        </w:rPr>
        <w:t>être titulaire d</w:t>
      </w:r>
      <w:r w:rsidRPr="00CB791A" w:rsidR="00CB791A">
        <w:rPr>
          <w:rFonts w:eastAsiaTheme="minorEastAsia"/>
        </w:rPr>
        <w:t>’</w:t>
      </w:r>
      <w:r w:rsidRPr="00CB791A">
        <w:rPr>
          <w:rFonts w:eastAsiaTheme="minorEastAsia"/>
        </w:rPr>
        <w:t>une attestation de formation en procédure en cassation :</w:t>
      </w:r>
    </w:p>
    <w:p w:rsidRPr="00CB791A" w:rsidR="00B34B1B" w:rsidP="00CB791A" w:rsidRDefault="00B34B1B" w14:paraId="31A864AB" w14:textId="3A315EDC">
      <w:pPr>
        <w:pStyle w:val="JuQuot"/>
        <w:rPr>
          <w:rFonts w:eastAsiaTheme="minorEastAsia"/>
        </w:rPr>
      </w:pPr>
      <w:r w:rsidRPr="00CB791A">
        <w:rPr>
          <w:rFonts w:eastAsiaTheme="minorEastAsia"/>
        </w:rPr>
        <w:t>« Depuis le 1</w:t>
      </w:r>
      <w:r w:rsidRPr="00CB791A">
        <w:rPr>
          <w:rFonts w:eastAsiaTheme="minorEastAsia"/>
          <w:vertAlign w:val="superscript"/>
        </w:rPr>
        <w:t>er</w:t>
      </w:r>
      <w:r w:rsidRPr="00CB791A">
        <w:rPr>
          <w:rFonts w:eastAsiaTheme="minorEastAsia"/>
        </w:rPr>
        <w:t xml:space="preserve"> février 2016, l</w:t>
      </w:r>
      <w:r w:rsidRPr="00CB791A" w:rsidR="00CB791A">
        <w:rPr>
          <w:rFonts w:eastAsiaTheme="minorEastAsia"/>
        </w:rPr>
        <w:t>’</w:t>
      </w:r>
      <w:r w:rsidRPr="00CB791A">
        <w:rPr>
          <w:rFonts w:eastAsiaTheme="minorEastAsia"/>
        </w:rPr>
        <w:t>avocat intervenant lors d</w:t>
      </w:r>
      <w:r w:rsidRPr="00CB791A" w:rsidR="00CB791A">
        <w:rPr>
          <w:rFonts w:eastAsiaTheme="minorEastAsia"/>
        </w:rPr>
        <w:t>’</w:t>
      </w:r>
      <w:r w:rsidRPr="00CB791A">
        <w:rPr>
          <w:rFonts w:eastAsiaTheme="minorEastAsia"/>
        </w:rPr>
        <w:t>un pourvoi en matière répressive doit être titulaire d</w:t>
      </w:r>
      <w:r w:rsidRPr="00CB791A" w:rsidR="00CB791A">
        <w:rPr>
          <w:rFonts w:eastAsiaTheme="minorEastAsia"/>
        </w:rPr>
        <w:t>’</w:t>
      </w:r>
      <w:r w:rsidRPr="00CB791A">
        <w:rPr>
          <w:rFonts w:eastAsiaTheme="minorEastAsia"/>
        </w:rPr>
        <w:t>une attestation de formation en procédure en cassation dont les critères sont fixés par le Roi (art. 425, § 1</w:t>
      </w:r>
      <w:r w:rsidRPr="00CB791A">
        <w:rPr>
          <w:rFonts w:eastAsiaTheme="minorEastAsia"/>
          <w:vertAlign w:val="superscript"/>
        </w:rPr>
        <w:t>er</w:t>
      </w:r>
      <w:r w:rsidRPr="00CB791A">
        <w:rPr>
          <w:rFonts w:eastAsiaTheme="minorEastAsia"/>
        </w:rPr>
        <w:t>, al. 2, C.i.cr.). Cette formation se justifie en raison du caractère « technique et spécifique » de la procédure en cassation. Cette exigence de formation n</w:t>
      </w:r>
      <w:r w:rsidRPr="00CB791A" w:rsidR="00CB791A">
        <w:rPr>
          <w:rFonts w:eastAsiaTheme="minorEastAsia"/>
        </w:rPr>
        <w:t>’</w:t>
      </w:r>
      <w:r w:rsidRPr="00CB791A">
        <w:rPr>
          <w:rFonts w:eastAsiaTheme="minorEastAsia"/>
        </w:rPr>
        <w:t>a pas été jugée inconstitutionnelle. En effet, le droit d</w:t>
      </w:r>
      <w:r w:rsidRPr="00CB791A" w:rsidR="00CB791A">
        <w:rPr>
          <w:rFonts w:eastAsiaTheme="minorEastAsia"/>
        </w:rPr>
        <w:t>’</w:t>
      </w:r>
      <w:r w:rsidRPr="00CB791A">
        <w:rPr>
          <w:rFonts w:eastAsiaTheme="minorEastAsia"/>
        </w:rPr>
        <w:t>être assisté par un avocat ne signifie pas que des conditions de recevabilité ne puissent être instaurées dans des matières très complexes justifiant l</w:t>
      </w:r>
      <w:r w:rsidRPr="00CB791A" w:rsidR="00CB791A">
        <w:rPr>
          <w:rFonts w:eastAsiaTheme="minorEastAsia"/>
        </w:rPr>
        <w:t>’</w:t>
      </w:r>
      <w:r w:rsidRPr="00CB791A">
        <w:rPr>
          <w:rFonts w:eastAsiaTheme="minorEastAsia"/>
        </w:rPr>
        <w:t>exigence d</w:t>
      </w:r>
      <w:r w:rsidRPr="00CB791A" w:rsidR="00CB791A">
        <w:rPr>
          <w:rFonts w:eastAsiaTheme="minorEastAsia"/>
        </w:rPr>
        <w:t>’</w:t>
      </w:r>
      <w:r w:rsidRPr="00CB791A">
        <w:rPr>
          <w:rFonts w:eastAsiaTheme="minorEastAsia"/>
        </w:rPr>
        <w:t>une expérience spécifique. En imposant l</w:t>
      </w:r>
      <w:r w:rsidRPr="00CB791A" w:rsidR="00CB791A">
        <w:rPr>
          <w:rFonts w:eastAsiaTheme="minorEastAsia"/>
        </w:rPr>
        <w:t>’</w:t>
      </w:r>
      <w:r w:rsidRPr="00CB791A">
        <w:rPr>
          <w:rFonts w:eastAsiaTheme="minorEastAsia"/>
        </w:rPr>
        <w:t>exigence d</w:t>
      </w:r>
      <w:r w:rsidRPr="00CB791A" w:rsidR="00CB791A">
        <w:rPr>
          <w:rFonts w:eastAsiaTheme="minorEastAsia"/>
        </w:rPr>
        <w:t>’</w:t>
      </w:r>
      <w:r w:rsidRPr="00CB791A">
        <w:rPr>
          <w:rFonts w:eastAsiaTheme="minorEastAsia"/>
        </w:rPr>
        <w:t>une attestation de formation en cassation, le législateur a adopté une mesure en rapport avec les objectifs légitimes de la réforme visant tant à empêcher l</w:t>
      </w:r>
      <w:r w:rsidRPr="00CB791A" w:rsidR="00CB791A">
        <w:rPr>
          <w:rFonts w:eastAsiaTheme="minorEastAsia"/>
        </w:rPr>
        <w:t>’</w:t>
      </w:r>
      <w:r w:rsidRPr="00CB791A">
        <w:rPr>
          <w:rFonts w:eastAsiaTheme="minorEastAsia"/>
        </w:rPr>
        <w:t>afflux de pourvois en cassation manifestement non fondés en matière pénale, qu</w:t>
      </w:r>
      <w:r w:rsidRPr="00CB791A" w:rsidR="00CB791A">
        <w:rPr>
          <w:rFonts w:eastAsiaTheme="minorEastAsia"/>
        </w:rPr>
        <w:t>’</w:t>
      </w:r>
      <w:r w:rsidRPr="00CB791A">
        <w:rPr>
          <w:rFonts w:eastAsiaTheme="minorEastAsia"/>
        </w:rPr>
        <w:t>à garantir, dans le souci des intérêts du justiciable et du bon fonctionnement de la justice, une haute qualité aux écrits de procédure devant la Cour de cassation. Cette mesure est pertinente et elle n</w:t>
      </w:r>
      <w:r w:rsidRPr="00CB791A" w:rsidR="00CB791A">
        <w:rPr>
          <w:rFonts w:eastAsiaTheme="minorEastAsia"/>
        </w:rPr>
        <w:t>’</w:t>
      </w:r>
      <w:r w:rsidRPr="00CB791A">
        <w:rPr>
          <w:rFonts w:eastAsiaTheme="minorEastAsia"/>
        </w:rPr>
        <w:t>entraîne aucune discrimination. À partir du moment où cette formation est ouverte à tout avocat intéressé et que les mesures nécessaires sont prises afin de permettre à un nombre suffisant d</w:t>
      </w:r>
      <w:r w:rsidRPr="00CB791A" w:rsidR="00CB791A">
        <w:rPr>
          <w:rFonts w:eastAsiaTheme="minorEastAsia"/>
        </w:rPr>
        <w:t>’</w:t>
      </w:r>
      <w:r w:rsidRPr="00CB791A">
        <w:rPr>
          <w:rFonts w:eastAsiaTheme="minorEastAsia"/>
        </w:rPr>
        <w:t>avocats de la suivre, cette exigence ne peut être considérée comme apportant une limitation disproportionnée à l</w:t>
      </w:r>
      <w:r w:rsidRPr="00CB791A" w:rsidR="00CB791A">
        <w:rPr>
          <w:rFonts w:eastAsiaTheme="minorEastAsia"/>
        </w:rPr>
        <w:t>’</w:t>
      </w:r>
      <w:r w:rsidRPr="00CB791A">
        <w:rPr>
          <w:rFonts w:eastAsiaTheme="minorEastAsia"/>
        </w:rPr>
        <w:t>accès à la justice.</w:t>
      </w:r>
    </w:p>
    <w:p w:rsidRPr="00CB791A" w:rsidR="00B34B1B" w:rsidP="00CB791A" w:rsidRDefault="00B34B1B" w14:paraId="242ABD2E" w14:textId="0B567194">
      <w:pPr>
        <w:pStyle w:val="JuQuot"/>
        <w:rPr>
          <w:rFonts w:eastAsiaTheme="minorEastAsia"/>
        </w:rPr>
      </w:pPr>
      <w:r w:rsidRPr="00CB791A">
        <w:rPr>
          <w:rFonts w:eastAsiaTheme="minorEastAsia"/>
        </w:rPr>
        <w:t>L</w:t>
      </w:r>
      <w:r w:rsidRPr="00CB791A" w:rsidR="00CB791A">
        <w:rPr>
          <w:rFonts w:eastAsiaTheme="minorEastAsia"/>
        </w:rPr>
        <w:t>’</w:t>
      </w:r>
      <w:r w:rsidRPr="00CB791A">
        <w:rPr>
          <w:rFonts w:eastAsiaTheme="minorEastAsia"/>
        </w:rPr>
        <w:t>arrêté royal du 10 octobre 2014 fixant les critères de la formation prévue à l</w:t>
      </w:r>
      <w:r w:rsidRPr="00CB791A" w:rsidR="00CB791A">
        <w:rPr>
          <w:rFonts w:eastAsiaTheme="minorEastAsia"/>
        </w:rPr>
        <w:t>’</w:t>
      </w:r>
      <w:r w:rsidRPr="00CB791A">
        <w:rPr>
          <w:rFonts w:eastAsiaTheme="minorEastAsia"/>
        </w:rPr>
        <w:t>article 425, § 1</w:t>
      </w:r>
      <w:r w:rsidRPr="00CB791A">
        <w:rPr>
          <w:rFonts w:eastAsiaTheme="minorEastAsia"/>
          <w:vertAlign w:val="superscript"/>
        </w:rPr>
        <w:t>er</w:t>
      </w:r>
      <w:r w:rsidRPr="00CB791A">
        <w:rPr>
          <w:rFonts w:eastAsiaTheme="minorEastAsia"/>
        </w:rPr>
        <w:t>, alinéa 2, du Code d</w:t>
      </w:r>
      <w:r w:rsidRPr="00CB791A" w:rsidR="00CB791A">
        <w:rPr>
          <w:rFonts w:eastAsiaTheme="minorEastAsia"/>
        </w:rPr>
        <w:t>’</w:t>
      </w:r>
      <w:r w:rsidRPr="00CB791A">
        <w:rPr>
          <w:rFonts w:eastAsiaTheme="minorEastAsia"/>
        </w:rPr>
        <w:t>instruction criminelle détermine le contenu de la formation ainsi que les conditions pour délivrer l</w:t>
      </w:r>
      <w:r w:rsidRPr="00CB791A" w:rsidR="00CB791A">
        <w:rPr>
          <w:rFonts w:eastAsiaTheme="minorEastAsia"/>
        </w:rPr>
        <w:t>’</w:t>
      </w:r>
      <w:r w:rsidRPr="00CB791A">
        <w:rPr>
          <w:rFonts w:eastAsiaTheme="minorEastAsia"/>
        </w:rPr>
        <w:t>attestation prévue par ledit article 425, § 1</w:t>
      </w:r>
      <w:r w:rsidRPr="00CB791A">
        <w:rPr>
          <w:rFonts w:eastAsiaTheme="minorEastAsia"/>
          <w:vertAlign w:val="superscript"/>
        </w:rPr>
        <w:t>er</w:t>
      </w:r>
      <w:r w:rsidRPr="00CB791A">
        <w:rPr>
          <w:rFonts w:eastAsiaTheme="minorEastAsia"/>
        </w:rPr>
        <w:t>, alinéa 2, précité.</w:t>
      </w:r>
    </w:p>
    <w:p w:rsidRPr="00CB791A" w:rsidR="00B34B1B" w:rsidP="00CB791A" w:rsidRDefault="00B34B1B" w14:paraId="16A84503" w14:textId="678E1B63">
      <w:pPr>
        <w:pStyle w:val="JuQuot"/>
        <w:rPr>
          <w:rFonts w:eastAsiaTheme="minorEastAsia"/>
        </w:rPr>
      </w:pPr>
      <w:r w:rsidRPr="00CB791A">
        <w:rPr>
          <w:rFonts w:eastAsiaTheme="minorEastAsia"/>
        </w:rPr>
        <w:t>La formation est organisée au moins une fois par année judiciaire par l</w:t>
      </w:r>
      <w:r w:rsidRPr="00CB791A" w:rsidR="00CB791A">
        <w:rPr>
          <w:rFonts w:eastAsiaTheme="minorEastAsia"/>
        </w:rPr>
        <w:t>’</w:t>
      </w:r>
      <w:r w:rsidRPr="00CB791A">
        <w:rPr>
          <w:rFonts w:eastAsiaTheme="minorEastAsia"/>
        </w:rPr>
        <w:t>Ordre des barreaux francophones et germanophone (ci-après O.B.F.G.) et l</w:t>
      </w:r>
      <w:r w:rsidRPr="00CB791A" w:rsidR="00CB791A">
        <w:rPr>
          <w:rFonts w:eastAsiaTheme="minorEastAsia"/>
        </w:rPr>
        <w:t>’</w:t>
      </w:r>
      <w:proofErr w:type="spellStart"/>
      <w:r w:rsidRPr="00CB791A">
        <w:rPr>
          <w:rFonts w:eastAsiaTheme="minorEastAsia"/>
        </w:rPr>
        <w:t>Orde</w:t>
      </w:r>
      <w:proofErr w:type="spellEnd"/>
      <w:r w:rsidRPr="00CB791A">
        <w:rPr>
          <w:rFonts w:eastAsiaTheme="minorEastAsia"/>
        </w:rPr>
        <w:t xml:space="preserve"> van </w:t>
      </w:r>
      <w:proofErr w:type="spellStart"/>
      <w:r w:rsidRPr="00CB791A">
        <w:rPr>
          <w:rFonts w:eastAsiaTheme="minorEastAsia"/>
        </w:rPr>
        <w:t>Vlaamse</w:t>
      </w:r>
      <w:proofErr w:type="spellEnd"/>
      <w:r w:rsidRPr="00CB791A">
        <w:rPr>
          <w:rFonts w:eastAsiaTheme="minorEastAsia"/>
        </w:rPr>
        <w:t xml:space="preserve"> </w:t>
      </w:r>
      <w:proofErr w:type="spellStart"/>
      <w:r w:rsidRPr="00CB791A">
        <w:rPr>
          <w:rFonts w:eastAsiaTheme="minorEastAsia"/>
        </w:rPr>
        <w:t>Balies</w:t>
      </w:r>
      <w:proofErr w:type="spellEnd"/>
      <w:r w:rsidRPr="00CB791A">
        <w:rPr>
          <w:rFonts w:eastAsiaTheme="minorEastAsia"/>
        </w:rPr>
        <w:t xml:space="preserve"> (ci-après O.V.B.). Elle est accessible aux avocats inscrits régulièrement au tableau, sur la liste des avocats qui exercent leur profession sous le titre professionnel d</w:t>
      </w:r>
      <w:r w:rsidRPr="00CB791A" w:rsidR="00CB791A">
        <w:rPr>
          <w:rFonts w:eastAsiaTheme="minorEastAsia"/>
        </w:rPr>
        <w:t>’</w:t>
      </w:r>
      <w:r w:rsidRPr="00CB791A">
        <w:rPr>
          <w:rFonts w:eastAsiaTheme="minorEastAsia"/>
        </w:rPr>
        <w:t>un autre État membre de l</w:t>
      </w:r>
      <w:r w:rsidRPr="00CB791A" w:rsidR="00CB791A">
        <w:rPr>
          <w:rFonts w:eastAsiaTheme="minorEastAsia"/>
        </w:rPr>
        <w:t>’</w:t>
      </w:r>
      <w:r w:rsidRPr="00CB791A">
        <w:rPr>
          <w:rFonts w:eastAsiaTheme="minorEastAsia"/>
        </w:rPr>
        <w:t>Union européenne ou sur la liste des stagiaires (art. 1</w:t>
      </w:r>
      <w:r w:rsidRPr="00CB791A">
        <w:rPr>
          <w:rFonts w:eastAsiaTheme="minorEastAsia"/>
          <w:vertAlign w:val="superscript"/>
        </w:rPr>
        <w:t>er </w:t>
      </w:r>
      <w:r w:rsidRPr="00CB791A">
        <w:rPr>
          <w:rFonts w:eastAsiaTheme="minorEastAsia"/>
        </w:rPr>
        <w:t>de l</w:t>
      </w:r>
      <w:r w:rsidRPr="00CB791A" w:rsidR="00CB791A">
        <w:rPr>
          <w:rFonts w:eastAsiaTheme="minorEastAsia"/>
        </w:rPr>
        <w:t>’</w:t>
      </w:r>
      <w:r w:rsidRPr="00CB791A">
        <w:rPr>
          <w:rFonts w:eastAsiaTheme="minorEastAsia"/>
        </w:rPr>
        <w:t>arrêté royal du 10 octobre 2014).</w:t>
      </w:r>
    </w:p>
    <w:p w:rsidRPr="00CB791A" w:rsidR="00B34B1B" w:rsidP="00CB791A" w:rsidRDefault="00B34B1B" w14:paraId="506C3983" w14:textId="73CAFD0E">
      <w:pPr>
        <w:pStyle w:val="JuQuot"/>
        <w:rPr>
          <w:rFonts w:eastAsiaTheme="minorEastAsia"/>
        </w:rPr>
      </w:pPr>
      <w:r w:rsidRPr="00CB791A">
        <w:rPr>
          <w:rFonts w:eastAsiaTheme="minorEastAsia"/>
        </w:rPr>
        <w:t>Trois catégories d</w:t>
      </w:r>
      <w:r w:rsidRPr="00CB791A" w:rsidR="00CB791A">
        <w:rPr>
          <w:rFonts w:eastAsiaTheme="minorEastAsia"/>
        </w:rPr>
        <w:t>’</w:t>
      </w:r>
      <w:r w:rsidRPr="00CB791A">
        <w:rPr>
          <w:rFonts w:eastAsiaTheme="minorEastAsia"/>
        </w:rPr>
        <w:t>avocats sont réputées être titulaires de l</w:t>
      </w:r>
      <w:r w:rsidRPr="00CB791A" w:rsidR="00CB791A">
        <w:rPr>
          <w:rFonts w:eastAsiaTheme="minorEastAsia"/>
        </w:rPr>
        <w:t>’</w:t>
      </w:r>
      <w:r w:rsidRPr="00CB791A">
        <w:rPr>
          <w:rFonts w:eastAsiaTheme="minorEastAsia"/>
        </w:rPr>
        <w:t>attestation visée à l</w:t>
      </w:r>
      <w:r w:rsidRPr="00CB791A" w:rsidR="00CB791A">
        <w:rPr>
          <w:rFonts w:eastAsiaTheme="minorEastAsia"/>
        </w:rPr>
        <w:t>’</w:t>
      </w:r>
      <w:r w:rsidRPr="00CB791A">
        <w:rPr>
          <w:rFonts w:eastAsiaTheme="minorEastAsia"/>
        </w:rPr>
        <w:t>article 425, § 1</w:t>
      </w:r>
      <w:r w:rsidRPr="00CB791A">
        <w:rPr>
          <w:rFonts w:eastAsiaTheme="minorEastAsia"/>
          <w:vertAlign w:val="superscript"/>
        </w:rPr>
        <w:t>er</w:t>
      </w:r>
      <w:r w:rsidRPr="00CB791A">
        <w:rPr>
          <w:rFonts w:eastAsiaTheme="minorEastAsia"/>
        </w:rPr>
        <w:t>, alinéa 2, du Code d</w:t>
      </w:r>
      <w:r w:rsidRPr="00CB791A" w:rsidR="00CB791A">
        <w:rPr>
          <w:rFonts w:eastAsiaTheme="minorEastAsia"/>
        </w:rPr>
        <w:t>’</w:t>
      </w:r>
      <w:r w:rsidRPr="00CB791A">
        <w:rPr>
          <w:rFonts w:eastAsiaTheme="minorEastAsia"/>
        </w:rPr>
        <w:t>instruction criminelle (art. 3 de l</w:t>
      </w:r>
      <w:r w:rsidRPr="00CB791A" w:rsidR="00CB791A">
        <w:rPr>
          <w:rFonts w:eastAsiaTheme="minorEastAsia"/>
        </w:rPr>
        <w:t>’</w:t>
      </w:r>
      <w:r w:rsidRPr="00CB791A">
        <w:rPr>
          <w:rFonts w:eastAsiaTheme="minorEastAsia"/>
        </w:rPr>
        <w:t>arrêté royal du 10 octobre 2014) :</w:t>
      </w:r>
    </w:p>
    <w:p w:rsidRPr="00CB791A" w:rsidR="00B34B1B" w:rsidP="00CB791A" w:rsidRDefault="00B34B1B" w14:paraId="62E743FC" w14:textId="77777777">
      <w:pPr>
        <w:pStyle w:val="JuQuot"/>
        <w:rPr>
          <w:rFonts w:eastAsiaTheme="minorEastAsia"/>
        </w:rPr>
      </w:pPr>
      <w:r w:rsidRPr="00CB791A">
        <w:rPr>
          <w:rFonts w:eastAsiaTheme="minorEastAsia"/>
        </w:rPr>
        <w:t>– les avocats qui se voient délivrer cette attestation ;</w:t>
      </w:r>
    </w:p>
    <w:p w:rsidRPr="00CB791A" w:rsidR="00B34B1B" w:rsidP="00CB791A" w:rsidRDefault="00B34B1B" w14:paraId="5D27FBE1" w14:textId="77777777">
      <w:pPr>
        <w:pStyle w:val="JuQuot"/>
        <w:rPr>
          <w:rFonts w:eastAsiaTheme="minorEastAsia"/>
        </w:rPr>
      </w:pPr>
      <w:r w:rsidRPr="00CB791A">
        <w:rPr>
          <w:rFonts w:eastAsiaTheme="minorEastAsia"/>
        </w:rPr>
        <w:t>– les avocats à la Cour de cassation ;</w:t>
      </w:r>
    </w:p>
    <w:p w:rsidRPr="00CB791A" w:rsidR="00B34B1B" w:rsidP="00CB791A" w:rsidRDefault="00B34B1B" w14:paraId="61F6BEB4" w14:textId="1A21CB24">
      <w:pPr>
        <w:pStyle w:val="JuQuot"/>
        <w:rPr>
          <w:rFonts w:eastAsiaTheme="minorEastAsia"/>
        </w:rPr>
      </w:pPr>
      <w:r w:rsidRPr="00CB791A">
        <w:rPr>
          <w:rFonts w:eastAsiaTheme="minorEastAsia"/>
        </w:rPr>
        <w:t>– les avocats qui sont lauréats de l</w:t>
      </w:r>
      <w:r w:rsidRPr="00CB791A" w:rsidR="00CB791A">
        <w:rPr>
          <w:rFonts w:eastAsiaTheme="minorEastAsia"/>
        </w:rPr>
        <w:t>’</w:t>
      </w:r>
      <w:r w:rsidRPr="00CB791A">
        <w:rPr>
          <w:rFonts w:eastAsiaTheme="minorEastAsia"/>
        </w:rPr>
        <w:t>examen organisé par l</w:t>
      </w:r>
      <w:r w:rsidRPr="00CB791A" w:rsidR="00CB791A">
        <w:rPr>
          <w:rFonts w:eastAsiaTheme="minorEastAsia"/>
        </w:rPr>
        <w:t>’</w:t>
      </w:r>
      <w:r w:rsidRPr="00CB791A">
        <w:rPr>
          <w:rFonts w:eastAsiaTheme="minorEastAsia"/>
        </w:rPr>
        <w:t>Ordre des avocats à la Cour de cassation.</w:t>
      </w:r>
    </w:p>
    <w:p w:rsidRPr="00CB791A" w:rsidR="00B34B1B" w:rsidP="00CB791A" w:rsidRDefault="00B34B1B" w14:paraId="51FEE2AB" w14:textId="2883373B">
      <w:pPr>
        <w:pStyle w:val="JuQuot"/>
        <w:rPr>
          <w:rFonts w:eastAsiaTheme="minorEastAsia"/>
        </w:rPr>
      </w:pPr>
      <w:r w:rsidRPr="00CB791A">
        <w:rPr>
          <w:rFonts w:eastAsiaTheme="minorEastAsia"/>
        </w:rPr>
        <w:t>La Cour juge irrecevable – voire même manifestement irrecevable – le pourvoi formé après le 31 janvier 2016 par un avocat dont il n</w:t>
      </w:r>
      <w:r w:rsidRPr="00CB791A" w:rsidR="00CB791A">
        <w:rPr>
          <w:rFonts w:eastAsiaTheme="minorEastAsia"/>
        </w:rPr>
        <w:t>’</w:t>
      </w:r>
      <w:r w:rsidRPr="00CB791A">
        <w:rPr>
          <w:rFonts w:eastAsiaTheme="minorEastAsia"/>
        </w:rPr>
        <w:t>apparaît pas des pièces auxquelles la Cour peut avoir égard, déposées dans le délai de deux mois prévu à l</w:t>
      </w:r>
      <w:r w:rsidRPr="00CB791A" w:rsidR="00CB791A">
        <w:rPr>
          <w:rFonts w:eastAsiaTheme="minorEastAsia"/>
        </w:rPr>
        <w:t>’</w:t>
      </w:r>
      <w:r w:rsidRPr="00CB791A">
        <w:rPr>
          <w:rFonts w:eastAsiaTheme="minorEastAsia"/>
        </w:rPr>
        <w:t>article 429, alinéa 2, du Code d</w:t>
      </w:r>
      <w:r w:rsidRPr="00CB791A" w:rsidR="00CB791A">
        <w:rPr>
          <w:rFonts w:eastAsiaTheme="minorEastAsia"/>
        </w:rPr>
        <w:t>’</w:t>
      </w:r>
      <w:r w:rsidRPr="00CB791A">
        <w:rPr>
          <w:rFonts w:eastAsiaTheme="minorEastAsia"/>
        </w:rPr>
        <w:t>instruction criminelle, qu</w:t>
      </w:r>
      <w:r w:rsidRPr="00CB791A" w:rsidR="00CB791A">
        <w:rPr>
          <w:rFonts w:eastAsiaTheme="minorEastAsia"/>
        </w:rPr>
        <w:t>’</w:t>
      </w:r>
      <w:r w:rsidRPr="00CB791A">
        <w:rPr>
          <w:rFonts w:eastAsiaTheme="minorEastAsia"/>
        </w:rPr>
        <w:t>il soit titulaire de l</w:t>
      </w:r>
      <w:r w:rsidRPr="00CB791A" w:rsidR="00CB791A">
        <w:rPr>
          <w:rFonts w:eastAsiaTheme="minorEastAsia"/>
        </w:rPr>
        <w:t>’</w:t>
      </w:r>
      <w:r w:rsidRPr="00CB791A">
        <w:rPr>
          <w:rFonts w:eastAsiaTheme="minorEastAsia"/>
        </w:rPr>
        <w:t>attestation visée à l</w:t>
      </w:r>
      <w:r w:rsidRPr="00CB791A" w:rsidR="00CB791A">
        <w:rPr>
          <w:rFonts w:eastAsiaTheme="minorEastAsia"/>
        </w:rPr>
        <w:t>’</w:t>
      </w:r>
      <w:r w:rsidRPr="00CB791A">
        <w:rPr>
          <w:rFonts w:eastAsiaTheme="minorEastAsia"/>
        </w:rPr>
        <w:t>article 425, § 1</w:t>
      </w:r>
      <w:r w:rsidRPr="00CB791A">
        <w:rPr>
          <w:rFonts w:eastAsiaTheme="minorEastAsia"/>
          <w:vertAlign w:val="superscript"/>
        </w:rPr>
        <w:t>er</w:t>
      </w:r>
      <w:r w:rsidRPr="00CB791A">
        <w:rPr>
          <w:rFonts w:eastAsiaTheme="minorEastAsia"/>
        </w:rPr>
        <w:t>, alinéa 2, du même code, ou dispensé de cette attestation en qualité de lauréat de l</w:t>
      </w:r>
      <w:r w:rsidRPr="00CB791A" w:rsidR="00CB791A">
        <w:rPr>
          <w:rFonts w:eastAsiaTheme="minorEastAsia"/>
        </w:rPr>
        <w:t>’</w:t>
      </w:r>
      <w:r w:rsidRPr="00CB791A">
        <w:rPr>
          <w:rFonts w:eastAsiaTheme="minorEastAsia"/>
        </w:rPr>
        <w:t>examen organisé par l</w:t>
      </w:r>
      <w:r w:rsidRPr="00CB791A" w:rsidR="00CB791A">
        <w:rPr>
          <w:rFonts w:eastAsiaTheme="minorEastAsia"/>
        </w:rPr>
        <w:t>’</w:t>
      </w:r>
      <w:r w:rsidRPr="00CB791A">
        <w:rPr>
          <w:rFonts w:eastAsiaTheme="minorEastAsia"/>
        </w:rPr>
        <w:t>Ordre des avocats à la Cour de cassation, conformément à l</w:t>
      </w:r>
      <w:r w:rsidRPr="00CB791A" w:rsidR="00CB791A">
        <w:rPr>
          <w:rFonts w:eastAsiaTheme="minorEastAsia"/>
        </w:rPr>
        <w:t>’</w:t>
      </w:r>
      <w:r w:rsidRPr="00CB791A">
        <w:rPr>
          <w:rFonts w:eastAsiaTheme="minorEastAsia"/>
        </w:rPr>
        <w:t>article 3 de l</w:t>
      </w:r>
      <w:r w:rsidRPr="00CB791A" w:rsidR="00CB791A">
        <w:rPr>
          <w:rFonts w:eastAsiaTheme="minorEastAsia"/>
        </w:rPr>
        <w:t>’</w:t>
      </w:r>
      <w:r w:rsidRPr="00CB791A">
        <w:rPr>
          <w:rFonts w:eastAsiaTheme="minorEastAsia"/>
        </w:rPr>
        <w:t>arrêté royal du 10 octobre 2014.</w:t>
      </w:r>
    </w:p>
    <w:p w:rsidRPr="00CB791A" w:rsidR="00B34B1B" w:rsidP="00CB791A" w:rsidRDefault="00B34B1B" w14:paraId="3A4AADD0" w14:textId="627864D4">
      <w:pPr>
        <w:pStyle w:val="JuQuot"/>
        <w:rPr>
          <w:rFonts w:eastAsiaTheme="minorEastAsia"/>
        </w:rPr>
      </w:pPr>
      <w:r w:rsidRPr="00CB791A">
        <w:rPr>
          <w:rFonts w:eastAsiaTheme="minorEastAsia"/>
        </w:rPr>
        <w:t>Il n</w:t>
      </w:r>
      <w:r w:rsidRPr="00CB791A" w:rsidR="00CB791A">
        <w:rPr>
          <w:rFonts w:eastAsiaTheme="minorEastAsia"/>
        </w:rPr>
        <w:t>’</w:t>
      </w:r>
      <w:r w:rsidRPr="00CB791A">
        <w:rPr>
          <w:rFonts w:eastAsiaTheme="minorEastAsia"/>
        </w:rPr>
        <w:t>existe pas actuellement de jurisprudence uniforme quant à la question de savoir si la qualité d</w:t>
      </w:r>
      <w:r w:rsidRPr="00CB791A" w:rsidR="00CB791A">
        <w:rPr>
          <w:rFonts w:eastAsiaTheme="minorEastAsia"/>
        </w:rPr>
        <w:t>’</w:t>
      </w:r>
      <w:r w:rsidRPr="00CB791A">
        <w:rPr>
          <w:rFonts w:eastAsiaTheme="minorEastAsia"/>
        </w:rPr>
        <w:t>avocat titulaire de l</w:t>
      </w:r>
      <w:r w:rsidRPr="00CB791A" w:rsidR="00CB791A">
        <w:rPr>
          <w:rFonts w:eastAsiaTheme="minorEastAsia"/>
        </w:rPr>
        <w:t>’</w:t>
      </w:r>
      <w:r w:rsidRPr="00CB791A">
        <w:rPr>
          <w:rFonts w:eastAsiaTheme="minorEastAsia"/>
        </w:rPr>
        <w:t>attestation doit apparaître tant dans le chef de l</w:t>
      </w:r>
      <w:r w:rsidRPr="00CB791A" w:rsidR="00CB791A">
        <w:rPr>
          <w:rFonts w:eastAsiaTheme="minorEastAsia"/>
        </w:rPr>
        <w:t>’</w:t>
      </w:r>
      <w:r w:rsidRPr="00CB791A">
        <w:rPr>
          <w:rFonts w:eastAsiaTheme="minorEastAsia"/>
        </w:rPr>
        <w:t>avocat qui forme le pourvoi en cassation en qualité de conseil du demandeur que de celui qui signe la déclaration de pourvoi à sa place (« loco »).</w:t>
      </w:r>
    </w:p>
    <w:p w:rsidRPr="00CB791A" w:rsidR="00B34B1B" w:rsidP="00CB791A" w:rsidRDefault="00B34B1B" w14:paraId="5DFAC96C" w14:textId="16A8E5C3">
      <w:pPr>
        <w:pStyle w:val="JuQuot"/>
        <w:rPr>
          <w:rFonts w:eastAsiaTheme="minorEastAsia"/>
        </w:rPr>
      </w:pPr>
      <w:r w:rsidRPr="00CB791A">
        <w:rPr>
          <w:rFonts w:eastAsiaTheme="minorEastAsia"/>
        </w:rPr>
        <w:t>La Cour a jugé qu</w:t>
      </w:r>
      <w:r w:rsidRPr="00CB791A" w:rsidR="00CB791A">
        <w:rPr>
          <w:rFonts w:eastAsiaTheme="minorEastAsia"/>
        </w:rPr>
        <w:t>’</w:t>
      </w:r>
      <w:r w:rsidRPr="00CB791A">
        <w:rPr>
          <w:rFonts w:eastAsiaTheme="minorEastAsia"/>
        </w:rPr>
        <w:t>aucune force majeure ne pouvait être déduite de l</w:t>
      </w:r>
      <w:r w:rsidRPr="00CB791A" w:rsidR="00CB791A">
        <w:rPr>
          <w:rFonts w:eastAsiaTheme="minorEastAsia"/>
        </w:rPr>
        <w:t>’</w:t>
      </w:r>
      <w:r w:rsidRPr="00CB791A">
        <w:rPr>
          <w:rFonts w:eastAsiaTheme="minorEastAsia"/>
        </w:rPr>
        <w:t>ignorance dans laquelle le demandeur se trouvait au regard de la formation suivie par son conseil dans le cadre de l</w:t>
      </w:r>
      <w:r w:rsidRPr="00CB791A" w:rsidR="00CB791A">
        <w:rPr>
          <w:rFonts w:eastAsiaTheme="minorEastAsia"/>
        </w:rPr>
        <w:t>’</w:t>
      </w:r>
      <w:r w:rsidRPr="00CB791A">
        <w:rPr>
          <w:rFonts w:eastAsiaTheme="minorEastAsia"/>
        </w:rPr>
        <w:t>examen organisé par l</w:t>
      </w:r>
      <w:r w:rsidRPr="00CB791A" w:rsidR="00CB791A">
        <w:rPr>
          <w:rFonts w:eastAsiaTheme="minorEastAsia"/>
        </w:rPr>
        <w:t>’</w:t>
      </w:r>
      <w:r w:rsidRPr="00CB791A">
        <w:rPr>
          <w:rFonts w:eastAsiaTheme="minorEastAsia"/>
        </w:rPr>
        <w:t>Ordre des avocats à la Cour de cassation.</w:t>
      </w:r>
    </w:p>
    <w:p w:rsidRPr="00CB791A" w:rsidR="00B34B1B" w:rsidP="00CB791A" w:rsidRDefault="00B34B1B" w14:paraId="790E0B4C" w14:textId="0AAC2B38">
      <w:pPr>
        <w:pStyle w:val="JuQuot"/>
        <w:rPr>
          <w:rFonts w:eastAsiaTheme="minorEastAsia"/>
        </w:rPr>
      </w:pPr>
      <w:r w:rsidRPr="00CB791A">
        <w:rPr>
          <w:rFonts w:eastAsiaTheme="minorEastAsia"/>
        </w:rPr>
        <w:t>Cette obligation a une portée générale et s</w:t>
      </w:r>
      <w:r w:rsidRPr="00CB791A" w:rsidR="00CB791A">
        <w:rPr>
          <w:rFonts w:eastAsiaTheme="minorEastAsia"/>
        </w:rPr>
        <w:t>’</w:t>
      </w:r>
      <w:r w:rsidRPr="00CB791A">
        <w:rPr>
          <w:rFonts w:eastAsiaTheme="minorEastAsia"/>
        </w:rPr>
        <w:t>applique à toutes les procédures sauf si une loi particulière y déroge (ce qui est le cas en matière de détention préventive). »</w:t>
      </w:r>
    </w:p>
    <w:p w:rsidRPr="00CB791A" w:rsidR="00B34B1B" w:rsidP="00CB791A" w:rsidRDefault="00B34B1B" w14:paraId="2AD4655C" w14:textId="26ECD3CA">
      <w:pPr>
        <w:pStyle w:val="JuHIRoman"/>
        <w:rPr>
          <w:rFonts w:eastAsiaTheme="minorEastAsia"/>
        </w:rPr>
      </w:pPr>
      <w:r w:rsidRPr="00CB791A">
        <w:rPr>
          <w:rFonts w:eastAsiaTheme="minorEastAsia"/>
        </w:rPr>
        <w:t>Demandes de réouverture d</w:t>
      </w:r>
      <w:r w:rsidRPr="00CB791A" w:rsidR="00CB791A">
        <w:rPr>
          <w:rFonts w:eastAsiaTheme="minorEastAsia"/>
        </w:rPr>
        <w:t>’</w:t>
      </w:r>
      <w:r w:rsidRPr="00CB791A">
        <w:rPr>
          <w:rFonts w:eastAsiaTheme="minorEastAsia"/>
        </w:rPr>
        <w:t>une procédure pénale</w:t>
      </w:r>
    </w:p>
    <w:p w:rsidRPr="00CB791A" w:rsidR="00B34B1B" w:rsidP="00CB791A" w:rsidRDefault="00B34B1B" w14:paraId="314152EA" w14:textId="4572B804">
      <w:pPr>
        <w:pStyle w:val="JuHA"/>
      </w:pPr>
      <w:r w:rsidRPr="00CB791A">
        <w:t>Dispositions légales</w:t>
      </w:r>
    </w:p>
    <w:p w:rsidRPr="00CB791A" w:rsidR="00B34B1B" w:rsidP="00CB791A" w:rsidRDefault="00B34B1B" w14:paraId="3216A257" w14:textId="47E414E4">
      <w:pPr>
        <w:pStyle w:val="JuPara"/>
        <w:rPr>
          <w:rFonts w:eastAsiaTheme="minorEastAsia"/>
        </w:rPr>
      </w:pPr>
      <w:r w:rsidRPr="00CB791A">
        <w:rPr>
          <w:rFonts w:eastAsiaTheme="minorEastAsia"/>
        </w:rPr>
        <w:fldChar w:fldCharType="begin"/>
      </w:r>
      <w:r w:rsidRPr="00CB791A">
        <w:rPr>
          <w:rFonts w:eastAsiaTheme="minorEastAsia"/>
        </w:rPr>
        <w:instrText xml:space="preserve"> SEQ level0 \*arabic </w:instrText>
      </w:r>
      <w:r w:rsidRPr="00CB791A">
        <w:rPr>
          <w:rFonts w:eastAsiaTheme="minorEastAsia"/>
        </w:rPr>
        <w:fldChar w:fldCharType="separate"/>
      </w:r>
      <w:r w:rsidRPr="00CB791A" w:rsidR="00CB791A">
        <w:rPr>
          <w:rFonts w:eastAsiaTheme="minorEastAsia"/>
          <w:noProof/>
        </w:rPr>
        <w:t>35</w:t>
      </w:r>
      <w:r w:rsidRPr="00CB791A">
        <w:rPr>
          <w:rFonts w:eastAsiaTheme="minorEastAsia"/>
        </w:rPr>
        <w:fldChar w:fldCharType="end"/>
      </w:r>
      <w:r w:rsidRPr="00CB791A">
        <w:rPr>
          <w:rFonts w:eastAsiaTheme="minorEastAsia"/>
        </w:rPr>
        <w:t>.  La loi du 1</w:t>
      </w:r>
      <w:r w:rsidRPr="00CB791A">
        <w:rPr>
          <w:rFonts w:eastAsiaTheme="minorEastAsia"/>
          <w:vertAlign w:val="superscript"/>
        </w:rPr>
        <w:t>er</w:t>
      </w:r>
      <w:r w:rsidRPr="00CB791A">
        <w:rPr>
          <w:rFonts w:eastAsiaTheme="minorEastAsia"/>
        </w:rPr>
        <w:t xml:space="preserve"> avril 2007 a introduit un article 442</w:t>
      </w:r>
      <w:r w:rsidRPr="00CB791A">
        <w:rPr>
          <w:rFonts w:eastAsiaTheme="minorEastAsia"/>
          <w:i/>
        </w:rPr>
        <w:t>bis</w:t>
      </w:r>
      <w:r w:rsidRPr="00CB791A">
        <w:rPr>
          <w:rFonts w:eastAsiaTheme="minorEastAsia"/>
        </w:rPr>
        <w:t xml:space="preserve"> dans le CIC qui était ainsi formulé :</w:t>
      </w:r>
    </w:p>
    <w:p w:rsidRPr="00CB791A" w:rsidR="00B34B1B" w:rsidP="00CB791A" w:rsidRDefault="00B34B1B" w14:paraId="295EBA73" w14:textId="7EC37D95">
      <w:pPr>
        <w:pStyle w:val="JuQuot"/>
        <w:rPr>
          <w:rFonts w:eastAsiaTheme="minorEastAsia"/>
        </w:rPr>
      </w:pPr>
      <w:r w:rsidRPr="00CB791A">
        <w:rPr>
          <w:rFonts w:eastAsiaTheme="minorEastAsia"/>
        </w:rPr>
        <w:t>«</w:t>
      </w:r>
      <w:r w:rsidRPr="00CB791A" w:rsidR="00777A4A">
        <w:rPr>
          <w:rFonts w:eastAsiaTheme="minorEastAsia"/>
        </w:rPr>
        <w:t> </w:t>
      </w:r>
      <w:r w:rsidRPr="00CB791A">
        <w:rPr>
          <w:rFonts w:eastAsiaTheme="minorEastAsia"/>
        </w:rPr>
        <w:t>S</w:t>
      </w:r>
      <w:r w:rsidRPr="00CB791A" w:rsidR="00CB791A">
        <w:rPr>
          <w:rFonts w:eastAsiaTheme="minorEastAsia"/>
        </w:rPr>
        <w:t>’</w:t>
      </w:r>
      <w:r w:rsidRPr="00CB791A">
        <w:rPr>
          <w:rFonts w:eastAsiaTheme="minorEastAsia"/>
        </w:rPr>
        <w:t>il a été établi par un arrêt définitif de la Cour européenne des droits de l</w:t>
      </w:r>
      <w:r w:rsidRPr="00CB791A" w:rsidR="00CB791A">
        <w:rPr>
          <w:rFonts w:eastAsiaTheme="minorEastAsia"/>
        </w:rPr>
        <w:t>’</w:t>
      </w:r>
      <w:r w:rsidRPr="00CB791A">
        <w:rPr>
          <w:rFonts w:eastAsiaTheme="minorEastAsia"/>
        </w:rPr>
        <w:t>homme que la Convention européenne de sauvegarde des droits de l</w:t>
      </w:r>
      <w:r w:rsidRPr="00CB791A" w:rsidR="00CB791A">
        <w:rPr>
          <w:rFonts w:eastAsiaTheme="minorEastAsia"/>
        </w:rPr>
        <w:t>’</w:t>
      </w:r>
      <w:r w:rsidRPr="00CB791A">
        <w:rPr>
          <w:rFonts w:eastAsiaTheme="minorEastAsia"/>
        </w:rPr>
        <w:t>homme et des libertés fondamentales ou des protocoles additionnels, ci-après « la Convention européenne », ont été violés, il peut être demandé la réouverture, en ce qui concerne la seule action publique, de la procédure qui a conduit à la condamnation du requérant dans l</w:t>
      </w:r>
      <w:r w:rsidRPr="00CB791A" w:rsidR="00CB791A">
        <w:rPr>
          <w:rFonts w:eastAsiaTheme="minorEastAsia"/>
        </w:rPr>
        <w:t>’</w:t>
      </w:r>
      <w:r w:rsidRPr="00CB791A">
        <w:rPr>
          <w:rFonts w:eastAsiaTheme="minorEastAsia"/>
        </w:rPr>
        <w:t>affaire devant la Cour européenne des droits de l</w:t>
      </w:r>
      <w:r w:rsidRPr="00CB791A" w:rsidR="00CB791A">
        <w:rPr>
          <w:rFonts w:eastAsiaTheme="minorEastAsia"/>
        </w:rPr>
        <w:t>’</w:t>
      </w:r>
      <w:r w:rsidRPr="00CB791A">
        <w:rPr>
          <w:rFonts w:eastAsiaTheme="minorEastAsia"/>
        </w:rPr>
        <w:t>homme ou à la condamnation d</w:t>
      </w:r>
      <w:r w:rsidRPr="00CB791A" w:rsidR="00CB791A">
        <w:rPr>
          <w:rFonts w:eastAsiaTheme="minorEastAsia"/>
        </w:rPr>
        <w:t>’</w:t>
      </w:r>
      <w:r w:rsidRPr="00CB791A">
        <w:rPr>
          <w:rFonts w:eastAsiaTheme="minorEastAsia"/>
        </w:rPr>
        <w:t>une autre personne pour le même fait et fondée sur les mêmes moyens de preuve.</w:t>
      </w:r>
      <w:r w:rsidRPr="00CB791A" w:rsidR="00777A4A">
        <w:rPr>
          <w:rFonts w:eastAsiaTheme="minorEastAsia"/>
        </w:rPr>
        <w:t> </w:t>
      </w:r>
      <w:r w:rsidRPr="00CB791A">
        <w:rPr>
          <w:rFonts w:eastAsiaTheme="minorEastAsia"/>
        </w:rPr>
        <w:t>»</w:t>
      </w:r>
    </w:p>
    <w:bookmarkStart w:name="DroitInterneHakimi" w:id="28"/>
    <w:p w:rsidRPr="00CB791A" w:rsidR="00B34B1B" w:rsidP="00CB791A" w:rsidRDefault="00B34B1B" w14:paraId="32239543" w14:textId="5794C9B2">
      <w:pPr>
        <w:pStyle w:val="JuPara"/>
        <w:rPr>
          <w:rFonts w:eastAsiaTheme="minorEastAsia"/>
        </w:rPr>
      </w:pPr>
      <w:r w:rsidRPr="00CB791A">
        <w:rPr>
          <w:rFonts w:eastAsiaTheme="minorEastAsia"/>
        </w:rPr>
        <w:fldChar w:fldCharType="begin"/>
      </w:r>
      <w:r w:rsidRPr="00CB791A">
        <w:rPr>
          <w:rFonts w:eastAsiaTheme="minorEastAsia"/>
        </w:rPr>
        <w:instrText xml:space="preserve"> SEQ level0 \*arabic </w:instrText>
      </w:r>
      <w:r w:rsidRPr="00CB791A">
        <w:rPr>
          <w:rFonts w:eastAsiaTheme="minorEastAsia"/>
        </w:rPr>
        <w:fldChar w:fldCharType="separate"/>
      </w:r>
      <w:r w:rsidRPr="00CB791A" w:rsidR="00CB791A">
        <w:rPr>
          <w:rFonts w:eastAsiaTheme="minorEastAsia"/>
          <w:noProof/>
        </w:rPr>
        <w:t>36</w:t>
      </w:r>
      <w:r w:rsidRPr="00CB791A">
        <w:rPr>
          <w:rFonts w:eastAsiaTheme="minorEastAsia"/>
        </w:rPr>
        <w:fldChar w:fldCharType="end"/>
      </w:r>
      <w:bookmarkEnd w:id="28"/>
      <w:r w:rsidRPr="00CB791A">
        <w:rPr>
          <w:rFonts w:eastAsiaTheme="minorEastAsia"/>
        </w:rPr>
        <w:t>.  Dans l</w:t>
      </w:r>
      <w:r w:rsidRPr="00CB791A" w:rsidR="00CB791A">
        <w:rPr>
          <w:rFonts w:eastAsiaTheme="minorEastAsia"/>
        </w:rPr>
        <w:t>’</w:t>
      </w:r>
      <w:r w:rsidRPr="00CB791A">
        <w:rPr>
          <w:rFonts w:eastAsiaTheme="minorEastAsia"/>
        </w:rPr>
        <w:t xml:space="preserve">arrêt </w:t>
      </w:r>
      <w:proofErr w:type="spellStart"/>
      <w:r w:rsidRPr="00CB791A">
        <w:rPr>
          <w:rFonts w:ascii="Times New Roman" w:hAnsi="Times New Roman" w:cs="Times New Roman" w:eastAsiaTheme="minorEastAsia"/>
          <w:i/>
          <w:szCs w:val="22"/>
        </w:rPr>
        <w:t>Hakimi</w:t>
      </w:r>
      <w:proofErr w:type="spellEnd"/>
      <w:r w:rsidRPr="00CB791A">
        <w:rPr>
          <w:rFonts w:ascii="Times New Roman" w:hAnsi="Times New Roman" w:cs="Times New Roman" w:eastAsiaTheme="minorEastAsia"/>
          <w:i/>
          <w:szCs w:val="22"/>
        </w:rPr>
        <w:t xml:space="preserve"> c. Belgique</w:t>
      </w:r>
      <w:r w:rsidRPr="00CB791A">
        <w:rPr>
          <w:rFonts w:ascii="Times New Roman" w:hAnsi="Times New Roman" w:cs="Times New Roman" w:eastAsiaTheme="minorEastAsia"/>
          <w:szCs w:val="22"/>
        </w:rPr>
        <w:t xml:space="preserve"> (n</w:t>
      </w:r>
      <w:r w:rsidRPr="00CB791A">
        <w:rPr>
          <w:rFonts w:ascii="Times New Roman" w:hAnsi="Times New Roman" w:cs="Times New Roman" w:eastAsiaTheme="minorEastAsia"/>
          <w:szCs w:val="22"/>
          <w:vertAlign w:val="superscript"/>
        </w:rPr>
        <w:t>o</w:t>
      </w:r>
      <w:r w:rsidRPr="00CB791A">
        <w:rPr>
          <w:rFonts w:ascii="Times New Roman" w:hAnsi="Times New Roman" w:cs="Times New Roman" w:eastAsiaTheme="minorEastAsia"/>
          <w:szCs w:val="22"/>
        </w:rPr>
        <w:t xml:space="preserve"> 665/08, §§ 17-30, 29</w:t>
      </w:r>
      <w:r w:rsidRPr="00CB791A" w:rsidR="00777A4A">
        <w:rPr>
          <w:rFonts w:ascii="Times New Roman" w:hAnsi="Times New Roman" w:cs="Times New Roman" w:eastAsiaTheme="minorEastAsia"/>
          <w:szCs w:val="22"/>
        </w:rPr>
        <w:t> </w:t>
      </w:r>
      <w:r w:rsidRPr="00CB791A">
        <w:rPr>
          <w:rFonts w:ascii="Times New Roman" w:hAnsi="Times New Roman" w:cs="Times New Roman" w:eastAsiaTheme="minorEastAsia"/>
          <w:szCs w:val="22"/>
        </w:rPr>
        <w:t xml:space="preserve">juin 2010 ; voir également </w:t>
      </w:r>
      <w:proofErr w:type="spellStart"/>
      <w:r w:rsidRPr="00CB791A">
        <w:rPr>
          <w:rFonts w:ascii="Times New Roman" w:hAnsi="Times New Roman" w:cs="Times New Roman" w:eastAsiaTheme="minorEastAsia"/>
          <w:i/>
          <w:szCs w:val="22"/>
        </w:rPr>
        <w:t>Castellino</w:t>
      </w:r>
      <w:proofErr w:type="spellEnd"/>
      <w:r w:rsidRPr="00CB791A">
        <w:rPr>
          <w:rFonts w:ascii="Times New Roman" w:hAnsi="Times New Roman" w:cs="Times New Roman" w:eastAsiaTheme="minorEastAsia"/>
          <w:i/>
          <w:szCs w:val="22"/>
        </w:rPr>
        <w:t xml:space="preserve"> c. Belgique</w:t>
      </w:r>
      <w:r w:rsidRPr="00CB791A">
        <w:rPr>
          <w:rFonts w:ascii="Times New Roman" w:hAnsi="Times New Roman" w:cs="Times New Roman" w:eastAsiaTheme="minorEastAsia"/>
          <w:szCs w:val="22"/>
        </w:rPr>
        <w:t>, n</w:t>
      </w:r>
      <w:r w:rsidRPr="00CB791A">
        <w:rPr>
          <w:rFonts w:ascii="Times New Roman" w:hAnsi="Times New Roman" w:cs="Times New Roman" w:eastAsiaTheme="minorEastAsia"/>
          <w:szCs w:val="22"/>
          <w:vertAlign w:val="superscript"/>
        </w:rPr>
        <w:t>o</w:t>
      </w:r>
      <w:r w:rsidRPr="00CB791A">
        <w:rPr>
          <w:rFonts w:ascii="Times New Roman" w:hAnsi="Times New Roman" w:cs="Times New Roman" w:eastAsiaTheme="minorEastAsia"/>
          <w:szCs w:val="22"/>
        </w:rPr>
        <w:t xml:space="preserve"> 504/08, 25 juillet 2013) la Cour a refusé de rayer </w:t>
      </w:r>
      <w:r w:rsidRPr="00CB791A">
        <w:rPr>
          <w:rFonts w:eastAsiaTheme="minorEastAsia"/>
        </w:rPr>
        <w:t>l</w:t>
      </w:r>
      <w:r w:rsidRPr="00CB791A" w:rsidR="00CB791A">
        <w:rPr>
          <w:rFonts w:eastAsiaTheme="minorEastAsia"/>
        </w:rPr>
        <w:t>’</w:t>
      </w:r>
      <w:r w:rsidRPr="00CB791A">
        <w:rPr>
          <w:rFonts w:eastAsiaTheme="minorEastAsia"/>
        </w:rPr>
        <w:t>affaire du rôle sur la base de la déclaration unilatérale proposée par le Gouvernement au motif que l</w:t>
      </w:r>
      <w:r w:rsidRPr="00CB791A" w:rsidR="00CB791A">
        <w:rPr>
          <w:rFonts w:eastAsiaTheme="minorEastAsia"/>
        </w:rPr>
        <w:t>’</w:t>
      </w:r>
      <w:r w:rsidRPr="00CB791A">
        <w:rPr>
          <w:rFonts w:eastAsiaTheme="minorEastAsia"/>
        </w:rPr>
        <w:t>article</w:t>
      </w:r>
      <w:r w:rsidRPr="00CB791A" w:rsidR="00777A4A">
        <w:rPr>
          <w:rFonts w:eastAsiaTheme="minorEastAsia"/>
        </w:rPr>
        <w:t> </w:t>
      </w:r>
      <w:r w:rsidRPr="00CB791A">
        <w:rPr>
          <w:rFonts w:eastAsiaTheme="minorEastAsia"/>
        </w:rPr>
        <w:t>442</w:t>
      </w:r>
      <w:r w:rsidRPr="00CB791A">
        <w:rPr>
          <w:rFonts w:eastAsiaTheme="minorEastAsia"/>
          <w:i/>
        </w:rPr>
        <w:t>bis</w:t>
      </w:r>
      <w:r w:rsidRPr="00CB791A">
        <w:rPr>
          <w:rFonts w:eastAsiaTheme="minorEastAsia"/>
        </w:rPr>
        <w:t xml:space="preserve"> limitait la possibilité de réouverture de la procédure aux violations de la Convention procédant d</w:t>
      </w:r>
      <w:r w:rsidRPr="00CB791A" w:rsidR="00CB791A">
        <w:rPr>
          <w:rFonts w:eastAsiaTheme="minorEastAsia"/>
        </w:rPr>
        <w:t>’</w:t>
      </w:r>
      <w:r w:rsidRPr="00CB791A">
        <w:rPr>
          <w:rFonts w:eastAsiaTheme="minorEastAsia"/>
        </w:rPr>
        <w:t>un arrêt de la Cour.</w:t>
      </w:r>
    </w:p>
    <w:bookmarkStart w:name="DroitInterne442" w:id="29"/>
    <w:bookmarkStart w:name="P" w:id="30"/>
    <w:p w:rsidRPr="00CB791A" w:rsidR="00B34B1B" w:rsidP="00CB791A" w:rsidRDefault="00B34B1B" w14:paraId="1A21E9C2" w14:textId="4D5ACDB5">
      <w:pPr>
        <w:pStyle w:val="JuPara"/>
        <w:rPr>
          <w:rFonts w:ascii="Times New Roman" w:hAnsi="Times New Roman" w:cs="Times New Roman" w:eastAsiaTheme="minorEastAsia"/>
          <w:szCs w:val="22"/>
        </w:rPr>
      </w:pPr>
      <w:r w:rsidRPr="00CB791A">
        <w:rPr>
          <w:rFonts w:eastAsiaTheme="minorEastAsia"/>
        </w:rPr>
        <w:fldChar w:fldCharType="begin"/>
      </w:r>
      <w:r w:rsidRPr="00CB791A">
        <w:rPr>
          <w:rFonts w:eastAsiaTheme="minorEastAsia"/>
        </w:rPr>
        <w:instrText xml:space="preserve"> SEQ level0 \*arabic </w:instrText>
      </w:r>
      <w:r w:rsidRPr="00CB791A">
        <w:rPr>
          <w:rFonts w:eastAsiaTheme="minorEastAsia"/>
        </w:rPr>
        <w:fldChar w:fldCharType="separate"/>
      </w:r>
      <w:r w:rsidRPr="00CB791A" w:rsidR="00CB791A">
        <w:rPr>
          <w:rFonts w:eastAsiaTheme="minorEastAsia"/>
          <w:noProof/>
        </w:rPr>
        <w:t>37</w:t>
      </w:r>
      <w:r w:rsidRPr="00CB791A">
        <w:rPr>
          <w:rFonts w:eastAsiaTheme="minorEastAsia"/>
        </w:rPr>
        <w:fldChar w:fldCharType="end"/>
      </w:r>
      <w:bookmarkEnd w:id="29"/>
      <w:bookmarkEnd w:id="30"/>
      <w:r w:rsidRPr="00CB791A">
        <w:rPr>
          <w:rFonts w:eastAsiaTheme="minorEastAsia"/>
        </w:rPr>
        <w:t>.  </w:t>
      </w:r>
      <w:r w:rsidRPr="00CB791A">
        <w:rPr>
          <w:rFonts w:ascii="Times New Roman" w:hAnsi="Times New Roman" w:cs="Times New Roman" w:eastAsiaTheme="minorEastAsia"/>
          <w:szCs w:val="22"/>
        </w:rPr>
        <w:t>C</w:t>
      </w:r>
      <w:r w:rsidRPr="00CB791A" w:rsidR="00CB791A">
        <w:rPr>
          <w:rFonts w:ascii="Times New Roman" w:hAnsi="Times New Roman" w:cs="Times New Roman" w:eastAsiaTheme="minorEastAsia"/>
          <w:szCs w:val="22"/>
        </w:rPr>
        <w:t>’</w:t>
      </w:r>
      <w:r w:rsidRPr="00CB791A">
        <w:rPr>
          <w:rFonts w:ascii="Times New Roman" w:hAnsi="Times New Roman" w:cs="Times New Roman" w:eastAsiaTheme="minorEastAsia"/>
          <w:szCs w:val="22"/>
        </w:rPr>
        <w:t>est dans ce contexte que l</w:t>
      </w:r>
      <w:r w:rsidRPr="00CB791A" w:rsidR="00CB791A">
        <w:rPr>
          <w:rFonts w:eastAsiaTheme="minorEastAsia"/>
        </w:rPr>
        <w:t>’</w:t>
      </w:r>
      <w:r w:rsidRPr="00CB791A">
        <w:rPr>
          <w:rFonts w:eastAsiaTheme="minorEastAsia"/>
        </w:rPr>
        <w:t>article 442</w:t>
      </w:r>
      <w:r w:rsidRPr="00CB791A">
        <w:rPr>
          <w:rFonts w:eastAsiaTheme="minorEastAsia"/>
          <w:i/>
        </w:rPr>
        <w:t xml:space="preserve">bis </w:t>
      </w:r>
      <w:r w:rsidRPr="00CB791A">
        <w:rPr>
          <w:rFonts w:eastAsiaTheme="minorEastAsia"/>
        </w:rPr>
        <w:t>a été complété par la loi du 5</w:t>
      </w:r>
      <w:r w:rsidRPr="00CB791A" w:rsidR="00777A4A">
        <w:rPr>
          <w:rFonts w:eastAsiaTheme="minorEastAsia"/>
        </w:rPr>
        <w:t> </w:t>
      </w:r>
      <w:r w:rsidRPr="00CB791A">
        <w:rPr>
          <w:rFonts w:eastAsiaTheme="minorEastAsia"/>
        </w:rPr>
        <w:t>février 2016 modifiant le droit pénal et la procédure pénale et portant des dispositions diverses en matière de justice. Il se lit dorénavant comme suit :</w:t>
      </w:r>
    </w:p>
    <w:p w:rsidRPr="00CB791A" w:rsidR="00B34B1B" w:rsidP="00CB791A" w:rsidRDefault="00B34B1B" w14:paraId="221176B8" w14:textId="77777777">
      <w:pPr>
        <w:pStyle w:val="JuHArticle"/>
        <w:rPr>
          <w:rFonts w:eastAsiaTheme="minorEastAsia"/>
        </w:rPr>
      </w:pPr>
      <w:r w:rsidRPr="00CB791A">
        <w:rPr>
          <w:rFonts w:eastAsiaTheme="minorEastAsia"/>
        </w:rPr>
        <w:t>Article 442</w:t>
      </w:r>
      <w:r w:rsidRPr="00CB791A">
        <w:rPr>
          <w:rFonts w:eastAsiaTheme="minorEastAsia"/>
          <w:i/>
        </w:rPr>
        <w:t>bis</w:t>
      </w:r>
    </w:p>
    <w:p w:rsidRPr="00CB791A" w:rsidR="00B34B1B" w:rsidP="00CB791A" w:rsidRDefault="00B34B1B" w14:paraId="13043003" w14:textId="6936F74D">
      <w:pPr>
        <w:pStyle w:val="JuQuot"/>
        <w:rPr>
          <w:rFonts w:eastAsiaTheme="minorEastAsia"/>
        </w:rPr>
      </w:pPr>
      <w:r w:rsidRPr="00CB791A">
        <w:rPr>
          <w:rFonts w:eastAsiaTheme="minorEastAsia"/>
        </w:rPr>
        <w:t>« S</w:t>
      </w:r>
      <w:r w:rsidRPr="00CB791A" w:rsidR="00CB791A">
        <w:rPr>
          <w:rFonts w:eastAsiaTheme="minorEastAsia"/>
        </w:rPr>
        <w:t>’</w:t>
      </w:r>
      <w:r w:rsidRPr="00CB791A">
        <w:rPr>
          <w:rFonts w:eastAsiaTheme="minorEastAsia"/>
        </w:rPr>
        <w:t>il a été établi par un arrêt définitif de la Cour européenne des Droits de l</w:t>
      </w:r>
      <w:r w:rsidRPr="00CB791A" w:rsidR="00CB791A">
        <w:rPr>
          <w:rFonts w:eastAsiaTheme="minorEastAsia"/>
        </w:rPr>
        <w:t>’</w:t>
      </w:r>
      <w:r w:rsidRPr="00CB791A">
        <w:rPr>
          <w:rFonts w:eastAsiaTheme="minorEastAsia"/>
        </w:rPr>
        <w:t>Homme que la Convention européenne de sauvegarde des droits de l</w:t>
      </w:r>
      <w:r w:rsidRPr="00CB791A" w:rsidR="00CB791A">
        <w:rPr>
          <w:rFonts w:eastAsiaTheme="minorEastAsia"/>
        </w:rPr>
        <w:t>’</w:t>
      </w:r>
      <w:r w:rsidRPr="00CB791A">
        <w:rPr>
          <w:rFonts w:eastAsiaTheme="minorEastAsia"/>
        </w:rPr>
        <w:t>homme et des libertés fondamentales ou des protocoles additionnels, ci-après « la Convention européenne », ont été violés, il peut être demandé la réouverture, en ce qui concerne la seule action publique, de la procédure qui a conduit à la condamnation du requérant dans l</w:t>
      </w:r>
      <w:r w:rsidRPr="00CB791A" w:rsidR="00CB791A">
        <w:rPr>
          <w:rFonts w:eastAsiaTheme="minorEastAsia"/>
        </w:rPr>
        <w:t>’</w:t>
      </w:r>
      <w:r w:rsidRPr="00CB791A">
        <w:rPr>
          <w:rFonts w:eastAsiaTheme="minorEastAsia"/>
        </w:rPr>
        <w:t>affaire devant la Cour européenne des Droits de l</w:t>
      </w:r>
      <w:r w:rsidRPr="00CB791A" w:rsidR="00CB791A">
        <w:rPr>
          <w:rFonts w:eastAsiaTheme="minorEastAsia"/>
        </w:rPr>
        <w:t>’</w:t>
      </w:r>
      <w:r w:rsidRPr="00CB791A">
        <w:rPr>
          <w:rFonts w:eastAsiaTheme="minorEastAsia"/>
        </w:rPr>
        <w:t>Homme ou à la condamnation d</w:t>
      </w:r>
      <w:r w:rsidRPr="00CB791A" w:rsidR="00CB791A">
        <w:rPr>
          <w:rFonts w:eastAsiaTheme="minorEastAsia"/>
        </w:rPr>
        <w:t>’</w:t>
      </w:r>
      <w:r w:rsidRPr="00CB791A">
        <w:rPr>
          <w:rFonts w:eastAsiaTheme="minorEastAsia"/>
        </w:rPr>
        <w:t>une autre personne pour le même fait et fondée sur les mêmes moyens de preuve.</w:t>
      </w:r>
    </w:p>
    <w:p w:rsidRPr="00CB791A" w:rsidR="00B34B1B" w:rsidP="00CB791A" w:rsidRDefault="00B34B1B" w14:paraId="22B29B4A" w14:textId="663E6216">
      <w:pPr>
        <w:pStyle w:val="JuQuot"/>
        <w:rPr>
          <w:rFonts w:eastAsiaTheme="minorEastAsia"/>
        </w:rPr>
      </w:pPr>
      <w:r w:rsidRPr="00CB791A">
        <w:rPr>
          <w:rFonts w:eastAsiaTheme="minorEastAsia"/>
        </w:rPr>
        <w:t xml:space="preserve"> Il en est de même en cas de décision ou d</w:t>
      </w:r>
      <w:r w:rsidRPr="00CB791A" w:rsidR="00CB791A">
        <w:rPr>
          <w:rFonts w:eastAsiaTheme="minorEastAsia"/>
        </w:rPr>
        <w:t>’</w:t>
      </w:r>
      <w:r w:rsidRPr="00CB791A">
        <w:rPr>
          <w:rFonts w:eastAsiaTheme="minorEastAsia"/>
        </w:rPr>
        <w:t>arrêt par lequel la Cour européenne des Droits de l</w:t>
      </w:r>
      <w:r w:rsidRPr="00CB791A" w:rsidR="00CB791A">
        <w:rPr>
          <w:rFonts w:eastAsiaTheme="minorEastAsia"/>
        </w:rPr>
        <w:t>’</w:t>
      </w:r>
      <w:r w:rsidRPr="00CB791A">
        <w:rPr>
          <w:rFonts w:eastAsiaTheme="minorEastAsia"/>
        </w:rPr>
        <w:t>Homme prend acte du règlement amiable auquel sont parvenues les parties et aux termes duquel le gouvernement belge reconnaît pareille violation, conformément à l</w:t>
      </w:r>
      <w:r w:rsidRPr="00CB791A" w:rsidR="00CB791A">
        <w:rPr>
          <w:rFonts w:eastAsiaTheme="minorEastAsia"/>
        </w:rPr>
        <w:t>’</w:t>
      </w:r>
      <w:r w:rsidRPr="00CB791A">
        <w:rPr>
          <w:rFonts w:eastAsiaTheme="minorEastAsia"/>
        </w:rPr>
        <w:t>article 39 de la Convention européenne, ou par lequel elle prend acte de la déclaration unilatérale de reconnaissance de ladite violation, conformément à l</w:t>
      </w:r>
      <w:r w:rsidRPr="00CB791A" w:rsidR="00CB791A">
        <w:rPr>
          <w:rFonts w:eastAsiaTheme="minorEastAsia"/>
        </w:rPr>
        <w:t>’</w:t>
      </w:r>
      <w:r w:rsidRPr="00CB791A">
        <w:rPr>
          <w:rFonts w:eastAsiaTheme="minorEastAsia"/>
        </w:rPr>
        <w:t>article 37, § 1</w:t>
      </w:r>
      <w:r w:rsidRPr="00CB791A">
        <w:rPr>
          <w:rFonts w:eastAsiaTheme="minorEastAsia"/>
          <w:vertAlign w:val="superscript"/>
        </w:rPr>
        <w:t>er</w:t>
      </w:r>
      <w:r w:rsidRPr="00CB791A">
        <w:rPr>
          <w:rFonts w:eastAsiaTheme="minorEastAsia"/>
        </w:rPr>
        <w:t>, de la Convention européenne, et décide, par voie de conséquence, de rayer l</w:t>
      </w:r>
      <w:r w:rsidRPr="00CB791A" w:rsidR="00CB791A">
        <w:rPr>
          <w:rFonts w:eastAsiaTheme="minorEastAsia"/>
        </w:rPr>
        <w:t>’</w:t>
      </w:r>
      <w:r w:rsidRPr="00CB791A">
        <w:rPr>
          <w:rFonts w:eastAsiaTheme="minorEastAsia"/>
        </w:rPr>
        <w:t>affaire du rôle.</w:t>
      </w:r>
    </w:p>
    <w:p w:rsidRPr="00CB791A" w:rsidR="00B34B1B" w:rsidP="00CB791A" w:rsidRDefault="00B34B1B" w14:paraId="38FC2233" w14:textId="4BDC9D85">
      <w:pPr>
        <w:pStyle w:val="JuQuot"/>
        <w:rPr>
          <w:rFonts w:eastAsiaTheme="minorEastAsia"/>
        </w:rPr>
      </w:pPr>
      <w:r w:rsidRPr="00CB791A">
        <w:rPr>
          <w:rFonts w:eastAsiaTheme="minorEastAsia"/>
        </w:rPr>
        <w:t xml:space="preserve"> La demande en réouverture est irrecevable lorsque le gouvernement apporte la preuve que le condamné a marqué son accord sur une réparation amiable, que cet accord a été exécuté et que le constat de violation n</w:t>
      </w:r>
      <w:r w:rsidRPr="00CB791A" w:rsidR="00CB791A">
        <w:rPr>
          <w:rFonts w:eastAsiaTheme="minorEastAsia"/>
        </w:rPr>
        <w:t>’</w:t>
      </w:r>
      <w:r w:rsidRPr="00CB791A">
        <w:rPr>
          <w:rFonts w:eastAsiaTheme="minorEastAsia"/>
        </w:rPr>
        <w:t>est pas de nature à créer un doute sérieux quant au résultat de la procédure attaquée. »</w:t>
      </w:r>
    </w:p>
    <w:bookmarkStart w:name="_Hlk79590104" w:id="31"/>
    <w:bookmarkStart w:name="CIC442ter" w:id="32"/>
    <w:bookmarkEnd w:id="23"/>
    <w:p w:rsidRPr="00CB791A" w:rsidR="00B34B1B" w:rsidP="00CB791A" w:rsidRDefault="00B34B1B" w14:paraId="3BB8E0D5" w14:textId="36465B64">
      <w:pPr>
        <w:pStyle w:val="JuPara"/>
        <w:rPr>
          <w:rFonts w:eastAsiaTheme="minorEastAsia"/>
        </w:rPr>
      </w:pPr>
      <w:r w:rsidRPr="00CB791A">
        <w:rPr>
          <w:rFonts w:eastAsiaTheme="minorEastAsia"/>
        </w:rPr>
        <w:fldChar w:fldCharType="begin"/>
      </w:r>
      <w:r w:rsidRPr="00CB791A">
        <w:rPr>
          <w:rFonts w:eastAsiaTheme="minorEastAsia"/>
        </w:rPr>
        <w:instrText xml:space="preserve"> SEQ level0 \*arabic </w:instrText>
      </w:r>
      <w:r w:rsidRPr="00CB791A">
        <w:rPr>
          <w:rFonts w:eastAsiaTheme="minorEastAsia"/>
        </w:rPr>
        <w:fldChar w:fldCharType="separate"/>
      </w:r>
      <w:r w:rsidRPr="00CB791A" w:rsidR="00CB791A">
        <w:rPr>
          <w:rFonts w:eastAsiaTheme="minorEastAsia"/>
          <w:noProof/>
        </w:rPr>
        <w:t>38</w:t>
      </w:r>
      <w:r w:rsidRPr="00CB791A">
        <w:rPr>
          <w:rFonts w:eastAsiaTheme="minorEastAsia"/>
        </w:rPr>
        <w:fldChar w:fldCharType="end"/>
      </w:r>
      <w:bookmarkEnd w:id="31"/>
      <w:bookmarkEnd w:id="32"/>
      <w:r w:rsidRPr="00CB791A">
        <w:rPr>
          <w:rFonts w:eastAsiaTheme="minorEastAsia"/>
        </w:rPr>
        <w:t>.  Les autres dispositions pertinentes du CIC sont ainsi formulées :</w:t>
      </w:r>
    </w:p>
    <w:p w:rsidRPr="00CB791A" w:rsidR="00B34B1B" w:rsidP="00CB791A" w:rsidRDefault="00B34B1B" w14:paraId="3E963135" w14:textId="77777777">
      <w:pPr>
        <w:pStyle w:val="JuHArticle"/>
        <w:rPr>
          <w:rFonts w:eastAsiaTheme="minorEastAsia"/>
        </w:rPr>
      </w:pPr>
      <w:r w:rsidRPr="00CB791A">
        <w:rPr>
          <w:rFonts w:eastAsiaTheme="minorEastAsia"/>
        </w:rPr>
        <w:t>Article 442</w:t>
      </w:r>
      <w:r w:rsidRPr="00CB791A">
        <w:rPr>
          <w:rFonts w:eastAsiaTheme="minorEastAsia"/>
          <w:i/>
        </w:rPr>
        <w:t>ter</w:t>
      </w:r>
    </w:p>
    <w:p w:rsidRPr="00CB791A" w:rsidR="00B34B1B" w:rsidP="00CB791A" w:rsidRDefault="00B34B1B" w14:paraId="22EA9253" w14:textId="77777777">
      <w:pPr>
        <w:pStyle w:val="JuQuot"/>
        <w:rPr>
          <w:rFonts w:eastAsiaTheme="minorEastAsia"/>
        </w:rPr>
      </w:pPr>
      <w:r w:rsidRPr="00CB791A">
        <w:rPr>
          <w:rFonts w:eastAsiaTheme="minorEastAsia"/>
        </w:rPr>
        <w:t>« Le droit de demander la réouverture de la procédure appartient :</w:t>
      </w:r>
    </w:p>
    <w:p w:rsidRPr="00CB791A" w:rsidR="00B34B1B" w:rsidP="00CB791A" w:rsidRDefault="00B34B1B" w14:paraId="1BFC4C5A" w14:textId="75A1E214">
      <w:pPr>
        <w:pStyle w:val="JuQuot"/>
        <w:rPr>
          <w:rFonts w:eastAsiaTheme="minorEastAsia"/>
        </w:rPr>
      </w:pPr>
      <w:r w:rsidRPr="00CB791A">
        <w:rPr>
          <w:rFonts w:eastAsiaTheme="minorEastAsia"/>
        </w:rPr>
        <w:t xml:space="preserve"> 1</w:t>
      </w:r>
      <w:proofErr w:type="gramStart"/>
      <w:r w:rsidRPr="00CB791A">
        <w:rPr>
          <w:rFonts w:eastAsiaTheme="minorEastAsia"/>
          <w:vertAlign w:val="superscript"/>
        </w:rPr>
        <w:t>o</w:t>
      </w:r>
      <w:r w:rsidRPr="00CB791A" w:rsidR="00777A4A">
        <w:rPr>
          <w:rFonts w:eastAsiaTheme="minorEastAsia"/>
        </w:rPr>
        <w:t>  </w:t>
      </w:r>
      <w:r w:rsidRPr="00CB791A">
        <w:rPr>
          <w:rFonts w:eastAsiaTheme="minorEastAsia"/>
        </w:rPr>
        <w:t>au</w:t>
      </w:r>
      <w:proofErr w:type="gramEnd"/>
      <w:r w:rsidRPr="00CB791A">
        <w:rPr>
          <w:rFonts w:eastAsiaTheme="minorEastAsia"/>
        </w:rPr>
        <w:t xml:space="preserve"> condamné ;</w:t>
      </w:r>
    </w:p>
    <w:p w:rsidRPr="00CB791A" w:rsidR="00B34B1B" w:rsidP="00CB791A" w:rsidRDefault="00B34B1B" w14:paraId="3909D623" w14:textId="69ADBDA6">
      <w:pPr>
        <w:pStyle w:val="JuQuot"/>
        <w:rPr>
          <w:rFonts w:eastAsiaTheme="minorEastAsia"/>
        </w:rPr>
      </w:pPr>
      <w:r w:rsidRPr="00CB791A">
        <w:rPr>
          <w:rFonts w:eastAsiaTheme="minorEastAsia"/>
        </w:rPr>
        <w:t xml:space="preserve"> 2</w:t>
      </w:r>
      <w:proofErr w:type="gramStart"/>
      <w:r w:rsidRPr="00CB791A">
        <w:rPr>
          <w:rFonts w:eastAsiaTheme="minorEastAsia"/>
          <w:vertAlign w:val="superscript"/>
        </w:rPr>
        <w:t>o</w:t>
      </w:r>
      <w:r w:rsidRPr="00CB791A" w:rsidR="00777A4A">
        <w:rPr>
          <w:rFonts w:eastAsiaTheme="minorEastAsia"/>
        </w:rPr>
        <w:t>  </w:t>
      </w:r>
      <w:r w:rsidRPr="00CB791A">
        <w:rPr>
          <w:rFonts w:eastAsiaTheme="minorEastAsia"/>
        </w:rPr>
        <w:t>si</w:t>
      </w:r>
      <w:proofErr w:type="gramEnd"/>
      <w:r w:rsidRPr="00CB791A">
        <w:rPr>
          <w:rFonts w:eastAsiaTheme="minorEastAsia"/>
        </w:rPr>
        <w:t xml:space="preserve"> le condamné est décédé, si son interdiction a été prononcée ou s</w:t>
      </w:r>
      <w:r w:rsidRPr="00CB791A" w:rsidR="00CB791A">
        <w:rPr>
          <w:rFonts w:eastAsiaTheme="minorEastAsia"/>
        </w:rPr>
        <w:t>’</w:t>
      </w:r>
      <w:r w:rsidRPr="00CB791A">
        <w:rPr>
          <w:rFonts w:eastAsiaTheme="minorEastAsia"/>
        </w:rPr>
        <w:t>il se trouve en état d</w:t>
      </w:r>
      <w:r w:rsidRPr="00CB791A" w:rsidR="00CB791A">
        <w:rPr>
          <w:rFonts w:eastAsiaTheme="minorEastAsia"/>
        </w:rPr>
        <w:t>’</w:t>
      </w:r>
      <w:r w:rsidRPr="00CB791A">
        <w:rPr>
          <w:rFonts w:eastAsiaTheme="minorEastAsia"/>
        </w:rPr>
        <w:t>absence déclarée, à son conjoint, à la personne avec qui il cohabite légalement, à ses descendants, à ses ascendants, à ses frères et sœurs ;</w:t>
      </w:r>
    </w:p>
    <w:p w:rsidRPr="00CB791A" w:rsidR="00B34B1B" w:rsidP="00CB791A" w:rsidRDefault="00B34B1B" w14:paraId="4968D475" w14:textId="539745A1">
      <w:pPr>
        <w:pStyle w:val="JuQuot"/>
        <w:rPr>
          <w:rFonts w:eastAsiaTheme="minorEastAsia"/>
        </w:rPr>
      </w:pPr>
      <w:r w:rsidRPr="00CB791A">
        <w:rPr>
          <w:rFonts w:eastAsiaTheme="minorEastAsia"/>
        </w:rPr>
        <w:t xml:space="preserve"> 3</w:t>
      </w:r>
      <w:proofErr w:type="gramStart"/>
      <w:r w:rsidRPr="00CB791A">
        <w:rPr>
          <w:rFonts w:eastAsiaTheme="minorEastAsia"/>
          <w:vertAlign w:val="superscript"/>
        </w:rPr>
        <w:t>o</w:t>
      </w:r>
      <w:r w:rsidRPr="00CB791A" w:rsidR="00777A4A">
        <w:rPr>
          <w:rFonts w:eastAsiaTheme="minorEastAsia"/>
        </w:rPr>
        <w:t>  </w:t>
      </w:r>
      <w:r w:rsidRPr="00CB791A">
        <w:rPr>
          <w:rFonts w:eastAsiaTheme="minorEastAsia"/>
        </w:rPr>
        <w:t>au</w:t>
      </w:r>
      <w:proofErr w:type="gramEnd"/>
      <w:r w:rsidRPr="00CB791A">
        <w:rPr>
          <w:rFonts w:eastAsiaTheme="minorEastAsia"/>
        </w:rPr>
        <w:t xml:space="preserve"> procureur général près la Cour de cassation, d</w:t>
      </w:r>
      <w:r w:rsidRPr="00CB791A" w:rsidR="00CB791A">
        <w:rPr>
          <w:rFonts w:eastAsiaTheme="minorEastAsia"/>
        </w:rPr>
        <w:t>’</w:t>
      </w:r>
      <w:r w:rsidRPr="00CB791A">
        <w:rPr>
          <w:rFonts w:eastAsiaTheme="minorEastAsia"/>
        </w:rPr>
        <w:t>office ou à la demande du Ministre de la Justice. »</w:t>
      </w:r>
    </w:p>
    <w:p w:rsidRPr="00CB791A" w:rsidR="00B34B1B" w:rsidP="00CB791A" w:rsidRDefault="00B34B1B" w14:paraId="55AB5AE1" w14:textId="77777777">
      <w:pPr>
        <w:pStyle w:val="JuHArticle"/>
        <w:rPr>
          <w:rFonts w:eastAsiaTheme="minorEastAsia"/>
        </w:rPr>
      </w:pPr>
      <w:r w:rsidRPr="00CB791A">
        <w:rPr>
          <w:rFonts w:eastAsiaTheme="minorEastAsia"/>
        </w:rPr>
        <w:t>Article 442</w:t>
      </w:r>
      <w:r w:rsidRPr="00CB791A">
        <w:rPr>
          <w:rFonts w:eastAsiaTheme="minorEastAsia"/>
          <w:i/>
        </w:rPr>
        <w:t>quater</w:t>
      </w:r>
    </w:p>
    <w:p w:rsidRPr="00CB791A" w:rsidR="00B34B1B" w:rsidP="00CB791A" w:rsidRDefault="00B34B1B" w14:paraId="29CA436E" w14:textId="4D1B4C3D">
      <w:pPr>
        <w:pStyle w:val="JuQuot"/>
        <w:rPr>
          <w:rFonts w:eastAsiaTheme="minorEastAsia"/>
        </w:rPr>
      </w:pPr>
      <w:r w:rsidRPr="00CB791A">
        <w:rPr>
          <w:rFonts w:eastAsiaTheme="minorEastAsia"/>
        </w:rPr>
        <w:t>« § 1</w:t>
      </w:r>
      <w:r w:rsidRPr="00CB791A">
        <w:rPr>
          <w:rFonts w:eastAsiaTheme="minorEastAsia"/>
          <w:vertAlign w:val="superscript"/>
        </w:rPr>
        <w:t>er</w:t>
      </w:r>
      <w:r w:rsidRPr="00CB791A">
        <w:rPr>
          <w:rFonts w:eastAsiaTheme="minorEastAsia"/>
        </w:rPr>
        <w:t>.</w:t>
      </w:r>
      <w:r w:rsidRPr="00CB791A" w:rsidR="00777A4A">
        <w:rPr>
          <w:rFonts w:eastAsiaTheme="minorEastAsia"/>
        </w:rPr>
        <w:t>  </w:t>
      </w:r>
      <w:r w:rsidRPr="00CB791A">
        <w:rPr>
          <w:rFonts w:eastAsiaTheme="minorEastAsia"/>
        </w:rPr>
        <w:t>La Cour de cassation connaît des demandes de réouverture.</w:t>
      </w:r>
    </w:p>
    <w:p w:rsidRPr="00CB791A" w:rsidR="00B34B1B" w:rsidP="00CB791A" w:rsidRDefault="00B34B1B" w14:paraId="4F8996B2" w14:textId="3F1B2A08">
      <w:pPr>
        <w:pStyle w:val="JuQuot"/>
        <w:rPr>
          <w:rFonts w:eastAsiaTheme="minorEastAsia"/>
        </w:rPr>
      </w:pPr>
      <w:r w:rsidRPr="00CB791A">
        <w:rPr>
          <w:rFonts w:eastAsiaTheme="minorEastAsia"/>
        </w:rPr>
        <w:t xml:space="preserve"> § 2.</w:t>
      </w:r>
      <w:r w:rsidRPr="00CB791A" w:rsidR="00777A4A">
        <w:rPr>
          <w:rFonts w:eastAsiaTheme="minorEastAsia"/>
        </w:rPr>
        <w:t>  </w:t>
      </w:r>
      <w:r w:rsidRPr="00CB791A">
        <w:rPr>
          <w:rFonts w:eastAsiaTheme="minorEastAsia"/>
        </w:rPr>
        <w:t>La Cour en est saisie, soit par un réquisitoire du Procureur général près la Cour de cassation, soit par une requête signée d</w:t>
      </w:r>
      <w:r w:rsidRPr="00CB791A" w:rsidR="00CB791A">
        <w:rPr>
          <w:rFonts w:eastAsiaTheme="minorEastAsia"/>
        </w:rPr>
        <w:t>’</w:t>
      </w:r>
      <w:r w:rsidRPr="00CB791A">
        <w:rPr>
          <w:rFonts w:eastAsiaTheme="minorEastAsia"/>
        </w:rPr>
        <w:t>un avocat inscrit au barreau depuis plus de dix ans. Le réquisitoire ou la requête contient un exposé détaillé des faits et mentionne la cause de réouverture.</w:t>
      </w:r>
    </w:p>
    <w:p w:rsidRPr="00CB791A" w:rsidR="00B34B1B" w:rsidP="00CB791A" w:rsidRDefault="00B34B1B" w14:paraId="6C670C4B" w14:textId="519161E7">
      <w:pPr>
        <w:pStyle w:val="JuQuot"/>
        <w:rPr>
          <w:rFonts w:eastAsiaTheme="minorEastAsia"/>
        </w:rPr>
      </w:pPr>
      <w:r w:rsidRPr="00CB791A">
        <w:rPr>
          <w:rFonts w:eastAsiaTheme="minorEastAsia"/>
        </w:rPr>
        <w:t xml:space="preserve"> La demande est introduite dans les six mois de la date à laquelle l</w:t>
      </w:r>
      <w:r w:rsidRPr="00CB791A" w:rsidR="00CB791A">
        <w:rPr>
          <w:rFonts w:eastAsiaTheme="minorEastAsia"/>
        </w:rPr>
        <w:t>’</w:t>
      </w:r>
      <w:r w:rsidRPr="00CB791A">
        <w:rPr>
          <w:rFonts w:eastAsiaTheme="minorEastAsia"/>
        </w:rPr>
        <w:t>arrêt de la Cour européenne des droits de l</w:t>
      </w:r>
      <w:r w:rsidRPr="00CB791A" w:rsidR="00CB791A">
        <w:rPr>
          <w:rFonts w:eastAsiaTheme="minorEastAsia"/>
        </w:rPr>
        <w:t>’</w:t>
      </w:r>
      <w:r w:rsidRPr="00CB791A">
        <w:rPr>
          <w:rFonts w:eastAsiaTheme="minorEastAsia"/>
        </w:rPr>
        <w:t>homme est devenu définitif.</w:t>
      </w:r>
    </w:p>
    <w:p w:rsidRPr="00CB791A" w:rsidR="00B34B1B" w:rsidP="00CB791A" w:rsidRDefault="00B34B1B" w14:paraId="484F8D16" w14:textId="61B2019A">
      <w:pPr>
        <w:pStyle w:val="JuQuot"/>
        <w:rPr>
          <w:rFonts w:eastAsiaTheme="minorEastAsia"/>
        </w:rPr>
      </w:pPr>
      <w:r w:rsidRPr="00CB791A">
        <w:rPr>
          <w:rFonts w:eastAsiaTheme="minorEastAsia"/>
        </w:rPr>
        <w:t xml:space="preserve"> La demande est irrecevable s</w:t>
      </w:r>
      <w:r w:rsidRPr="00CB791A" w:rsidR="00CB791A">
        <w:rPr>
          <w:rFonts w:eastAsiaTheme="minorEastAsia"/>
        </w:rPr>
        <w:t>’</w:t>
      </w:r>
      <w:r w:rsidRPr="00CB791A">
        <w:rPr>
          <w:rFonts w:eastAsiaTheme="minorEastAsia"/>
        </w:rPr>
        <w:t>il n</w:t>
      </w:r>
      <w:r w:rsidRPr="00CB791A" w:rsidR="00CB791A">
        <w:rPr>
          <w:rFonts w:eastAsiaTheme="minorEastAsia"/>
        </w:rPr>
        <w:t>’</w:t>
      </w:r>
      <w:r w:rsidRPr="00CB791A">
        <w:rPr>
          <w:rFonts w:eastAsiaTheme="minorEastAsia"/>
        </w:rPr>
        <w:t>est pas satisfait aux conditions posées aux alinéas précédents.</w:t>
      </w:r>
    </w:p>
    <w:p w:rsidRPr="00CB791A" w:rsidR="00B34B1B" w:rsidP="00CB791A" w:rsidRDefault="00B34B1B" w14:paraId="2EE457F0" w14:textId="7C28AD88">
      <w:pPr>
        <w:pStyle w:val="JuQuot"/>
        <w:rPr>
          <w:rFonts w:eastAsiaTheme="minorEastAsia"/>
        </w:rPr>
      </w:pPr>
      <w:r w:rsidRPr="00CB791A">
        <w:rPr>
          <w:rFonts w:eastAsiaTheme="minorEastAsia"/>
        </w:rPr>
        <w:t xml:space="preserve"> § 3.</w:t>
      </w:r>
      <w:r w:rsidRPr="00CB791A" w:rsidR="00777A4A">
        <w:rPr>
          <w:rFonts w:eastAsiaTheme="minorEastAsia"/>
        </w:rPr>
        <w:t>  </w:t>
      </w:r>
      <w:r w:rsidRPr="00CB791A">
        <w:rPr>
          <w:rFonts w:eastAsiaTheme="minorEastAsia"/>
        </w:rPr>
        <w:t>Si le condamné est décédé, si son interdiction a été prononcée ou s</w:t>
      </w:r>
      <w:r w:rsidRPr="00CB791A" w:rsidR="00CB791A">
        <w:rPr>
          <w:rFonts w:eastAsiaTheme="minorEastAsia"/>
        </w:rPr>
        <w:t>’</w:t>
      </w:r>
      <w:r w:rsidRPr="00CB791A">
        <w:rPr>
          <w:rFonts w:eastAsiaTheme="minorEastAsia"/>
        </w:rPr>
        <w:t>il se trouve en état d</w:t>
      </w:r>
      <w:r w:rsidRPr="00CB791A" w:rsidR="00CB791A">
        <w:rPr>
          <w:rFonts w:eastAsiaTheme="minorEastAsia"/>
        </w:rPr>
        <w:t>’</w:t>
      </w:r>
      <w:r w:rsidRPr="00CB791A">
        <w:rPr>
          <w:rFonts w:eastAsiaTheme="minorEastAsia"/>
        </w:rPr>
        <w:t>absence déclarée, la Cour de cassation nomme un curateur à sa défense, lequel le représentera. La Cour de cassation ou le juge auquel l</w:t>
      </w:r>
      <w:r w:rsidRPr="00CB791A" w:rsidR="00CB791A">
        <w:rPr>
          <w:rFonts w:eastAsiaTheme="minorEastAsia"/>
        </w:rPr>
        <w:t>’</w:t>
      </w:r>
      <w:r w:rsidRPr="00CB791A">
        <w:rPr>
          <w:rFonts w:eastAsiaTheme="minorEastAsia"/>
        </w:rPr>
        <w:t>affaire a été renvoyée désigne également un curateur si le requérant décède pendant l</w:t>
      </w:r>
      <w:r w:rsidRPr="00CB791A" w:rsidR="00CB791A">
        <w:rPr>
          <w:rFonts w:eastAsiaTheme="minorEastAsia"/>
        </w:rPr>
        <w:t>’</w:t>
      </w:r>
      <w:r w:rsidRPr="00CB791A">
        <w:rPr>
          <w:rFonts w:eastAsiaTheme="minorEastAsia"/>
        </w:rPr>
        <w:t>examen de la cause. »</w:t>
      </w:r>
    </w:p>
    <w:p w:rsidRPr="00CB791A" w:rsidR="00B34B1B" w:rsidP="00CB791A" w:rsidRDefault="00B34B1B" w14:paraId="090E6EF4" w14:textId="77777777">
      <w:pPr>
        <w:pStyle w:val="JuPara"/>
        <w:jc w:val="center"/>
        <w:rPr>
          <w:rFonts w:eastAsiaTheme="minorEastAsia"/>
          <w:b/>
          <w:bCs/>
          <w:sz w:val="20"/>
          <w:szCs w:val="20"/>
        </w:rPr>
      </w:pPr>
      <w:r w:rsidRPr="00CB791A">
        <w:rPr>
          <w:rFonts w:eastAsiaTheme="minorEastAsia"/>
          <w:b/>
          <w:bCs/>
          <w:sz w:val="20"/>
          <w:szCs w:val="20"/>
        </w:rPr>
        <w:t>Article 442</w:t>
      </w:r>
      <w:r w:rsidRPr="00CB791A">
        <w:rPr>
          <w:rFonts w:eastAsiaTheme="minorEastAsia"/>
          <w:b/>
          <w:bCs/>
          <w:i/>
          <w:sz w:val="20"/>
          <w:szCs w:val="20"/>
        </w:rPr>
        <w:t>quinquies</w:t>
      </w:r>
    </w:p>
    <w:p w:rsidRPr="00CB791A" w:rsidR="00B34B1B" w:rsidP="00CB791A" w:rsidRDefault="00B34B1B" w14:paraId="09C3352D" w14:textId="137BE9EF">
      <w:pPr>
        <w:pStyle w:val="JuQuot"/>
        <w:rPr>
          <w:rFonts w:eastAsiaTheme="minorEastAsia"/>
        </w:rPr>
      </w:pPr>
      <w:r w:rsidRPr="00CB791A">
        <w:rPr>
          <w:rFonts w:eastAsiaTheme="minorEastAsia"/>
        </w:rPr>
        <w:t>« Lorsqu</w:t>
      </w:r>
      <w:r w:rsidRPr="00CB791A" w:rsidR="00CB791A">
        <w:rPr>
          <w:rFonts w:eastAsiaTheme="minorEastAsia"/>
        </w:rPr>
        <w:t>’</w:t>
      </w:r>
      <w:r w:rsidRPr="00CB791A">
        <w:rPr>
          <w:rFonts w:eastAsiaTheme="minorEastAsia"/>
        </w:rPr>
        <w:t>il ressort de l</w:t>
      </w:r>
      <w:r w:rsidRPr="00CB791A" w:rsidR="00CB791A">
        <w:rPr>
          <w:rFonts w:eastAsiaTheme="minorEastAsia"/>
        </w:rPr>
        <w:t>’</w:t>
      </w:r>
      <w:r w:rsidRPr="00CB791A">
        <w:rPr>
          <w:rFonts w:eastAsiaTheme="minorEastAsia"/>
        </w:rPr>
        <w:t>examen de la demande soit que la décision attaquée est contraire sur le fond à la Convention européenne, soit que la violation constatée est la conséquence d</w:t>
      </w:r>
      <w:r w:rsidRPr="00CB791A" w:rsidR="00CB791A">
        <w:rPr>
          <w:rFonts w:eastAsiaTheme="minorEastAsia"/>
        </w:rPr>
        <w:t>’</w:t>
      </w:r>
      <w:r w:rsidRPr="00CB791A">
        <w:rPr>
          <w:rFonts w:eastAsiaTheme="minorEastAsia"/>
        </w:rPr>
        <w:t>erreurs ou de défaillances de procédure d</w:t>
      </w:r>
      <w:r w:rsidRPr="00CB791A" w:rsidR="00CB791A">
        <w:rPr>
          <w:rFonts w:eastAsiaTheme="minorEastAsia"/>
        </w:rPr>
        <w:t>’</w:t>
      </w:r>
      <w:r w:rsidRPr="00CB791A">
        <w:rPr>
          <w:rFonts w:eastAsiaTheme="minorEastAsia"/>
        </w:rPr>
        <w:t>une gravité telle qu</w:t>
      </w:r>
      <w:r w:rsidRPr="00CB791A" w:rsidR="00CB791A">
        <w:rPr>
          <w:rFonts w:eastAsiaTheme="minorEastAsia"/>
        </w:rPr>
        <w:t>’</w:t>
      </w:r>
      <w:r w:rsidRPr="00CB791A">
        <w:rPr>
          <w:rFonts w:eastAsiaTheme="minorEastAsia"/>
        </w:rPr>
        <w:t>un doute sérieux existe quant au résultat de la procédure attaquée, la Cour de cassation ordonne la réouverture de la procédure, pour autant que la partie condamnée ou les ayants droit prévus à l</w:t>
      </w:r>
      <w:r w:rsidRPr="00CB791A" w:rsidR="00CB791A">
        <w:rPr>
          <w:rFonts w:eastAsiaTheme="minorEastAsia"/>
        </w:rPr>
        <w:t>’</w:t>
      </w:r>
      <w:r w:rsidRPr="00CB791A">
        <w:rPr>
          <w:rFonts w:eastAsiaTheme="minorEastAsia"/>
        </w:rPr>
        <w:t>article 442</w:t>
      </w:r>
      <w:r w:rsidRPr="00CB791A">
        <w:rPr>
          <w:rFonts w:eastAsiaTheme="minorEastAsia"/>
          <w:i/>
        </w:rPr>
        <w:t>ter</w:t>
      </w:r>
      <w:r w:rsidRPr="00CB791A">
        <w:rPr>
          <w:rFonts w:eastAsiaTheme="minorEastAsia"/>
        </w:rPr>
        <w:t>, 2</w:t>
      </w:r>
      <w:r w:rsidRPr="00CB791A">
        <w:rPr>
          <w:rFonts w:eastAsiaTheme="minorEastAsia"/>
          <w:vertAlign w:val="superscript"/>
        </w:rPr>
        <w:t>o</w:t>
      </w:r>
      <w:r w:rsidRPr="00CB791A">
        <w:rPr>
          <w:rFonts w:eastAsiaTheme="minorEastAsia"/>
        </w:rPr>
        <w:t>, continuent à souffrir des conséquences négatives très graves que seule une réouverture peut réparer.</w:t>
      </w:r>
    </w:p>
    <w:p w:rsidRPr="00CB791A" w:rsidR="00B34B1B" w:rsidP="00CB791A" w:rsidRDefault="00B34B1B" w14:paraId="20DBAB1C" w14:textId="77777777">
      <w:pPr>
        <w:pStyle w:val="JuQuot"/>
        <w:rPr>
          <w:rFonts w:eastAsiaTheme="minorEastAsia"/>
        </w:rPr>
      </w:pPr>
      <w:r w:rsidRPr="00CB791A">
        <w:rPr>
          <w:rFonts w:eastAsiaTheme="minorEastAsia"/>
        </w:rPr>
        <w:t xml:space="preserve"> Dans les cas où la Cour de cassation a rendu la décision attaquée, elle examine la demande de réouverture dans une composition différente. »</w:t>
      </w:r>
    </w:p>
    <w:p w:rsidRPr="00CB791A" w:rsidR="00B34B1B" w:rsidP="00CB791A" w:rsidRDefault="00B34B1B" w14:paraId="264007A6" w14:textId="7E52FE62">
      <w:pPr>
        <w:pStyle w:val="JuHA"/>
      </w:pPr>
      <w:r w:rsidRPr="00CB791A">
        <w:t>Jurisprudence de la Cour de cassation</w:t>
      </w:r>
    </w:p>
    <w:p w:rsidRPr="00CB791A" w:rsidR="00B34B1B" w:rsidP="00CB791A" w:rsidRDefault="00B34B1B" w14:paraId="017220CF" w14:textId="03134BBC">
      <w:pPr>
        <w:pStyle w:val="JuPara"/>
      </w:pPr>
      <w:r w:rsidRPr="00CB791A">
        <w:fldChar w:fldCharType="begin"/>
      </w:r>
      <w:r w:rsidRPr="00CB791A">
        <w:instrText xml:space="preserve"> SEQ level0 \*arabic </w:instrText>
      </w:r>
      <w:r w:rsidRPr="00CB791A">
        <w:fldChar w:fldCharType="separate"/>
      </w:r>
      <w:r w:rsidRPr="00CB791A" w:rsidR="00CB791A">
        <w:rPr>
          <w:noProof/>
        </w:rPr>
        <w:t>39</w:t>
      </w:r>
      <w:r w:rsidRPr="00CB791A">
        <w:fldChar w:fldCharType="end"/>
      </w:r>
      <w:r w:rsidRPr="00CB791A">
        <w:t>.  La Cour de cassation s</w:t>
      </w:r>
      <w:r w:rsidRPr="00CB791A" w:rsidR="00CB791A">
        <w:t>’</w:t>
      </w:r>
      <w:r w:rsidRPr="00CB791A">
        <w:t>est prononcée dans plusieurs arrêts, dont l</w:t>
      </w:r>
      <w:r w:rsidRPr="00CB791A" w:rsidR="00CB791A">
        <w:t>’</w:t>
      </w:r>
      <w:r w:rsidRPr="00CB791A">
        <w:t>arrêt du 7 novembre 2018 qu</w:t>
      </w:r>
      <w:r w:rsidRPr="00CB791A" w:rsidR="00CB791A">
        <w:t>’</w:t>
      </w:r>
      <w:r w:rsidRPr="00CB791A">
        <w:t>elle a rendu dans la présente affaire (paragraphes</w:t>
      </w:r>
      <w:r w:rsidRPr="00CB791A">
        <w:rPr>
          <w:rFonts w:eastAsiaTheme="minorEastAsia"/>
        </w:rPr>
        <w:t xml:space="preserve"> </w:t>
      </w:r>
      <w:r w:rsidRPr="00CB791A">
        <w:rPr>
          <w:rFonts w:eastAsiaTheme="minorEastAsia"/>
          <w:szCs w:val="22"/>
        </w:rPr>
        <w:fldChar w:fldCharType="begin"/>
      </w:r>
      <w:r w:rsidRPr="00CB791A">
        <w:rPr>
          <w:rFonts w:eastAsiaTheme="minorEastAsia"/>
        </w:rPr>
        <w:instrText xml:space="preserve"> REF B \h </w:instrText>
      </w:r>
      <w:r w:rsidRPr="00CB791A">
        <w:rPr>
          <w:rFonts w:eastAsiaTheme="minorEastAsia"/>
          <w:szCs w:val="22"/>
        </w:rPr>
        <w:instrText xml:space="preserve"> \* MERGEFORMAT </w:instrText>
      </w:r>
      <w:r w:rsidRPr="00CB791A">
        <w:rPr>
          <w:rFonts w:eastAsiaTheme="minorEastAsia"/>
          <w:szCs w:val="22"/>
        </w:rPr>
      </w:r>
      <w:r w:rsidRPr="00CB791A">
        <w:rPr>
          <w:rFonts w:eastAsiaTheme="minorEastAsia"/>
          <w:szCs w:val="22"/>
        </w:rPr>
        <w:fldChar w:fldCharType="separate"/>
      </w:r>
      <w:r w:rsidRPr="00CB791A" w:rsidR="00CB791A">
        <w:rPr>
          <w:rFonts w:eastAsiaTheme="minorEastAsia"/>
        </w:rPr>
        <w:t>24</w:t>
      </w:r>
      <w:r w:rsidRPr="00CB791A">
        <w:rPr>
          <w:rFonts w:eastAsiaTheme="minorEastAsia"/>
          <w:szCs w:val="22"/>
        </w:rPr>
        <w:fldChar w:fldCharType="end"/>
      </w:r>
      <w:r w:rsidRPr="00CB791A">
        <w:rPr>
          <w:rFonts w:eastAsiaTheme="minorEastAsia"/>
        </w:rPr>
        <w:t>-</w:t>
      </w:r>
      <w:r w:rsidRPr="00CB791A">
        <w:rPr>
          <w:rFonts w:eastAsiaTheme="minorEastAsia"/>
        </w:rPr>
        <w:fldChar w:fldCharType="begin"/>
      </w:r>
      <w:r w:rsidRPr="00CB791A">
        <w:rPr>
          <w:rFonts w:eastAsiaTheme="minorEastAsia"/>
        </w:rPr>
        <w:instrText xml:space="preserve"> REF M \h  \* MERGEFORMAT </w:instrText>
      </w:r>
      <w:r w:rsidRPr="00CB791A">
        <w:rPr>
          <w:rFonts w:eastAsiaTheme="minorEastAsia"/>
        </w:rPr>
      </w:r>
      <w:r w:rsidRPr="00CB791A">
        <w:rPr>
          <w:rFonts w:eastAsiaTheme="minorEastAsia"/>
        </w:rPr>
        <w:fldChar w:fldCharType="separate"/>
      </w:r>
      <w:r w:rsidRPr="00CB791A" w:rsidR="00CB791A">
        <w:t>26</w:t>
      </w:r>
      <w:r w:rsidRPr="00CB791A">
        <w:rPr>
          <w:rFonts w:eastAsiaTheme="minorEastAsia"/>
        </w:rPr>
        <w:fldChar w:fldCharType="end"/>
      </w:r>
      <w:r w:rsidRPr="00CB791A">
        <w:rPr>
          <w:rFonts w:eastAsiaTheme="minorEastAsia"/>
        </w:rPr>
        <w:t xml:space="preserve"> </w:t>
      </w:r>
      <w:r w:rsidRPr="00CB791A">
        <w:t>ci-dessus), sur les conséquences à tirer d</w:t>
      </w:r>
      <w:r w:rsidRPr="00CB791A" w:rsidR="00CB791A">
        <w:t>’</w:t>
      </w:r>
      <w:r w:rsidRPr="00CB791A">
        <w:t>une décision de radiation rendue par la Cour entérinant une déclaration unilatérale du Gouvernement belge.</w:t>
      </w:r>
    </w:p>
    <w:p w:rsidRPr="00CB791A" w:rsidR="00B34B1B" w:rsidP="00CB791A" w:rsidRDefault="00E068C6" w14:paraId="12614CD7" w14:textId="331325FB">
      <w:pPr>
        <w:pStyle w:val="JuPara"/>
      </w:pPr>
      <w:fldSimple w:instr=" SEQ level0 \*arabic \* MERGEFORMAT ">
        <w:r w:rsidRPr="00CB791A" w:rsidR="00CB791A">
          <w:rPr>
            <w:noProof/>
          </w:rPr>
          <w:t>40</w:t>
        </w:r>
      </w:fldSimple>
      <w:r w:rsidRPr="00CB791A" w:rsidR="00B34B1B">
        <w:t>.  Elle s</w:t>
      </w:r>
      <w:r w:rsidRPr="00CB791A" w:rsidR="00CB791A">
        <w:t>’</w:t>
      </w:r>
      <w:r w:rsidRPr="00CB791A" w:rsidR="00B34B1B">
        <w:t>est prononcée une première fois à propos d</w:t>
      </w:r>
      <w:r w:rsidRPr="00CB791A" w:rsidR="00CB791A">
        <w:t>’</w:t>
      </w:r>
      <w:r w:rsidRPr="00CB791A" w:rsidR="00B34B1B">
        <w:t>une demande de réouverture de la procédure pénale en cause dans l</w:t>
      </w:r>
      <w:r w:rsidRPr="00CB791A" w:rsidR="00CB791A">
        <w:t>’</w:t>
      </w:r>
      <w:r w:rsidRPr="00CB791A" w:rsidR="00B34B1B">
        <w:t xml:space="preserve">affaire </w:t>
      </w:r>
      <w:proofErr w:type="spellStart"/>
      <w:r w:rsidRPr="00CB791A" w:rsidR="00B34B1B">
        <w:rPr>
          <w:i/>
        </w:rPr>
        <w:t>Goyens</w:t>
      </w:r>
      <w:proofErr w:type="spellEnd"/>
      <w:r w:rsidRPr="00CB791A" w:rsidR="00B34B1B">
        <w:rPr>
          <w:i/>
        </w:rPr>
        <w:t xml:space="preserve"> et </w:t>
      </w:r>
      <w:proofErr w:type="spellStart"/>
      <w:r w:rsidRPr="00CB791A" w:rsidR="00B34B1B">
        <w:rPr>
          <w:i/>
        </w:rPr>
        <w:t>Robben</w:t>
      </w:r>
      <w:proofErr w:type="spellEnd"/>
      <w:r w:rsidRPr="00CB791A" w:rsidR="00B34B1B">
        <w:rPr>
          <w:i/>
        </w:rPr>
        <w:t xml:space="preserve"> c.</w:t>
      </w:r>
      <w:r w:rsidRPr="00CB791A" w:rsidR="009A171A">
        <w:rPr>
          <w:i/>
        </w:rPr>
        <w:t> </w:t>
      </w:r>
      <w:r w:rsidRPr="00CB791A" w:rsidR="00B34B1B">
        <w:rPr>
          <w:i/>
        </w:rPr>
        <w:t>Belgique</w:t>
      </w:r>
      <w:r w:rsidRPr="00CB791A" w:rsidR="00B34B1B">
        <w:t xml:space="preserve"> que la Cour avait rayée du rôle sur pied de l</w:t>
      </w:r>
      <w:r w:rsidRPr="00CB791A" w:rsidR="00CB791A">
        <w:t>’</w:t>
      </w:r>
      <w:r w:rsidRPr="00CB791A" w:rsidR="00B34B1B">
        <w:t>article</w:t>
      </w:r>
      <w:r w:rsidRPr="00CB791A" w:rsidR="00777A4A">
        <w:t> </w:t>
      </w:r>
      <w:r w:rsidRPr="00CB791A" w:rsidR="00B34B1B">
        <w:t>37 §</w:t>
      </w:r>
      <w:r w:rsidRPr="00CB791A" w:rsidR="00777A4A">
        <w:t> </w:t>
      </w:r>
      <w:r w:rsidRPr="00CB791A" w:rsidR="00B34B1B">
        <w:t>1</w:t>
      </w:r>
      <w:r w:rsidRPr="00CB791A" w:rsidR="00B34B1B">
        <w:rPr>
          <w:vertAlign w:val="superscript"/>
        </w:rPr>
        <w:t>er</w:t>
      </w:r>
      <w:r w:rsidRPr="00CB791A" w:rsidR="00B34B1B">
        <w:t xml:space="preserve"> de la Convention ((déc.), n</w:t>
      </w:r>
      <w:r w:rsidRPr="00CB791A" w:rsidR="00B34B1B">
        <w:rPr>
          <w:vertAlign w:val="superscript"/>
        </w:rPr>
        <w:t>o</w:t>
      </w:r>
      <w:r w:rsidRPr="00CB791A" w:rsidR="00B34B1B">
        <w:t xml:space="preserve"> 47739/08, 13 mars 2018) à la suite d</w:t>
      </w:r>
      <w:r w:rsidRPr="00CB791A" w:rsidR="00CB791A">
        <w:t>’</w:t>
      </w:r>
      <w:r w:rsidRPr="00CB791A" w:rsidR="00B34B1B">
        <w:t>une déclaration unilatérale du Gouvernement formulée dans les mêmes termes que dans la présente espèce. La Cour de cassation (Cass. 2 octobre 2018, P.18.0770.N) conclut à la réouverture de la procédure pour les motifs suivants :</w:t>
      </w:r>
    </w:p>
    <w:p w:rsidRPr="00CB791A" w:rsidR="00B34B1B" w:rsidP="00CB791A" w:rsidRDefault="00B34B1B" w14:paraId="39CD8AF4" w14:textId="2C403F9E">
      <w:pPr>
        <w:pStyle w:val="JuQuot"/>
      </w:pPr>
      <w:r w:rsidRPr="00CB791A">
        <w:t>« Il résulte de la déclaration unilatérale précitée du gouvernement belge et de son appréciation par la Cour européenne par la décision précitée du 18 mars 2018, telle que communiquée le 5 avril 2018, qu</w:t>
      </w:r>
      <w:r w:rsidRPr="00CB791A" w:rsidR="00CB791A">
        <w:t>’</w:t>
      </w:r>
      <w:r w:rsidRPr="00CB791A">
        <w:t>en déclarant irrecevable le mémoire des demandeurs au seul motif qu</w:t>
      </w:r>
      <w:r w:rsidRPr="00CB791A" w:rsidR="00CB791A">
        <w:t>’</w:t>
      </w:r>
      <w:r w:rsidRPr="00CB791A">
        <w:t>il avait été signé par une personne dont la qualité n</w:t>
      </w:r>
      <w:r w:rsidRPr="00CB791A" w:rsidR="00CB791A">
        <w:t>’</w:t>
      </w:r>
      <w:r w:rsidRPr="00CB791A">
        <w:t>était pas mentionnée, alors qu</w:t>
      </w:r>
      <w:r w:rsidRPr="00CB791A" w:rsidR="00CB791A">
        <w:t>’</w:t>
      </w:r>
      <w:r w:rsidRPr="00CB791A">
        <w:t>il ressortait de la lecture conjointe du mémoire et de la lettre d</w:t>
      </w:r>
      <w:r w:rsidRPr="00CB791A" w:rsidR="00CB791A">
        <w:t>’</w:t>
      </w:r>
      <w:r w:rsidRPr="00CB791A">
        <w:t>accompagnement signée par M</w:t>
      </w:r>
      <w:r w:rsidRPr="00CB791A">
        <w:rPr>
          <w:vertAlign w:val="superscript"/>
        </w:rPr>
        <w:t>e</w:t>
      </w:r>
      <w:r w:rsidRPr="00CB791A">
        <w:t xml:space="preserve"> K. B. que ce mémoire émanait effectivement de M</w:t>
      </w:r>
      <w:r w:rsidRPr="00CB791A">
        <w:rPr>
          <w:vertAlign w:val="superscript"/>
        </w:rPr>
        <w:t>e</w:t>
      </w:r>
      <w:r w:rsidRPr="00CB791A" w:rsidR="006520EA">
        <w:rPr>
          <w:vertAlign w:val="superscript"/>
        </w:rPr>
        <w:t> </w:t>
      </w:r>
      <w:r w:rsidRPr="00CB791A">
        <w:t>K. B., la Cour de cassation a violé le droit d</w:t>
      </w:r>
      <w:r w:rsidRPr="00CB791A" w:rsidR="00CB791A">
        <w:t>’</w:t>
      </w:r>
      <w:r w:rsidRPr="00CB791A">
        <w:t>accès au juge garanti par l</w:t>
      </w:r>
      <w:r w:rsidRPr="00CB791A" w:rsidR="00CB791A">
        <w:t>’</w:t>
      </w:r>
      <w:r w:rsidRPr="00CB791A">
        <w:t>article 6, §</w:t>
      </w:r>
      <w:r w:rsidRPr="00CB791A" w:rsidR="006520EA">
        <w:t> </w:t>
      </w:r>
      <w:r w:rsidRPr="00CB791A">
        <w:t>1</w:t>
      </w:r>
      <w:r w:rsidRPr="00CB791A">
        <w:rPr>
          <w:vertAlign w:val="superscript"/>
        </w:rPr>
        <w:t>er</w:t>
      </w:r>
      <w:r w:rsidRPr="00CB791A">
        <w:t>, de la Convention.</w:t>
      </w:r>
    </w:p>
    <w:p w:rsidRPr="00CB791A" w:rsidR="00B34B1B" w:rsidP="00CB791A" w:rsidRDefault="00B34B1B" w14:paraId="1D58967C" w14:textId="60DB2370">
      <w:pPr>
        <w:pStyle w:val="JuQuot"/>
      </w:pPr>
      <w:r w:rsidRPr="00CB791A">
        <w:t>La violation ainsi constatée de l</w:t>
      </w:r>
      <w:r w:rsidRPr="00CB791A" w:rsidR="00CB791A">
        <w:t>’</w:t>
      </w:r>
      <w:r w:rsidRPr="00CB791A">
        <w:t>article 6 de la Convention consécutivement à une erreur ou à une défaillance dans la procédure est d</w:t>
      </w:r>
      <w:r w:rsidRPr="00CB791A" w:rsidR="00CB791A">
        <w:t>’</w:t>
      </w:r>
      <w:r w:rsidRPr="00CB791A">
        <w:t>une gravité telle qu</w:t>
      </w:r>
      <w:r w:rsidRPr="00CB791A" w:rsidR="00CB791A">
        <w:t>’</w:t>
      </w:r>
      <w:r w:rsidRPr="00CB791A">
        <w:t>un doute sérieux existe quant au résultat de la procédure attaquée. En effet, la Cour de cassation aurait pu statuer autrement qu</w:t>
      </w:r>
      <w:r w:rsidRPr="00CB791A" w:rsidR="00CB791A">
        <w:t>’</w:t>
      </w:r>
      <w:r w:rsidRPr="00CB791A">
        <w:t>elle l</w:t>
      </w:r>
      <w:r w:rsidRPr="00CB791A" w:rsidR="00CB791A">
        <w:t>’</w:t>
      </w:r>
      <w:r w:rsidRPr="00CB791A">
        <w:t>a fait par arrêt du 1</w:t>
      </w:r>
      <w:r w:rsidRPr="00CB791A">
        <w:rPr>
          <w:vertAlign w:val="superscript"/>
        </w:rPr>
        <w:t>er</w:t>
      </w:r>
      <w:r w:rsidRPr="00CB791A">
        <w:t xml:space="preserve"> avril 2008 si elle avait pris connaissance des moyens développés dans le mémoire des demandeurs.</w:t>
      </w:r>
    </w:p>
    <w:p w:rsidRPr="00CB791A" w:rsidR="00B34B1B" w:rsidP="00CB791A" w:rsidRDefault="00B34B1B" w14:paraId="6A91DB20" w14:textId="67D4A60E">
      <w:pPr>
        <w:pStyle w:val="JuQuot"/>
      </w:pPr>
      <w:r w:rsidRPr="00CB791A">
        <w:t>S</w:t>
      </w:r>
      <w:r w:rsidRPr="00CB791A" w:rsidR="00CB791A">
        <w:t>’</w:t>
      </w:r>
      <w:r w:rsidRPr="00CB791A">
        <w:t xml:space="preserve">étant vu ordonner de rétablir, à leur charge, les lieux en leur </w:t>
      </w:r>
      <w:proofErr w:type="spellStart"/>
      <w:r w:rsidRPr="00CB791A">
        <w:t>pristin</w:t>
      </w:r>
      <w:proofErr w:type="spellEnd"/>
      <w:r w:rsidRPr="00CB791A">
        <w:t xml:space="preserve"> état, ainsi qu</w:t>
      </w:r>
      <w:r w:rsidRPr="00CB791A" w:rsidR="00CB791A">
        <w:t>’</w:t>
      </w:r>
      <w:r w:rsidRPr="00CB791A">
        <w:t>il est décrit précédemment, sous peine d</w:t>
      </w:r>
      <w:r w:rsidRPr="00CB791A" w:rsidR="00CB791A">
        <w:t>’</w:t>
      </w:r>
      <w:r w:rsidRPr="00CB791A">
        <w:t>une astreinte de 125,00 euros par jour, les demandeurs continuent à souffrir des conséquences négatives très graves de la procédure attaquée, que seule une réouverture peut réparer.</w:t>
      </w:r>
    </w:p>
    <w:p w:rsidRPr="00CB791A" w:rsidR="00B34B1B" w:rsidP="00CB791A" w:rsidRDefault="00B34B1B" w14:paraId="789050C9" w14:textId="4E1F54DB">
      <w:pPr>
        <w:pStyle w:val="JuQuot"/>
      </w:pPr>
      <w:r w:rsidRPr="00CB791A">
        <w:t>Les conditions visées aux articles 442</w:t>
      </w:r>
      <w:r w:rsidRPr="00CB791A">
        <w:rPr>
          <w:i/>
        </w:rPr>
        <w:t>bis</w:t>
      </w:r>
      <w:r w:rsidRPr="00CB791A">
        <w:t xml:space="preserve"> et 442</w:t>
      </w:r>
      <w:r w:rsidRPr="00CB791A">
        <w:rPr>
          <w:i/>
        </w:rPr>
        <w:t>quinquies</w:t>
      </w:r>
      <w:r w:rsidRPr="00CB791A">
        <w:t>, alinéa 1</w:t>
      </w:r>
      <w:r w:rsidRPr="00CB791A">
        <w:rPr>
          <w:vertAlign w:val="superscript"/>
        </w:rPr>
        <w:t>er</w:t>
      </w:r>
      <w:r w:rsidRPr="00CB791A">
        <w:t>, du Code d</w:t>
      </w:r>
      <w:r w:rsidRPr="00CB791A" w:rsidR="00CB791A">
        <w:t>’</w:t>
      </w:r>
      <w:r w:rsidRPr="00CB791A">
        <w:t>instruction criminelle sont réunies. Il y a lieu de rouvrir la procédure et de retirer l</w:t>
      </w:r>
      <w:r w:rsidRPr="00CB791A" w:rsidR="00CB791A">
        <w:t>’</w:t>
      </w:r>
      <w:r w:rsidRPr="00CB791A">
        <w:t>arrêt P.07.1829.N dans la mesure précisée ci-après. »</w:t>
      </w:r>
    </w:p>
    <w:p w:rsidRPr="00CB791A" w:rsidR="00B34B1B" w:rsidP="00CB791A" w:rsidRDefault="00B34B1B" w14:paraId="53781A04" w14:textId="584506AB">
      <w:pPr>
        <w:pStyle w:val="JuPara"/>
        <w:rPr>
          <w:rFonts w:eastAsia="Times New Roman" w:cstheme="minorHAnsi"/>
        </w:rPr>
      </w:pPr>
      <w:r w:rsidRPr="00CB791A">
        <w:rPr>
          <w:rFonts w:eastAsia="Times New Roman" w:cstheme="minorHAnsi"/>
        </w:rPr>
        <w:fldChar w:fldCharType="begin"/>
      </w:r>
      <w:r w:rsidRPr="00CB791A">
        <w:rPr>
          <w:rFonts w:eastAsia="Times New Roman" w:cstheme="minorHAnsi"/>
        </w:rPr>
        <w:instrText xml:space="preserve"> SEQ level0 \*arabic </w:instrText>
      </w:r>
      <w:r w:rsidRPr="00CB791A">
        <w:rPr>
          <w:rFonts w:eastAsia="Times New Roman" w:cstheme="minorHAnsi"/>
        </w:rPr>
        <w:fldChar w:fldCharType="separate"/>
      </w:r>
      <w:r w:rsidRPr="00CB791A" w:rsidR="00CB791A">
        <w:rPr>
          <w:rFonts w:eastAsia="Times New Roman" w:cstheme="minorHAnsi"/>
          <w:noProof/>
        </w:rPr>
        <w:t>41</w:t>
      </w:r>
      <w:r w:rsidRPr="00CB791A">
        <w:rPr>
          <w:rFonts w:eastAsia="Times New Roman" w:cstheme="minorHAnsi"/>
        </w:rPr>
        <w:fldChar w:fldCharType="end"/>
      </w:r>
      <w:r w:rsidRPr="00CB791A">
        <w:rPr>
          <w:rFonts w:eastAsia="Times New Roman" w:cstheme="minorHAnsi"/>
        </w:rPr>
        <w:t>.  La Cour de cassation s</w:t>
      </w:r>
      <w:r w:rsidRPr="00CB791A" w:rsidR="00CB791A">
        <w:rPr>
          <w:rFonts w:eastAsia="Times New Roman" w:cstheme="minorHAnsi"/>
        </w:rPr>
        <w:t>’</w:t>
      </w:r>
      <w:r w:rsidRPr="00CB791A">
        <w:rPr>
          <w:rFonts w:eastAsia="Times New Roman" w:cstheme="minorHAnsi"/>
        </w:rPr>
        <w:t>est prononcée dans les mêmes termes que ceux en cause en l</w:t>
      </w:r>
      <w:r w:rsidRPr="00CB791A" w:rsidR="00CB791A">
        <w:rPr>
          <w:rFonts w:eastAsia="Times New Roman" w:cstheme="minorHAnsi"/>
        </w:rPr>
        <w:t>’</w:t>
      </w:r>
      <w:r w:rsidRPr="00CB791A">
        <w:rPr>
          <w:rFonts w:eastAsia="Times New Roman" w:cstheme="minorHAnsi"/>
        </w:rPr>
        <w:t xml:space="preserve">espèce (paragraphes </w:t>
      </w:r>
      <w:r w:rsidRPr="00CB791A">
        <w:rPr>
          <w:rFonts w:eastAsiaTheme="minorEastAsia"/>
          <w:szCs w:val="22"/>
        </w:rPr>
        <w:fldChar w:fldCharType="begin"/>
      </w:r>
      <w:r w:rsidRPr="00CB791A">
        <w:rPr>
          <w:rFonts w:eastAsiaTheme="minorEastAsia"/>
        </w:rPr>
        <w:instrText xml:space="preserve"> REF B \h </w:instrText>
      </w:r>
      <w:r w:rsidRPr="00CB791A">
        <w:rPr>
          <w:rFonts w:eastAsiaTheme="minorEastAsia"/>
          <w:szCs w:val="22"/>
        </w:rPr>
        <w:instrText xml:space="preserve"> \* MERGEFORMAT </w:instrText>
      </w:r>
      <w:r w:rsidRPr="00CB791A">
        <w:rPr>
          <w:rFonts w:eastAsiaTheme="minorEastAsia"/>
          <w:szCs w:val="22"/>
        </w:rPr>
      </w:r>
      <w:r w:rsidRPr="00CB791A">
        <w:rPr>
          <w:rFonts w:eastAsiaTheme="minorEastAsia"/>
          <w:szCs w:val="22"/>
        </w:rPr>
        <w:fldChar w:fldCharType="separate"/>
      </w:r>
      <w:r w:rsidRPr="00CB791A" w:rsidR="00CB791A">
        <w:rPr>
          <w:rFonts w:eastAsiaTheme="minorEastAsia"/>
        </w:rPr>
        <w:t>24</w:t>
      </w:r>
      <w:r w:rsidRPr="00CB791A">
        <w:rPr>
          <w:rFonts w:eastAsiaTheme="minorEastAsia"/>
          <w:szCs w:val="22"/>
        </w:rPr>
        <w:fldChar w:fldCharType="end"/>
      </w:r>
      <w:r w:rsidRPr="00CB791A">
        <w:rPr>
          <w:rFonts w:eastAsiaTheme="minorEastAsia"/>
        </w:rPr>
        <w:t>-</w:t>
      </w:r>
      <w:r w:rsidRPr="00CB791A">
        <w:fldChar w:fldCharType="begin"/>
      </w:r>
      <w:r w:rsidRPr="00CB791A">
        <w:instrText xml:space="preserve"> REF FaitsCass07112018End \h  \* MERGEFORMAT </w:instrText>
      </w:r>
      <w:r w:rsidRPr="00CB791A">
        <w:fldChar w:fldCharType="separate"/>
      </w:r>
      <w:r w:rsidRPr="00CB791A" w:rsidR="00CB791A">
        <w:t>26</w:t>
      </w:r>
      <w:r w:rsidRPr="00CB791A">
        <w:fldChar w:fldCharType="end"/>
      </w:r>
      <w:r w:rsidRPr="00CB791A">
        <w:t xml:space="preserve"> ci-dessus</w:t>
      </w:r>
      <w:r w:rsidRPr="00CB791A">
        <w:rPr>
          <w:rFonts w:eastAsia="Times New Roman" w:cstheme="minorHAnsi"/>
        </w:rPr>
        <w:t>) à propos de la décision de la Cour de rayer du rôle l</w:t>
      </w:r>
      <w:r w:rsidRPr="00CB791A" w:rsidR="00CB791A">
        <w:rPr>
          <w:rFonts w:eastAsia="Times New Roman" w:cstheme="minorHAnsi"/>
        </w:rPr>
        <w:t>’</w:t>
      </w:r>
      <w:r w:rsidRPr="00CB791A">
        <w:rPr>
          <w:rFonts w:eastAsia="Times New Roman" w:cstheme="minorHAnsi"/>
        </w:rPr>
        <w:t xml:space="preserve">affaire </w:t>
      </w:r>
      <w:r w:rsidRPr="00CB791A">
        <w:rPr>
          <w:rFonts w:eastAsia="Times New Roman" w:cstheme="minorHAnsi"/>
          <w:i/>
          <w:iCs/>
        </w:rPr>
        <w:t xml:space="preserve">Van </w:t>
      </w:r>
      <w:proofErr w:type="spellStart"/>
      <w:r w:rsidRPr="00CB791A">
        <w:rPr>
          <w:rFonts w:eastAsia="Times New Roman" w:cstheme="minorHAnsi"/>
          <w:i/>
          <w:iCs/>
        </w:rPr>
        <w:t>Eekert</w:t>
      </w:r>
      <w:proofErr w:type="spellEnd"/>
      <w:r w:rsidRPr="00CB791A">
        <w:rPr>
          <w:rFonts w:eastAsia="Times New Roman" w:cstheme="minorHAnsi"/>
          <w:i/>
          <w:iCs/>
        </w:rPr>
        <w:t xml:space="preserve"> et </w:t>
      </w:r>
      <w:proofErr w:type="spellStart"/>
      <w:r w:rsidRPr="00CB791A">
        <w:rPr>
          <w:rFonts w:eastAsia="Times New Roman" w:cstheme="minorHAnsi"/>
          <w:i/>
          <w:iCs/>
        </w:rPr>
        <w:t>Lavrijsen</w:t>
      </w:r>
      <w:proofErr w:type="spellEnd"/>
      <w:r w:rsidRPr="00CB791A">
        <w:rPr>
          <w:rFonts w:eastAsia="Times New Roman" w:cstheme="minorHAnsi"/>
          <w:i/>
          <w:iCs/>
        </w:rPr>
        <w:t xml:space="preserve"> </w:t>
      </w:r>
      <w:r w:rsidRPr="00CB791A">
        <w:rPr>
          <w:rFonts w:eastAsia="Times New Roman" w:cstheme="minorHAnsi"/>
        </w:rPr>
        <w:t>((déc.), n</w:t>
      </w:r>
      <w:r w:rsidRPr="00CB791A">
        <w:rPr>
          <w:rFonts w:eastAsia="Times New Roman" w:cstheme="minorHAnsi"/>
          <w:vertAlign w:val="superscript"/>
        </w:rPr>
        <w:t>o </w:t>
      </w:r>
      <w:r w:rsidRPr="00CB791A">
        <w:rPr>
          <w:rFonts w:eastAsia="Times New Roman" w:cstheme="minorHAnsi"/>
        </w:rPr>
        <w:t>33262/15, 16 juin 2020) qui concernait le droit à un procès d</w:t>
      </w:r>
      <w:r w:rsidRPr="00CB791A" w:rsidR="00CB791A">
        <w:rPr>
          <w:rFonts w:eastAsia="Times New Roman" w:cstheme="minorHAnsi"/>
        </w:rPr>
        <w:t>’</w:t>
      </w:r>
      <w:r w:rsidRPr="00CB791A">
        <w:rPr>
          <w:rFonts w:eastAsia="Times New Roman" w:cstheme="minorHAnsi"/>
        </w:rPr>
        <w:t>une durée raisonnable (Cass. 17 novembre 2020, P.20.0884.N.).</w:t>
      </w:r>
    </w:p>
    <w:bookmarkStart w:name="reouverture" w:id="33"/>
    <w:p w:rsidRPr="00CB791A" w:rsidR="00B34B1B" w:rsidP="00CB791A" w:rsidRDefault="00B34B1B" w14:paraId="418AF3FA" w14:textId="7C3E6D18">
      <w:pPr>
        <w:pStyle w:val="JuPara"/>
        <w:rPr>
          <w:rFonts w:eastAsia="Times New Roman" w:cstheme="minorHAnsi"/>
        </w:rPr>
      </w:pPr>
      <w:r w:rsidRPr="00CB791A">
        <w:rPr>
          <w:rFonts w:eastAsia="Times New Roman" w:cstheme="minorHAnsi"/>
        </w:rPr>
        <w:fldChar w:fldCharType="begin"/>
      </w:r>
      <w:r w:rsidRPr="00CB791A">
        <w:rPr>
          <w:rFonts w:eastAsia="Times New Roman" w:cstheme="minorHAnsi"/>
        </w:rPr>
        <w:instrText xml:space="preserve"> SEQ level0 \*arabic \* MERGEFORMAT </w:instrText>
      </w:r>
      <w:r w:rsidRPr="00CB791A">
        <w:rPr>
          <w:rFonts w:eastAsia="Times New Roman" w:cstheme="minorHAnsi"/>
        </w:rPr>
        <w:fldChar w:fldCharType="separate"/>
      </w:r>
      <w:r w:rsidRPr="00CB791A" w:rsidR="00CB791A">
        <w:rPr>
          <w:rFonts w:eastAsia="Times New Roman" w:cstheme="minorHAnsi"/>
          <w:noProof/>
        </w:rPr>
        <w:t>42</w:t>
      </w:r>
      <w:r w:rsidRPr="00CB791A">
        <w:rPr>
          <w:rFonts w:eastAsia="Times New Roman" w:cstheme="minorHAnsi"/>
        </w:rPr>
        <w:fldChar w:fldCharType="end"/>
      </w:r>
      <w:bookmarkEnd w:id="33"/>
      <w:r w:rsidRPr="00CB791A">
        <w:rPr>
          <w:rFonts w:eastAsia="Times New Roman" w:cstheme="minorHAnsi"/>
        </w:rPr>
        <w:t>.  Enfin, le 24 février 2021, la Cour de cassation a ordonné la réouverture de la procédure en ce qui concerne l</w:t>
      </w:r>
      <w:r w:rsidRPr="00CB791A" w:rsidR="00CB791A">
        <w:rPr>
          <w:rFonts w:eastAsia="Times New Roman" w:cstheme="minorHAnsi"/>
        </w:rPr>
        <w:t>’</w:t>
      </w:r>
      <w:r w:rsidRPr="00CB791A">
        <w:rPr>
          <w:rFonts w:eastAsia="Times New Roman" w:cstheme="minorHAnsi"/>
        </w:rPr>
        <w:t>action publique à la base de l</w:t>
      </w:r>
      <w:r w:rsidRPr="00CB791A" w:rsidR="00CB791A">
        <w:rPr>
          <w:rFonts w:eastAsia="Times New Roman" w:cstheme="minorHAnsi"/>
        </w:rPr>
        <w:t>’</w:t>
      </w:r>
      <w:r w:rsidRPr="00CB791A">
        <w:rPr>
          <w:rFonts w:eastAsia="Times New Roman" w:cstheme="minorHAnsi"/>
        </w:rPr>
        <w:t xml:space="preserve">affaire </w:t>
      </w:r>
      <w:proofErr w:type="spellStart"/>
      <w:r w:rsidRPr="00CB791A">
        <w:rPr>
          <w:rFonts w:eastAsia="Times New Roman" w:cstheme="minorHAnsi"/>
          <w:i/>
          <w:iCs/>
        </w:rPr>
        <w:t>Stitou</w:t>
      </w:r>
      <w:proofErr w:type="spellEnd"/>
      <w:r w:rsidRPr="00CB791A">
        <w:rPr>
          <w:rFonts w:eastAsia="Times New Roman" w:cstheme="minorHAnsi"/>
          <w:i/>
          <w:iCs/>
        </w:rPr>
        <w:t xml:space="preserve"> c. Belgique</w:t>
      </w:r>
      <w:r w:rsidRPr="00CB791A">
        <w:rPr>
          <w:rFonts w:eastAsia="Times New Roman" w:cstheme="minorHAnsi"/>
        </w:rPr>
        <w:t xml:space="preserve"> (n</w:t>
      </w:r>
      <w:r w:rsidRPr="00CB791A">
        <w:rPr>
          <w:rFonts w:eastAsia="Times New Roman" w:cstheme="minorHAnsi"/>
          <w:vertAlign w:val="superscript"/>
        </w:rPr>
        <w:t>o</w:t>
      </w:r>
      <w:r w:rsidRPr="00CB791A">
        <w:t xml:space="preserve"> </w:t>
      </w:r>
      <w:r w:rsidRPr="00CB791A">
        <w:rPr>
          <w:rFonts w:eastAsia="Times New Roman" w:cstheme="minorHAnsi"/>
        </w:rPr>
        <w:t>63073/14). Dans cette affaire il y avait eu un premier arrêt de la Cour de cassation, du 23 avril 2014. Puis, une requête devant la Cour avait été rayée du rôle par une décision qui avait pris acte de la déclaration unilatérale du Gouvernement reconnaissant que, « à défaut d</w:t>
      </w:r>
      <w:r w:rsidRPr="00CB791A" w:rsidR="00CB791A">
        <w:rPr>
          <w:rFonts w:eastAsia="Times New Roman" w:cstheme="minorHAnsi"/>
        </w:rPr>
        <w:t>’</w:t>
      </w:r>
      <w:r w:rsidRPr="00CB791A">
        <w:rPr>
          <w:rFonts w:eastAsia="Times New Roman" w:cstheme="minorHAnsi"/>
        </w:rPr>
        <w:t>assistance par avocat [du] requérant à tous les stades préalables au procès pénal », il y avait eu violation de l</w:t>
      </w:r>
      <w:r w:rsidRPr="00CB791A" w:rsidR="00CB791A">
        <w:rPr>
          <w:rFonts w:eastAsia="Times New Roman" w:cstheme="minorHAnsi"/>
        </w:rPr>
        <w:t>’</w:t>
      </w:r>
      <w:r w:rsidRPr="00CB791A">
        <w:rPr>
          <w:rFonts w:eastAsia="Times New Roman" w:cstheme="minorHAnsi"/>
        </w:rPr>
        <w:t>article</w:t>
      </w:r>
      <w:r w:rsidRPr="00CB791A" w:rsidR="00777A4A">
        <w:rPr>
          <w:rFonts w:eastAsia="Times New Roman" w:cstheme="minorHAnsi"/>
        </w:rPr>
        <w:t> </w:t>
      </w:r>
      <w:r w:rsidRPr="00CB791A">
        <w:rPr>
          <w:rFonts w:eastAsia="Times New Roman" w:cstheme="minorHAnsi"/>
        </w:rPr>
        <w:t>6 §§</w:t>
      </w:r>
      <w:r w:rsidRPr="00CB791A" w:rsidR="00777A4A">
        <w:rPr>
          <w:rFonts w:eastAsia="Times New Roman" w:cstheme="minorHAnsi"/>
        </w:rPr>
        <w:t> </w:t>
      </w:r>
      <w:r w:rsidRPr="00CB791A">
        <w:rPr>
          <w:rFonts w:eastAsia="Times New Roman" w:cstheme="minorHAnsi"/>
        </w:rPr>
        <w:t>1 et 3</w:t>
      </w:r>
      <w:r w:rsidRPr="00CB791A" w:rsidR="00777A4A">
        <w:rPr>
          <w:rFonts w:eastAsia="Times New Roman" w:cstheme="minorHAnsi"/>
        </w:rPr>
        <w:t> </w:t>
      </w:r>
      <w:r w:rsidRPr="00CB791A">
        <w:rPr>
          <w:rFonts w:eastAsia="Times New Roman" w:cstheme="minorHAnsi"/>
        </w:rPr>
        <w:t>c), de la Convention (</w:t>
      </w:r>
      <w:proofErr w:type="spellStart"/>
      <w:r w:rsidRPr="00CB791A">
        <w:rPr>
          <w:rFonts w:eastAsia="Times New Roman" w:cstheme="minorHAnsi"/>
          <w:i/>
          <w:iCs/>
        </w:rPr>
        <w:t>Ejupi</w:t>
      </w:r>
      <w:proofErr w:type="spellEnd"/>
      <w:r w:rsidRPr="00CB791A">
        <w:rPr>
          <w:rFonts w:eastAsia="Times New Roman" w:cstheme="minorHAnsi"/>
          <w:i/>
          <w:iCs/>
        </w:rPr>
        <w:t xml:space="preserve"> et autres c. Belgique</w:t>
      </w:r>
      <w:r w:rsidRPr="00CB791A">
        <w:rPr>
          <w:rFonts w:eastAsia="Times New Roman" w:cstheme="minorHAnsi"/>
        </w:rPr>
        <w:t>, (déc.), n</w:t>
      </w:r>
      <w:r w:rsidRPr="00CB791A">
        <w:rPr>
          <w:rFonts w:eastAsia="Times New Roman" w:cstheme="minorHAnsi"/>
          <w:vertAlign w:val="superscript"/>
        </w:rPr>
        <w:t>os</w:t>
      </w:r>
      <w:r w:rsidRPr="00CB791A" w:rsidR="00777A4A">
        <w:rPr>
          <w:rFonts w:eastAsia="Times New Roman" w:cstheme="minorHAnsi"/>
        </w:rPr>
        <w:t> </w:t>
      </w:r>
      <w:r w:rsidRPr="00CB791A">
        <w:rPr>
          <w:rFonts w:eastAsia="Times New Roman" w:cstheme="minorHAnsi"/>
        </w:rPr>
        <w:t>12851/13, 63073/14 et 23713/15, 9</w:t>
      </w:r>
      <w:r w:rsidRPr="00CB791A" w:rsidR="009A171A">
        <w:rPr>
          <w:rFonts w:eastAsia="Times New Roman" w:cstheme="minorHAnsi"/>
        </w:rPr>
        <w:t> </w:t>
      </w:r>
      <w:r w:rsidRPr="00CB791A">
        <w:rPr>
          <w:rFonts w:eastAsia="Times New Roman" w:cstheme="minorHAnsi"/>
        </w:rPr>
        <w:t xml:space="preserve">juillet 2020). </w:t>
      </w:r>
      <w:r w:rsidRPr="00CB791A">
        <w:t xml:space="preserve">La Cour de cassation </w:t>
      </w:r>
      <w:r w:rsidRPr="00CB791A">
        <w:rPr>
          <w:rFonts w:eastAsia="Times New Roman" w:cstheme="minorHAnsi"/>
        </w:rPr>
        <w:t xml:space="preserve">(Cass. 24 février 2021, P.20.1180.F) </w:t>
      </w:r>
      <w:r w:rsidRPr="00CB791A">
        <w:t>conclut à la réouverture de la procédure et au retrait de son arrêt du 23 avril 2014 pour les motifs suivants :</w:t>
      </w:r>
    </w:p>
    <w:p w:rsidRPr="00CB791A" w:rsidR="00B34B1B" w:rsidP="00CB791A" w:rsidRDefault="00B34B1B" w14:paraId="0ABEA693" w14:textId="6EF3805C">
      <w:pPr>
        <w:pStyle w:val="JuQuot"/>
        <w:rPr>
          <w:rFonts w:eastAsia="Times New Roman" w:cstheme="minorHAnsi"/>
          <w:color w:val="000000"/>
          <w:szCs w:val="20"/>
          <w:lang w:eastAsia="fr-FR"/>
        </w:rPr>
      </w:pPr>
      <w:r w:rsidRPr="00CB791A">
        <w:rPr>
          <w:rFonts w:eastAsia="Times New Roman" w:cstheme="minorHAnsi"/>
          <w:szCs w:val="20"/>
        </w:rPr>
        <w:t>« </w:t>
      </w:r>
      <w:r w:rsidRPr="00CB791A">
        <w:rPr>
          <w:rFonts w:eastAsia="Times New Roman" w:cstheme="minorHAnsi"/>
          <w:color w:val="000000"/>
          <w:szCs w:val="20"/>
          <w:lang w:eastAsia="fr-FR"/>
        </w:rPr>
        <w:t>A.</w:t>
      </w:r>
      <w:r w:rsidRPr="00CB791A" w:rsidR="00777A4A">
        <w:rPr>
          <w:rFonts w:eastAsia="Times New Roman" w:cstheme="minorHAnsi"/>
          <w:color w:val="000000"/>
          <w:szCs w:val="20"/>
          <w:lang w:eastAsia="fr-FR"/>
        </w:rPr>
        <w:t>  </w:t>
      </w:r>
      <w:r w:rsidRPr="00CB791A">
        <w:rPr>
          <w:rFonts w:eastAsia="Times New Roman" w:cstheme="minorHAnsi"/>
          <w:color w:val="000000"/>
          <w:szCs w:val="20"/>
          <w:lang w:eastAsia="fr-FR"/>
        </w:rPr>
        <w:t>Sur la demande en réouverture de la procédure :</w:t>
      </w:r>
    </w:p>
    <w:p w:rsidRPr="00CB791A" w:rsidR="00B34B1B" w:rsidP="00CB791A" w:rsidRDefault="00B34B1B" w14:paraId="4F090654" w14:textId="04815C67">
      <w:pPr>
        <w:pStyle w:val="JuQuot"/>
        <w:rPr>
          <w:rFonts w:eastAsia="Times New Roman"/>
          <w:lang w:eastAsia="fr-FR"/>
        </w:rPr>
      </w:pPr>
      <w:r w:rsidRPr="00CB791A">
        <w:rPr>
          <w:rFonts w:eastAsia="Times New Roman"/>
          <w:lang w:eastAsia="fr-FR"/>
        </w:rPr>
        <w:t>1.</w:t>
      </w:r>
      <w:r w:rsidRPr="00CB791A" w:rsidR="00777A4A">
        <w:rPr>
          <w:rFonts w:eastAsia="Times New Roman"/>
          <w:lang w:eastAsia="fr-FR"/>
        </w:rPr>
        <w:t>  </w:t>
      </w:r>
      <w:r w:rsidRPr="00CB791A">
        <w:rPr>
          <w:rFonts w:eastAsia="Times New Roman"/>
          <w:lang w:eastAsia="fr-FR"/>
        </w:rPr>
        <w:t>L</w:t>
      </w:r>
      <w:r w:rsidRPr="00CB791A" w:rsidR="00CB791A">
        <w:rPr>
          <w:rFonts w:eastAsia="Times New Roman"/>
          <w:lang w:eastAsia="fr-FR"/>
        </w:rPr>
        <w:t>’</w:t>
      </w:r>
      <w:r w:rsidRPr="00CB791A">
        <w:rPr>
          <w:rFonts w:eastAsia="Times New Roman"/>
          <w:lang w:eastAsia="fr-FR"/>
        </w:rPr>
        <w:t>article 442</w:t>
      </w:r>
      <w:r w:rsidRPr="00CB791A">
        <w:rPr>
          <w:rFonts w:eastAsia="Times New Roman"/>
          <w:i/>
          <w:iCs/>
          <w:lang w:eastAsia="fr-FR"/>
        </w:rPr>
        <w:t>bis</w:t>
      </w:r>
      <w:r w:rsidRPr="00CB791A">
        <w:rPr>
          <w:rFonts w:eastAsia="Times New Roman"/>
          <w:lang w:eastAsia="fr-FR"/>
        </w:rPr>
        <w:t xml:space="preserve"> du Code d</w:t>
      </w:r>
      <w:r w:rsidRPr="00CB791A" w:rsidR="00CB791A">
        <w:rPr>
          <w:rFonts w:eastAsia="Times New Roman"/>
          <w:lang w:eastAsia="fr-FR"/>
        </w:rPr>
        <w:t>’</w:t>
      </w:r>
      <w:r w:rsidRPr="00CB791A">
        <w:rPr>
          <w:rFonts w:eastAsia="Times New Roman"/>
          <w:lang w:eastAsia="fr-FR"/>
        </w:rPr>
        <w:t>instruction criminelle permet au condamné de demander la réouverture de la procédure, notamment lorsque la violation de la Convention de sauvegarde des droits de l</w:t>
      </w:r>
      <w:r w:rsidRPr="00CB791A" w:rsidR="00CB791A">
        <w:rPr>
          <w:rFonts w:eastAsia="Times New Roman"/>
          <w:lang w:eastAsia="fr-FR"/>
        </w:rPr>
        <w:t>’</w:t>
      </w:r>
      <w:r w:rsidRPr="00CB791A">
        <w:rPr>
          <w:rFonts w:eastAsia="Times New Roman"/>
          <w:lang w:eastAsia="fr-FR"/>
        </w:rPr>
        <w:t>homme et des libertés fondamentales fait l</w:t>
      </w:r>
      <w:r w:rsidRPr="00CB791A" w:rsidR="00CB791A">
        <w:rPr>
          <w:rFonts w:eastAsia="Times New Roman"/>
          <w:lang w:eastAsia="fr-FR"/>
        </w:rPr>
        <w:t>’</w:t>
      </w:r>
      <w:r w:rsidRPr="00CB791A">
        <w:rPr>
          <w:rFonts w:eastAsia="Times New Roman"/>
          <w:lang w:eastAsia="fr-FR"/>
        </w:rPr>
        <w:t>objet d</w:t>
      </w:r>
      <w:r w:rsidRPr="00CB791A" w:rsidR="00CB791A">
        <w:rPr>
          <w:rFonts w:eastAsia="Times New Roman"/>
          <w:lang w:eastAsia="fr-FR"/>
        </w:rPr>
        <w:t>’</w:t>
      </w:r>
      <w:r w:rsidRPr="00CB791A">
        <w:rPr>
          <w:rFonts w:eastAsia="Times New Roman"/>
          <w:lang w:eastAsia="fr-FR"/>
        </w:rPr>
        <w:t>une déclaration de reconnaissance par le gouvernement de l</w:t>
      </w:r>
      <w:r w:rsidRPr="00CB791A" w:rsidR="00CB791A">
        <w:rPr>
          <w:rFonts w:eastAsia="Times New Roman"/>
          <w:lang w:eastAsia="fr-FR"/>
        </w:rPr>
        <w:t>’</w:t>
      </w:r>
      <w:r w:rsidRPr="00CB791A">
        <w:rPr>
          <w:rFonts w:eastAsia="Times New Roman"/>
          <w:lang w:eastAsia="fr-FR"/>
        </w:rPr>
        <w:t>État qui en est accusé, que la Cour prend acte de cette reconnaissance et qu</w:t>
      </w:r>
      <w:r w:rsidRPr="00CB791A" w:rsidR="00CB791A">
        <w:rPr>
          <w:rFonts w:eastAsia="Times New Roman"/>
          <w:lang w:eastAsia="fr-FR"/>
        </w:rPr>
        <w:t>’</w:t>
      </w:r>
      <w:r w:rsidRPr="00CB791A">
        <w:rPr>
          <w:rFonts w:eastAsia="Times New Roman"/>
          <w:lang w:eastAsia="fr-FR"/>
        </w:rPr>
        <w:t>elle décide par voie de conséquence de rayer l</w:t>
      </w:r>
      <w:r w:rsidRPr="00CB791A" w:rsidR="00CB791A">
        <w:rPr>
          <w:rFonts w:eastAsia="Times New Roman"/>
          <w:lang w:eastAsia="fr-FR"/>
        </w:rPr>
        <w:t>’</w:t>
      </w:r>
      <w:r w:rsidRPr="00CB791A">
        <w:rPr>
          <w:rFonts w:eastAsia="Times New Roman"/>
          <w:lang w:eastAsia="fr-FR"/>
        </w:rPr>
        <w:t>affaire du rôle.</w:t>
      </w:r>
    </w:p>
    <w:p w:rsidRPr="00CB791A" w:rsidR="00B34B1B" w:rsidP="00CB791A" w:rsidRDefault="00B34B1B" w14:paraId="2844B5CF" w14:textId="5102566E">
      <w:pPr>
        <w:pStyle w:val="JuQuot"/>
        <w:rPr>
          <w:rFonts w:eastAsia="Times New Roman"/>
          <w:lang w:eastAsia="fr-FR"/>
        </w:rPr>
      </w:pPr>
      <w:r w:rsidRPr="00CB791A">
        <w:rPr>
          <w:rFonts w:eastAsia="Times New Roman"/>
          <w:lang w:eastAsia="fr-FR"/>
        </w:rPr>
        <w:t>Selon le premier alinéa de l</w:t>
      </w:r>
      <w:r w:rsidRPr="00CB791A" w:rsidR="00CB791A">
        <w:rPr>
          <w:rFonts w:eastAsia="Times New Roman"/>
          <w:lang w:eastAsia="fr-FR"/>
        </w:rPr>
        <w:t>’</w:t>
      </w:r>
      <w:r w:rsidRPr="00CB791A">
        <w:rPr>
          <w:rFonts w:eastAsia="Times New Roman"/>
          <w:lang w:eastAsia="fr-FR"/>
        </w:rPr>
        <w:t>article 442</w:t>
      </w:r>
      <w:r w:rsidRPr="00CB791A">
        <w:rPr>
          <w:rFonts w:eastAsia="Times New Roman"/>
          <w:i/>
          <w:iCs/>
          <w:lang w:eastAsia="fr-FR"/>
        </w:rPr>
        <w:t>bis</w:t>
      </w:r>
      <w:r w:rsidRPr="00CB791A">
        <w:rPr>
          <w:rFonts w:eastAsia="Times New Roman"/>
          <w:lang w:eastAsia="fr-FR"/>
        </w:rPr>
        <w:t xml:space="preserve"> susdit, la réouverture ne peut être demandée qu</w:t>
      </w:r>
      <w:r w:rsidRPr="00CB791A" w:rsidR="00CB791A">
        <w:rPr>
          <w:rFonts w:eastAsia="Times New Roman"/>
          <w:lang w:eastAsia="fr-FR"/>
        </w:rPr>
        <w:t>’</w:t>
      </w:r>
      <w:r w:rsidRPr="00CB791A">
        <w:rPr>
          <w:rFonts w:eastAsia="Times New Roman"/>
          <w:lang w:eastAsia="fr-FR"/>
        </w:rPr>
        <w:t>en ce qui concerne les débats relatifs à l</w:t>
      </w:r>
      <w:r w:rsidRPr="00CB791A" w:rsidR="00CB791A">
        <w:rPr>
          <w:rFonts w:eastAsia="Times New Roman"/>
          <w:lang w:eastAsia="fr-FR"/>
        </w:rPr>
        <w:t>’</w:t>
      </w:r>
      <w:r w:rsidRPr="00CB791A">
        <w:rPr>
          <w:rFonts w:eastAsia="Times New Roman"/>
          <w:lang w:eastAsia="fr-FR"/>
        </w:rPr>
        <w:t>action publique.</w:t>
      </w:r>
    </w:p>
    <w:p w:rsidRPr="00CB791A" w:rsidR="00B34B1B" w:rsidP="00CB791A" w:rsidRDefault="00B34B1B" w14:paraId="6EFF9240" w14:textId="503D54B1">
      <w:pPr>
        <w:pStyle w:val="JuQuot"/>
        <w:rPr>
          <w:rFonts w:eastAsia="Times New Roman"/>
          <w:lang w:eastAsia="fr-FR"/>
        </w:rPr>
      </w:pPr>
      <w:r w:rsidRPr="00CB791A">
        <w:rPr>
          <w:rFonts w:eastAsia="Times New Roman"/>
          <w:lang w:eastAsia="fr-FR"/>
        </w:rPr>
        <w:t>L</w:t>
      </w:r>
      <w:r w:rsidRPr="00CB791A" w:rsidR="00CB791A">
        <w:rPr>
          <w:rFonts w:eastAsia="Times New Roman"/>
          <w:lang w:eastAsia="fr-FR"/>
        </w:rPr>
        <w:t>’</w:t>
      </w:r>
      <w:r w:rsidRPr="00CB791A">
        <w:rPr>
          <w:rFonts w:eastAsia="Times New Roman"/>
          <w:lang w:eastAsia="fr-FR"/>
        </w:rPr>
        <w:t>incompatibilité de la décision attaquée avec la Convention donne lieu à réouverture si la partie condamnée continue à souffrir de conséquences négatives très graves que seule une réouverture peut réparer.</w:t>
      </w:r>
    </w:p>
    <w:p w:rsidRPr="00CB791A" w:rsidR="00B34B1B" w:rsidP="00CB791A" w:rsidRDefault="00B34B1B" w14:paraId="5D9A8919" w14:textId="77777777">
      <w:pPr>
        <w:pStyle w:val="JuQuot"/>
        <w:rPr>
          <w:rFonts w:eastAsia="Times New Roman"/>
          <w:lang w:eastAsia="fr-FR"/>
        </w:rPr>
      </w:pPr>
      <w:r w:rsidRPr="00CB791A">
        <w:rPr>
          <w:rFonts w:eastAsia="Times New Roman"/>
          <w:lang w:eastAsia="fr-FR"/>
        </w:rPr>
        <w:t>(...)</w:t>
      </w:r>
    </w:p>
    <w:p w:rsidRPr="00CB791A" w:rsidR="00B34B1B" w:rsidP="00CB791A" w:rsidRDefault="00B34B1B" w14:paraId="0C8A7AFF" w14:textId="01AC28B5">
      <w:pPr>
        <w:pStyle w:val="JuQuot"/>
        <w:rPr>
          <w:rFonts w:eastAsia="Times New Roman"/>
        </w:rPr>
      </w:pPr>
      <w:r w:rsidRPr="00CB791A">
        <w:rPr>
          <w:rFonts w:eastAsia="Times New Roman"/>
        </w:rPr>
        <w:t>5.</w:t>
      </w:r>
      <w:r w:rsidRPr="00CB791A" w:rsidR="00777A4A">
        <w:rPr>
          <w:rFonts w:eastAsia="Times New Roman"/>
        </w:rPr>
        <w:t>  </w:t>
      </w:r>
      <w:r w:rsidRPr="00CB791A">
        <w:rPr>
          <w:rFonts w:eastAsia="Times New Roman"/>
        </w:rPr>
        <w:t>En soulignant les lacunes et les incohérences des déclarations auto-justificatrices faites par le prévenu sans l</w:t>
      </w:r>
      <w:r w:rsidRPr="00CB791A" w:rsidR="00CB791A">
        <w:rPr>
          <w:rFonts w:eastAsia="Times New Roman"/>
        </w:rPr>
        <w:t>’</w:t>
      </w:r>
      <w:r w:rsidRPr="00CB791A">
        <w:rPr>
          <w:rFonts w:eastAsia="Times New Roman"/>
        </w:rPr>
        <w:t>assistance d</w:t>
      </w:r>
      <w:r w:rsidRPr="00CB791A" w:rsidR="00CB791A">
        <w:rPr>
          <w:rFonts w:eastAsia="Times New Roman"/>
        </w:rPr>
        <w:t>’</w:t>
      </w:r>
      <w:r w:rsidRPr="00CB791A">
        <w:rPr>
          <w:rFonts w:eastAsia="Times New Roman"/>
        </w:rPr>
        <w:t>un avocat, les juges d</w:t>
      </w:r>
      <w:r w:rsidRPr="00CB791A" w:rsidR="00CB791A">
        <w:rPr>
          <w:rFonts w:eastAsia="Times New Roman"/>
        </w:rPr>
        <w:t>’</w:t>
      </w:r>
      <w:r w:rsidRPr="00CB791A">
        <w:rPr>
          <w:rFonts w:eastAsia="Times New Roman"/>
        </w:rPr>
        <w:t>appel ont mis en évidence des éléments dont la Cour ne peut pas exclure qu</w:t>
      </w:r>
      <w:r w:rsidRPr="00CB791A" w:rsidR="00CB791A">
        <w:rPr>
          <w:rFonts w:eastAsia="Times New Roman"/>
        </w:rPr>
        <w:t>’</w:t>
      </w:r>
      <w:r w:rsidRPr="00CB791A">
        <w:rPr>
          <w:rFonts w:eastAsia="Times New Roman"/>
        </w:rPr>
        <w:t>ils aient servi à corroborer leur conviction acquise par ailleurs sur la base de l</w:t>
      </w:r>
      <w:r w:rsidRPr="00CB791A" w:rsidR="00CB791A">
        <w:rPr>
          <w:rFonts w:eastAsia="Times New Roman"/>
        </w:rPr>
        <w:t>’</w:t>
      </w:r>
      <w:r w:rsidRPr="00CB791A">
        <w:rPr>
          <w:rFonts w:eastAsia="Times New Roman"/>
        </w:rPr>
        <w:t>enquête de téléphonie, de l</w:t>
      </w:r>
      <w:r w:rsidRPr="00CB791A" w:rsidR="00CB791A">
        <w:rPr>
          <w:rFonts w:eastAsia="Times New Roman"/>
        </w:rPr>
        <w:t>’</w:t>
      </w:r>
      <w:r w:rsidRPr="00CB791A">
        <w:rPr>
          <w:rFonts w:eastAsia="Times New Roman"/>
        </w:rPr>
        <w:t>argent trouvé en possession du prévenu et de la voiture à bord de laquelle il a été intercepté.</w:t>
      </w:r>
    </w:p>
    <w:p w:rsidRPr="00CB791A" w:rsidR="00B34B1B" w:rsidP="00CB791A" w:rsidRDefault="00B34B1B" w14:paraId="379D463B" w14:textId="3B205940">
      <w:pPr>
        <w:pStyle w:val="JuQuot"/>
        <w:rPr>
          <w:rFonts w:eastAsia="Times New Roman"/>
        </w:rPr>
      </w:pPr>
      <w:r w:rsidRPr="00CB791A">
        <w:rPr>
          <w:rFonts w:eastAsia="Times New Roman"/>
        </w:rPr>
        <w:t>Cette mise en évidence, s</w:t>
      </w:r>
      <w:r w:rsidRPr="00CB791A" w:rsidR="00CB791A">
        <w:rPr>
          <w:rFonts w:eastAsia="Times New Roman"/>
        </w:rPr>
        <w:t>’</w:t>
      </w:r>
      <w:r w:rsidRPr="00CB791A">
        <w:rPr>
          <w:rFonts w:eastAsia="Times New Roman"/>
        </w:rPr>
        <w:t>agissant de déclarations faites sans avocat par une personne privée de liberté et placée ainsi dans une situation de particulière vulnérabilité, constitue l</w:t>
      </w:r>
      <w:r w:rsidRPr="00CB791A" w:rsidR="00CB791A">
        <w:rPr>
          <w:rFonts w:eastAsia="Times New Roman"/>
        </w:rPr>
        <w:t>’</w:t>
      </w:r>
      <w:r w:rsidRPr="00CB791A">
        <w:rPr>
          <w:rFonts w:eastAsia="Times New Roman"/>
        </w:rPr>
        <w:t>usage que prohibe l</w:t>
      </w:r>
      <w:r w:rsidRPr="00CB791A" w:rsidR="00CB791A">
        <w:rPr>
          <w:rFonts w:eastAsia="Times New Roman"/>
        </w:rPr>
        <w:t>’</w:t>
      </w:r>
      <w:r w:rsidRPr="00CB791A">
        <w:rPr>
          <w:rFonts w:eastAsia="Times New Roman"/>
        </w:rPr>
        <w:t>article 6.1 de la Convention dans l</w:t>
      </w:r>
      <w:r w:rsidRPr="00CB791A" w:rsidR="00CB791A">
        <w:rPr>
          <w:rFonts w:eastAsia="Times New Roman"/>
        </w:rPr>
        <w:t>’</w:t>
      </w:r>
      <w:r w:rsidRPr="00CB791A">
        <w:rPr>
          <w:rFonts w:eastAsia="Times New Roman"/>
        </w:rPr>
        <w:t>interprétation qu</w:t>
      </w:r>
      <w:r w:rsidRPr="00CB791A" w:rsidR="00CB791A">
        <w:rPr>
          <w:rFonts w:eastAsia="Times New Roman"/>
        </w:rPr>
        <w:t>’</w:t>
      </w:r>
      <w:r w:rsidRPr="00CB791A">
        <w:rPr>
          <w:rFonts w:eastAsia="Times New Roman"/>
        </w:rPr>
        <w:t>en donne la Cour européenne.</w:t>
      </w:r>
    </w:p>
    <w:p w:rsidRPr="00CB791A" w:rsidR="00B34B1B" w:rsidP="00CB791A" w:rsidRDefault="00B34B1B" w14:paraId="279C04C0" w14:textId="6BC31FC8">
      <w:pPr>
        <w:pStyle w:val="JuQuot"/>
        <w:rPr>
          <w:rFonts w:eastAsia="Times New Roman"/>
        </w:rPr>
      </w:pPr>
      <w:r w:rsidRPr="00CB791A">
        <w:rPr>
          <w:rFonts w:eastAsia="Times New Roman"/>
        </w:rPr>
        <w:t>6.</w:t>
      </w:r>
      <w:r w:rsidRPr="00CB791A" w:rsidR="00777A4A">
        <w:rPr>
          <w:rFonts w:eastAsia="Times New Roman"/>
        </w:rPr>
        <w:t>  </w:t>
      </w:r>
      <w:r w:rsidRPr="00CB791A">
        <w:rPr>
          <w:rFonts w:eastAsia="Times New Roman"/>
        </w:rPr>
        <w:t>Pour refuser sa censure, l</w:t>
      </w:r>
      <w:r w:rsidRPr="00CB791A" w:rsidR="00CB791A">
        <w:rPr>
          <w:rFonts w:eastAsia="Times New Roman"/>
        </w:rPr>
        <w:t>’</w:t>
      </w:r>
      <w:r w:rsidRPr="00CB791A">
        <w:rPr>
          <w:rFonts w:eastAsia="Times New Roman"/>
        </w:rPr>
        <w:t xml:space="preserve">arrêt de la Cour du 23 avril 2014 limite la prohibition susdite aux déclarations </w:t>
      </w:r>
      <w:proofErr w:type="spellStart"/>
      <w:r w:rsidRPr="00CB791A">
        <w:rPr>
          <w:rFonts w:eastAsia="Times New Roman"/>
        </w:rPr>
        <w:t>auto-incriminantes</w:t>
      </w:r>
      <w:proofErr w:type="spellEnd"/>
      <w:r w:rsidRPr="00CB791A">
        <w:rPr>
          <w:rFonts w:eastAsia="Times New Roman"/>
        </w:rPr>
        <w:t>. Cette position est contraire sur le fond à l</w:t>
      </w:r>
      <w:r w:rsidRPr="00CB791A" w:rsidR="00CB791A">
        <w:rPr>
          <w:rFonts w:eastAsia="Times New Roman"/>
        </w:rPr>
        <w:t>’</w:t>
      </w:r>
      <w:r w:rsidRPr="00CB791A">
        <w:rPr>
          <w:rFonts w:eastAsia="Times New Roman"/>
        </w:rPr>
        <w:t>article 6.1.</w:t>
      </w:r>
    </w:p>
    <w:p w:rsidRPr="00CB791A" w:rsidR="00B34B1B" w:rsidP="00CB791A" w:rsidRDefault="00B34B1B" w14:paraId="276EFFE2" w14:textId="7722D3D6">
      <w:pPr>
        <w:pStyle w:val="JuQuot"/>
        <w:rPr>
          <w:rFonts w:eastAsia="Times New Roman"/>
        </w:rPr>
      </w:pPr>
      <w:r w:rsidRPr="00CB791A">
        <w:rPr>
          <w:rFonts w:eastAsia="Times New Roman"/>
        </w:rPr>
        <w:t>7.</w:t>
      </w:r>
      <w:r w:rsidRPr="00CB791A" w:rsidR="00777A4A">
        <w:rPr>
          <w:rFonts w:eastAsia="Times New Roman"/>
        </w:rPr>
        <w:t>  </w:t>
      </w:r>
      <w:r w:rsidRPr="00CB791A">
        <w:rPr>
          <w:rFonts w:eastAsia="Times New Roman"/>
        </w:rPr>
        <w:t>La mention, dans le casier judiciaire du requérant, de la condamnation encourue le 3</w:t>
      </w:r>
      <w:r w:rsidRPr="00CB791A" w:rsidR="00777A4A">
        <w:rPr>
          <w:rFonts w:eastAsia="Times New Roman"/>
        </w:rPr>
        <w:t> </w:t>
      </w:r>
      <w:r w:rsidRPr="00CB791A">
        <w:rPr>
          <w:rFonts w:eastAsia="Times New Roman"/>
        </w:rPr>
        <w:t>décembre 2013, ainsi que l</w:t>
      </w:r>
      <w:r w:rsidRPr="00CB791A" w:rsidR="00CB791A">
        <w:rPr>
          <w:rFonts w:eastAsia="Times New Roman"/>
        </w:rPr>
        <w:t>’</w:t>
      </w:r>
      <w:r w:rsidRPr="00CB791A">
        <w:rPr>
          <w:rFonts w:eastAsia="Times New Roman"/>
        </w:rPr>
        <w:t>assujettissement du condamné au régime de la libération conditionnelle, peuvent être considérés comme une conséquence négative très grave et actuelle justifiant la réouverture de la procédure, au sens de l</w:t>
      </w:r>
      <w:r w:rsidRPr="00CB791A" w:rsidR="00CB791A">
        <w:rPr>
          <w:rFonts w:eastAsia="Times New Roman"/>
        </w:rPr>
        <w:t>’</w:t>
      </w:r>
      <w:r w:rsidRPr="00CB791A">
        <w:rPr>
          <w:rFonts w:eastAsia="Times New Roman"/>
        </w:rPr>
        <w:t>article 442</w:t>
      </w:r>
      <w:r w:rsidRPr="00CB791A">
        <w:rPr>
          <w:rFonts w:eastAsia="Times New Roman"/>
          <w:i/>
          <w:iCs/>
        </w:rPr>
        <w:t>quinquies</w:t>
      </w:r>
      <w:r w:rsidRPr="00CB791A">
        <w:rPr>
          <w:rFonts w:eastAsia="Times New Roman"/>
        </w:rPr>
        <w:t>, alinéa 1</w:t>
      </w:r>
      <w:r w:rsidRPr="00CB791A">
        <w:rPr>
          <w:rFonts w:eastAsia="Times New Roman"/>
          <w:vertAlign w:val="superscript"/>
        </w:rPr>
        <w:t>er</w:t>
      </w:r>
      <w:r w:rsidRPr="00CB791A">
        <w:rPr>
          <w:rFonts w:eastAsia="Times New Roman"/>
        </w:rPr>
        <w:t>, du Code d</w:t>
      </w:r>
      <w:r w:rsidRPr="00CB791A" w:rsidR="00CB791A">
        <w:rPr>
          <w:rFonts w:eastAsia="Times New Roman"/>
        </w:rPr>
        <w:t>’</w:t>
      </w:r>
      <w:r w:rsidRPr="00CB791A">
        <w:rPr>
          <w:rFonts w:eastAsia="Times New Roman"/>
        </w:rPr>
        <w:t>instruction criminelle.</w:t>
      </w:r>
    </w:p>
    <w:p w:rsidRPr="00CB791A" w:rsidR="00B34B1B" w:rsidP="00CB791A" w:rsidRDefault="00B34B1B" w14:paraId="685B5B8A" w14:textId="611F4BDD">
      <w:pPr>
        <w:pStyle w:val="JuQuot"/>
        <w:rPr>
          <w:rFonts w:eastAsia="Times New Roman"/>
        </w:rPr>
      </w:pPr>
      <w:r w:rsidRPr="00CB791A">
        <w:rPr>
          <w:rFonts w:eastAsia="Times New Roman"/>
        </w:rPr>
        <w:t>8.</w:t>
      </w:r>
      <w:r w:rsidRPr="00CB791A" w:rsidR="00777A4A">
        <w:rPr>
          <w:rFonts w:eastAsia="Times New Roman"/>
        </w:rPr>
        <w:t>  </w:t>
      </w:r>
      <w:r w:rsidRPr="00CB791A">
        <w:rPr>
          <w:rFonts w:eastAsia="Times New Roman"/>
        </w:rPr>
        <w:t>La demande de réouverture de la procédure est dès lors fondée en tant seulement qu</w:t>
      </w:r>
      <w:r w:rsidRPr="00CB791A" w:rsidR="00CB791A">
        <w:rPr>
          <w:rFonts w:eastAsia="Times New Roman"/>
        </w:rPr>
        <w:t>’</w:t>
      </w:r>
      <w:r w:rsidRPr="00CB791A">
        <w:rPr>
          <w:rFonts w:eastAsia="Times New Roman"/>
        </w:rPr>
        <w:t>elle vise la décision rendue sur l</w:t>
      </w:r>
      <w:r w:rsidRPr="00CB791A" w:rsidR="00CB791A">
        <w:rPr>
          <w:rFonts w:eastAsia="Times New Roman"/>
        </w:rPr>
        <w:t>’</w:t>
      </w:r>
      <w:r w:rsidRPr="00CB791A">
        <w:rPr>
          <w:rFonts w:eastAsia="Times New Roman"/>
        </w:rPr>
        <w:t>action publique. Il y a lieu, partant, de statuer par voie de dispositions nouvelles sur le pourvoi que S. S. a dirigé le 17 décembre 2013 contre l</w:t>
      </w:r>
      <w:r w:rsidRPr="00CB791A" w:rsidR="00CB791A">
        <w:rPr>
          <w:rFonts w:eastAsia="Times New Roman"/>
        </w:rPr>
        <w:t>’</w:t>
      </w:r>
      <w:r w:rsidRPr="00CB791A">
        <w:rPr>
          <w:rFonts w:eastAsia="Times New Roman"/>
        </w:rPr>
        <w:t>arrêt du 3 décembre 2013 de la cour d</w:t>
      </w:r>
      <w:r w:rsidRPr="00CB791A" w:rsidR="00CB791A">
        <w:rPr>
          <w:rFonts w:eastAsia="Times New Roman"/>
        </w:rPr>
        <w:t>’</w:t>
      </w:r>
      <w:r w:rsidRPr="00CB791A">
        <w:rPr>
          <w:rFonts w:eastAsia="Times New Roman"/>
        </w:rPr>
        <w:t>appel de Bruxelles, le nouvel examen du pourvoi ne pouvant cependant pas inclure la décision rendue sur les actions civiles.</w:t>
      </w:r>
    </w:p>
    <w:p w:rsidRPr="00CB791A" w:rsidR="00B34B1B" w:rsidP="00CB791A" w:rsidRDefault="00B34B1B" w14:paraId="13D3A031" w14:textId="1A43F0A0">
      <w:pPr>
        <w:pStyle w:val="JuQuot"/>
        <w:rPr>
          <w:rFonts w:eastAsia="Times New Roman"/>
        </w:rPr>
      </w:pPr>
      <w:r w:rsidRPr="00CB791A">
        <w:rPr>
          <w:rFonts w:eastAsia="Times New Roman"/>
        </w:rPr>
        <w:t>B.</w:t>
      </w:r>
      <w:r w:rsidRPr="00CB791A" w:rsidR="00777A4A">
        <w:rPr>
          <w:rFonts w:eastAsia="Times New Roman"/>
        </w:rPr>
        <w:t>  </w:t>
      </w:r>
      <w:r w:rsidRPr="00CB791A">
        <w:rPr>
          <w:rFonts w:eastAsia="Times New Roman"/>
        </w:rPr>
        <w:t>Sur le pourvoi :</w:t>
      </w:r>
    </w:p>
    <w:p w:rsidRPr="00CB791A" w:rsidR="00B34B1B" w:rsidP="00CB791A" w:rsidRDefault="00B34B1B" w14:paraId="38B53039" w14:textId="00E9980E">
      <w:pPr>
        <w:pStyle w:val="JuQuot"/>
        <w:rPr>
          <w:rFonts w:eastAsia="Times New Roman"/>
        </w:rPr>
      </w:pPr>
      <w:r w:rsidRPr="00CB791A">
        <w:rPr>
          <w:rFonts w:eastAsia="Times New Roman"/>
        </w:rPr>
        <w:t>9.</w:t>
      </w:r>
      <w:r w:rsidRPr="00CB791A" w:rsidR="00777A4A">
        <w:rPr>
          <w:rFonts w:eastAsia="Times New Roman"/>
        </w:rPr>
        <w:t>  </w:t>
      </w:r>
      <w:r w:rsidRPr="00CB791A">
        <w:rPr>
          <w:rFonts w:eastAsia="Times New Roman"/>
        </w:rPr>
        <w:t>Invoquant la violation des articles 6.1 de la Convention de sauvegarde des droits de l</w:t>
      </w:r>
      <w:r w:rsidRPr="00CB791A" w:rsidR="00CB791A">
        <w:rPr>
          <w:rFonts w:eastAsia="Times New Roman"/>
        </w:rPr>
        <w:t>’</w:t>
      </w:r>
      <w:r w:rsidRPr="00CB791A">
        <w:rPr>
          <w:rFonts w:eastAsia="Times New Roman"/>
        </w:rPr>
        <w:t>homme et des libertés fondamentales, et 47</w:t>
      </w:r>
      <w:r w:rsidRPr="00CB791A">
        <w:rPr>
          <w:rFonts w:eastAsia="Times New Roman"/>
          <w:i/>
          <w:iCs/>
        </w:rPr>
        <w:t>bis</w:t>
      </w:r>
      <w:r w:rsidRPr="00CB791A">
        <w:rPr>
          <w:rFonts w:eastAsia="Times New Roman"/>
        </w:rPr>
        <w:t>, § 6, du Code d</w:t>
      </w:r>
      <w:r w:rsidRPr="00CB791A" w:rsidR="00CB791A">
        <w:rPr>
          <w:rFonts w:eastAsia="Times New Roman"/>
        </w:rPr>
        <w:t>’</w:t>
      </w:r>
      <w:r w:rsidRPr="00CB791A">
        <w:rPr>
          <w:rFonts w:eastAsia="Times New Roman"/>
        </w:rPr>
        <w:t>instruction criminelle, le demandeur reproche à l</w:t>
      </w:r>
      <w:r w:rsidRPr="00CB791A" w:rsidR="00CB791A">
        <w:rPr>
          <w:rFonts w:eastAsia="Times New Roman"/>
        </w:rPr>
        <w:t>’</w:t>
      </w:r>
      <w:r w:rsidRPr="00CB791A">
        <w:rPr>
          <w:rFonts w:eastAsia="Times New Roman"/>
        </w:rPr>
        <w:t>arrêt dont pourvoi de déclarer les préventions établies en se fondant sur des déclarations qu</w:t>
      </w:r>
      <w:r w:rsidRPr="00CB791A" w:rsidR="00CB791A">
        <w:rPr>
          <w:rFonts w:eastAsia="Times New Roman"/>
        </w:rPr>
        <w:t>’</w:t>
      </w:r>
      <w:r w:rsidRPr="00CB791A">
        <w:rPr>
          <w:rFonts w:eastAsia="Times New Roman"/>
        </w:rPr>
        <w:t>il a faites, durant sa garde à vue, sans l</w:t>
      </w:r>
      <w:r w:rsidRPr="00CB791A" w:rsidR="00CB791A">
        <w:rPr>
          <w:rFonts w:eastAsia="Times New Roman"/>
        </w:rPr>
        <w:t>’</w:t>
      </w:r>
      <w:r w:rsidRPr="00CB791A">
        <w:rPr>
          <w:rFonts w:eastAsia="Times New Roman"/>
        </w:rPr>
        <w:t>assistance d</w:t>
      </w:r>
      <w:r w:rsidRPr="00CB791A" w:rsidR="00CB791A">
        <w:rPr>
          <w:rFonts w:eastAsia="Times New Roman"/>
        </w:rPr>
        <w:t>’</w:t>
      </w:r>
      <w:r w:rsidRPr="00CB791A">
        <w:rPr>
          <w:rFonts w:eastAsia="Times New Roman"/>
        </w:rPr>
        <w:t>un avocat.</w:t>
      </w:r>
    </w:p>
    <w:p w:rsidRPr="00CB791A" w:rsidR="00B34B1B" w:rsidP="00CB791A" w:rsidRDefault="00B34B1B" w14:paraId="1A07CBEF" w14:textId="3BDEAB25">
      <w:pPr>
        <w:pStyle w:val="JuQuot"/>
        <w:rPr>
          <w:rFonts w:eastAsia="Times New Roman"/>
        </w:rPr>
      </w:pPr>
      <w:r w:rsidRPr="00CB791A">
        <w:rPr>
          <w:rFonts w:eastAsia="Times New Roman"/>
        </w:rPr>
        <w:t>10.</w:t>
      </w:r>
      <w:r w:rsidRPr="00CB791A" w:rsidR="00777A4A">
        <w:rPr>
          <w:rFonts w:eastAsia="Times New Roman"/>
        </w:rPr>
        <w:t>  </w:t>
      </w:r>
      <w:r w:rsidRPr="00CB791A">
        <w:rPr>
          <w:rFonts w:eastAsia="Times New Roman"/>
        </w:rPr>
        <w:t>Quoique les déclarations litigieuses soient auto-justificatrices, leur disqualification par les juges d</w:t>
      </w:r>
      <w:r w:rsidRPr="00CB791A" w:rsidR="00CB791A">
        <w:rPr>
          <w:rFonts w:eastAsia="Times New Roman"/>
        </w:rPr>
        <w:t>’</w:t>
      </w:r>
      <w:r w:rsidRPr="00CB791A">
        <w:rPr>
          <w:rFonts w:eastAsia="Times New Roman"/>
        </w:rPr>
        <w:t>appel à l</w:t>
      </w:r>
      <w:r w:rsidRPr="00CB791A" w:rsidR="00CB791A">
        <w:rPr>
          <w:rFonts w:eastAsia="Times New Roman"/>
        </w:rPr>
        <w:t>’</w:t>
      </w:r>
      <w:r w:rsidRPr="00CB791A">
        <w:rPr>
          <w:rFonts w:eastAsia="Times New Roman"/>
        </w:rPr>
        <w:t>effet de corroborer leur conviction, constitue l</w:t>
      </w:r>
      <w:r w:rsidRPr="00CB791A" w:rsidR="00CB791A">
        <w:rPr>
          <w:rFonts w:eastAsia="Times New Roman"/>
        </w:rPr>
        <w:t>’</w:t>
      </w:r>
      <w:r w:rsidRPr="00CB791A">
        <w:rPr>
          <w:rFonts w:eastAsia="Times New Roman"/>
        </w:rPr>
        <w:t>usage que l</w:t>
      </w:r>
      <w:r w:rsidRPr="00CB791A" w:rsidR="00CB791A">
        <w:rPr>
          <w:rFonts w:eastAsia="Times New Roman"/>
        </w:rPr>
        <w:t>’</w:t>
      </w:r>
      <w:r w:rsidRPr="00CB791A">
        <w:rPr>
          <w:rFonts w:eastAsia="Times New Roman"/>
        </w:rPr>
        <w:t>article 6.1 prohibe.</w:t>
      </w:r>
    </w:p>
    <w:p w:rsidRPr="00CB791A" w:rsidR="00B34B1B" w:rsidP="00CB791A" w:rsidRDefault="00B34B1B" w14:paraId="38273F68" w14:textId="739A5529">
      <w:pPr>
        <w:pStyle w:val="JuQuot"/>
        <w:rPr>
          <w:rFonts w:eastAsia="Times New Roman"/>
        </w:rPr>
      </w:pPr>
      <w:r w:rsidRPr="00CB791A">
        <w:rPr>
          <w:rFonts w:eastAsia="Times New Roman"/>
        </w:rPr>
        <w:t>À cet égard, le moyen est fondé. »</w:t>
      </w:r>
    </w:p>
    <w:p w:rsidRPr="00CB791A" w:rsidR="00F35B60" w:rsidP="00CB791A" w:rsidRDefault="00F35B60" w14:paraId="2520B95F" w14:textId="04D41490">
      <w:pPr>
        <w:pStyle w:val="JuHHead"/>
        <w:rPr>
          <w:rFonts w:eastAsia="Times New Roman"/>
        </w:rPr>
      </w:pPr>
      <w:r w:rsidRPr="00CB791A">
        <w:rPr>
          <w:rFonts w:eastAsia="Times New Roman"/>
        </w:rPr>
        <w:t>LE DROIT EUROPÉEN</w:t>
      </w:r>
    </w:p>
    <w:p w:rsidRPr="00CB791A" w:rsidR="00B34B1B" w:rsidP="00CB791A" w:rsidRDefault="00B34B1B" w14:paraId="3A7DBB04" w14:textId="7FBD86B3">
      <w:pPr>
        <w:pStyle w:val="JuPara"/>
        <w:rPr>
          <w:rFonts w:eastAsia="Times New Roman"/>
        </w:rPr>
      </w:pPr>
      <w:r w:rsidRPr="00CB791A">
        <w:rPr>
          <w:rFonts w:eastAsia="Times New Roman"/>
        </w:rPr>
        <w:fldChar w:fldCharType="begin"/>
      </w:r>
      <w:r w:rsidRPr="00CB791A">
        <w:rPr>
          <w:rFonts w:eastAsia="Times New Roman"/>
        </w:rPr>
        <w:instrText xml:space="preserve"> SEQ level0 \*arabic </w:instrText>
      </w:r>
      <w:r w:rsidRPr="00CB791A">
        <w:rPr>
          <w:rFonts w:eastAsia="Times New Roman"/>
        </w:rPr>
        <w:fldChar w:fldCharType="separate"/>
      </w:r>
      <w:r w:rsidRPr="00CB791A" w:rsidR="00CB791A">
        <w:rPr>
          <w:rFonts w:eastAsia="Times New Roman"/>
          <w:noProof/>
        </w:rPr>
        <w:t>43</w:t>
      </w:r>
      <w:r w:rsidRPr="00CB791A">
        <w:rPr>
          <w:rFonts w:eastAsia="Times New Roman"/>
        </w:rPr>
        <w:fldChar w:fldCharType="end"/>
      </w:r>
      <w:r w:rsidRPr="00CB791A">
        <w:rPr>
          <w:rFonts w:eastAsia="Times New Roman"/>
        </w:rPr>
        <w:t>.  La Recommandation n</w:t>
      </w:r>
      <w:r w:rsidRPr="00CB791A">
        <w:rPr>
          <w:rFonts w:eastAsia="Times New Roman"/>
          <w:vertAlign w:val="superscript"/>
        </w:rPr>
        <w:t>o</w:t>
      </w:r>
      <w:r w:rsidRPr="00CB791A">
        <w:rPr>
          <w:rFonts w:eastAsia="Times New Roman"/>
        </w:rPr>
        <w:t xml:space="preserve"> R (2000) 2 du Comité des Ministres aux États membres sur le réexamen ou la réouverture de certaines affaires au niveau interne </w:t>
      </w:r>
      <w:proofErr w:type="gramStart"/>
      <w:r w:rsidRPr="00CB791A">
        <w:rPr>
          <w:rFonts w:eastAsia="Times New Roman"/>
        </w:rPr>
        <w:t>suite à des arrêts</w:t>
      </w:r>
      <w:proofErr w:type="gramEnd"/>
      <w:r w:rsidRPr="00CB791A">
        <w:rPr>
          <w:rFonts w:eastAsia="Times New Roman"/>
        </w:rPr>
        <w:t xml:space="preserve"> de la Cour est ainsi formulée :</w:t>
      </w:r>
    </w:p>
    <w:p w:rsidRPr="00CB791A" w:rsidR="00B34B1B" w:rsidP="00CB791A" w:rsidRDefault="00B34B1B" w14:paraId="047C6990" w14:textId="77777777">
      <w:pPr>
        <w:pStyle w:val="JuQuot"/>
        <w:rPr>
          <w:rFonts w:eastAsia="Times New Roman"/>
        </w:rPr>
      </w:pPr>
      <w:r w:rsidRPr="00CB791A">
        <w:rPr>
          <w:rFonts w:eastAsia="Times New Roman"/>
        </w:rPr>
        <w:t> « Le Comité des Ministres (...),</w:t>
      </w:r>
    </w:p>
    <w:p w:rsidRPr="00CB791A" w:rsidR="00B34B1B" w:rsidP="00CB791A" w:rsidRDefault="00B34B1B" w14:paraId="33EA7C60" w14:textId="77777777">
      <w:pPr>
        <w:pStyle w:val="JuQuot"/>
        <w:rPr>
          <w:rFonts w:eastAsia="Times New Roman"/>
        </w:rPr>
      </w:pPr>
      <w:r w:rsidRPr="00CB791A">
        <w:rPr>
          <w:rFonts w:eastAsia="Times New Roman"/>
        </w:rPr>
        <w:t>(...)</w:t>
      </w:r>
    </w:p>
    <w:p w:rsidRPr="00CB791A" w:rsidR="00B34B1B" w:rsidP="00CB791A" w:rsidRDefault="00B34B1B" w14:paraId="45B23828" w14:textId="648CA44D">
      <w:pPr>
        <w:pStyle w:val="JuQuot"/>
        <w:rPr>
          <w:rFonts w:eastAsia="Times New Roman"/>
        </w:rPr>
      </w:pPr>
      <w:r w:rsidRPr="00CB791A">
        <w:rPr>
          <w:rFonts w:eastAsia="Times New Roman"/>
        </w:rPr>
        <w:t>Notant que, sur la base de l</w:t>
      </w:r>
      <w:r w:rsidRPr="00CB791A" w:rsidR="00CB791A">
        <w:rPr>
          <w:rFonts w:eastAsia="Times New Roman"/>
        </w:rPr>
        <w:t>’</w:t>
      </w:r>
      <w:r w:rsidRPr="00CB791A">
        <w:rPr>
          <w:rFonts w:eastAsia="Times New Roman"/>
        </w:rPr>
        <w:t>article 46 de la Convention, les Parties contractantes s</w:t>
      </w:r>
      <w:r w:rsidRPr="00CB791A" w:rsidR="00CB791A">
        <w:rPr>
          <w:rFonts w:eastAsia="Times New Roman"/>
        </w:rPr>
        <w:t>’</w:t>
      </w:r>
      <w:r w:rsidRPr="00CB791A">
        <w:rPr>
          <w:rFonts w:eastAsia="Times New Roman"/>
        </w:rPr>
        <w:t>engagent à se conformer aux arrêts définitifs de la Cour européenne des Droits de l</w:t>
      </w:r>
      <w:r w:rsidRPr="00CB791A" w:rsidR="00CB791A">
        <w:rPr>
          <w:rFonts w:eastAsia="Times New Roman"/>
        </w:rPr>
        <w:t>’</w:t>
      </w:r>
      <w:r w:rsidRPr="00CB791A">
        <w:rPr>
          <w:rFonts w:eastAsia="Times New Roman"/>
        </w:rPr>
        <w:t>Homme (« la Cour ») dans les litiges auxquels elles sont parties et que le Comité des Ministres en surveille l</w:t>
      </w:r>
      <w:r w:rsidRPr="00CB791A" w:rsidR="00CB791A">
        <w:rPr>
          <w:rFonts w:eastAsia="Times New Roman"/>
        </w:rPr>
        <w:t>’</w:t>
      </w:r>
      <w:r w:rsidRPr="00CB791A">
        <w:rPr>
          <w:rFonts w:eastAsia="Times New Roman"/>
        </w:rPr>
        <w:t>exécution ;</w:t>
      </w:r>
    </w:p>
    <w:p w:rsidRPr="00CB791A" w:rsidR="00B34B1B" w:rsidP="00CB791A" w:rsidRDefault="00B34B1B" w14:paraId="612122BB" w14:textId="309690C7">
      <w:pPr>
        <w:pStyle w:val="JuQuot"/>
        <w:rPr>
          <w:rFonts w:eastAsia="Times New Roman"/>
        </w:rPr>
      </w:pPr>
      <w:r w:rsidRPr="00CB791A">
        <w:rPr>
          <w:rFonts w:eastAsia="Times New Roman"/>
        </w:rPr>
        <w:t>Ayant à l</w:t>
      </w:r>
      <w:r w:rsidRPr="00CB791A" w:rsidR="00CB791A">
        <w:rPr>
          <w:rFonts w:eastAsia="Times New Roman"/>
        </w:rPr>
        <w:t>’</w:t>
      </w:r>
      <w:r w:rsidRPr="00CB791A">
        <w:rPr>
          <w:rFonts w:eastAsia="Times New Roman"/>
        </w:rPr>
        <w:t>esprit que, dans certaines circonstances, l</w:t>
      </w:r>
      <w:r w:rsidRPr="00CB791A" w:rsidR="00CB791A">
        <w:rPr>
          <w:rFonts w:eastAsia="Times New Roman"/>
        </w:rPr>
        <w:t>’</w:t>
      </w:r>
      <w:r w:rsidRPr="00CB791A">
        <w:rPr>
          <w:rFonts w:eastAsia="Times New Roman"/>
        </w:rPr>
        <w:t>engagement susmentionné peut impliquer l</w:t>
      </w:r>
      <w:r w:rsidRPr="00CB791A" w:rsidR="00CB791A">
        <w:rPr>
          <w:rFonts w:eastAsia="Times New Roman"/>
        </w:rPr>
        <w:t>’</w:t>
      </w:r>
      <w:r w:rsidRPr="00CB791A">
        <w:rPr>
          <w:rFonts w:eastAsia="Times New Roman"/>
        </w:rPr>
        <w:t>adoption de mesures, autres que la satisfaction équitable accordée par la Cour conformément à l</w:t>
      </w:r>
      <w:r w:rsidRPr="00CB791A" w:rsidR="00CB791A">
        <w:rPr>
          <w:rFonts w:eastAsia="Times New Roman"/>
        </w:rPr>
        <w:t>’</w:t>
      </w:r>
      <w:r w:rsidRPr="00CB791A">
        <w:rPr>
          <w:rFonts w:eastAsia="Times New Roman"/>
        </w:rPr>
        <w:t>article 41 de la Convention et / ou des mesures générales, afin que la partie lésée se retrouve, dans la mesure du possible, dans la situation où elle était avant la violation de la Convention (</w:t>
      </w:r>
      <w:proofErr w:type="spellStart"/>
      <w:r w:rsidRPr="00CB791A">
        <w:rPr>
          <w:rFonts w:eastAsia="Times New Roman"/>
          <w:i/>
        </w:rPr>
        <w:t>restitutio</w:t>
      </w:r>
      <w:proofErr w:type="spellEnd"/>
      <w:r w:rsidRPr="00CB791A">
        <w:rPr>
          <w:rFonts w:eastAsia="Times New Roman"/>
          <w:i/>
        </w:rPr>
        <w:t xml:space="preserve"> in integrum</w:t>
      </w:r>
      <w:r w:rsidRPr="00CB791A">
        <w:rPr>
          <w:rFonts w:eastAsia="Times New Roman"/>
        </w:rPr>
        <w:t>) ;</w:t>
      </w:r>
    </w:p>
    <w:p w:rsidRPr="00CB791A" w:rsidR="00B34B1B" w:rsidP="00CB791A" w:rsidRDefault="00B34B1B" w14:paraId="4F3E55B8" w14:textId="6F4B405F">
      <w:pPr>
        <w:pStyle w:val="JuQuot"/>
        <w:rPr>
          <w:rFonts w:eastAsia="Times New Roman"/>
        </w:rPr>
      </w:pPr>
      <w:r w:rsidRPr="00CB791A">
        <w:rPr>
          <w:rFonts w:eastAsia="Times New Roman"/>
        </w:rPr>
        <w:t>Prenant note du fait qu</w:t>
      </w:r>
      <w:r w:rsidRPr="00CB791A" w:rsidR="00CB791A">
        <w:rPr>
          <w:rFonts w:eastAsia="Times New Roman"/>
        </w:rPr>
        <w:t>’</w:t>
      </w:r>
      <w:r w:rsidRPr="00CB791A">
        <w:rPr>
          <w:rFonts w:eastAsia="Times New Roman"/>
        </w:rPr>
        <w:t>il appartient aux autorités compétentes de l</w:t>
      </w:r>
      <w:r w:rsidRPr="00CB791A" w:rsidR="00CB791A">
        <w:rPr>
          <w:rFonts w:eastAsia="Times New Roman"/>
        </w:rPr>
        <w:t>’</w:t>
      </w:r>
      <w:r w:rsidRPr="00CB791A">
        <w:rPr>
          <w:rFonts w:eastAsia="Times New Roman"/>
        </w:rPr>
        <w:t xml:space="preserve">État défendeur de déterminer quelles mesures sont les plus appropriées pour réaliser la </w:t>
      </w:r>
      <w:proofErr w:type="spellStart"/>
      <w:r w:rsidRPr="00CB791A">
        <w:rPr>
          <w:rFonts w:eastAsia="Times New Roman"/>
          <w:i/>
        </w:rPr>
        <w:t>restitutio</w:t>
      </w:r>
      <w:proofErr w:type="spellEnd"/>
      <w:r w:rsidRPr="00CB791A">
        <w:rPr>
          <w:rFonts w:eastAsia="Times New Roman"/>
          <w:i/>
        </w:rPr>
        <w:t xml:space="preserve"> in integru</w:t>
      </w:r>
      <w:r w:rsidRPr="00CB791A">
        <w:rPr>
          <w:rFonts w:eastAsia="Times New Roman"/>
        </w:rPr>
        <w:t>m, en tenant compte des moyens disponibles dans le système juridique national ;</w:t>
      </w:r>
    </w:p>
    <w:p w:rsidRPr="00CB791A" w:rsidR="00B34B1B" w:rsidP="00CB791A" w:rsidRDefault="00B34B1B" w14:paraId="256B625D" w14:textId="5962CE52">
      <w:pPr>
        <w:pStyle w:val="JuQuot"/>
        <w:rPr>
          <w:rFonts w:eastAsia="Times New Roman"/>
        </w:rPr>
      </w:pPr>
      <w:r w:rsidRPr="00CB791A">
        <w:rPr>
          <w:rFonts w:eastAsia="Times New Roman"/>
        </w:rPr>
        <w:t>Ayant toutefois à l</w:t>
      </w:r>
      <w:r w:rsidRPr="00CB791A" w:rsidR="00CB791A">
        <w:rPr>
          <w:rFonts w:eastAsia="Times New Roman"/>
        </w:rPr>
        <w:t>’</w:t>
      </w:r>
      <w:r w:rsidRPr="00CB791A">
        <w:rPr>
          <w:rFonts w:eastAsia="Times New Roman"/>
        </w:rPr>
        <w:t>esprit que – ainsi que le montre la pratique du Comité des Ministres relative au contrôle de l</w:t>
      </w:r>
      <w:r w:rsidRPr="00CB791A" w:rsidR="00CB791A">
        <w:rPr>
          <w:rFonts w:eastAsia="Times New Roman"/>
        </w:rPr>
        <w:t>’</w:t>
      </w:r>
      <w:r w:rsidRPr="00CB791A">
        <w:rPr>
          <w:rFonts w:eastAsia="Times New Roman"/>
        </w:rPr>
        <w:t>exécution des arrêts de la Cour – il y a des circonstances exceptionnelles dans lesquelles le réexamen d</w:t>
      </w:r>
      <w:r w:rsidRPr="00CB791A" w:rsidR="00CB791A">
        <w:rPr>
          <w:rFonts w:eastAsia="Times New Roman"/>
        </w:rPr>
        <w:t>’</w:t>
      </w:r>
      <w:r w:rsidRPr="00CB791A">
        <w:rPr>
          <w:rFonts w:eastAsia="Times New Roman"/>
        </w:rPr>
        <w:t>une affaire ou la réouverture d</w:t>
      </w:r>
      <w:r w:rsidRPr="00CB791A" w:rsidR="00CB791A">
        <w:rPr>
          <w:rFonts w:eastAsia="Times New Roman"/>
        </w:rPr>
        <w:t>’</w:t>
      </w:r>
      <w:r w:rsidRPr="00CB791A">
        <w:rPr>
          <w:rFonts w:eastAsia="Times New Roman"/>
        </w:rPr>
        <w:t>une procédure s</w:t>
      </w:r>
      <w:r w:rsidRPr="00CB791A" w:rsidR="00CB791A">
        <w:rPr>
          <w:rFonts w:eastAsia="Times New Roman"/>
        </w:rPr>
        <w:t>’</w:t>
      </w:r>
      <w:r w:rsidRPr="00CB791A">
        <w:rPr>
          <w:rFonts w:eastAsia="Times New Roman"/>
        </w:rPr>
        <w:t xml:space="preserve">est avéré être le moyen le plus efficace, voire le seul, pour réaliser la </w:t>
      </w:r>
      <w:proofErr w:type="spellStart"/>
      <w:r w:rsidRPr="00CB791A">
        <w:rPr>
          <w:rFonts w:eastAsia="Times New Roman"/>
          <w:i/>
        </w:rPr>
        <w:t>restitutio</w:t>
      </w:r>
      <w:proofErr w:type="spellEnd"/>
      <w:r w:rsidRPr="00CB791A">
        <w:rPr>
          <w:rFonts w:eastAsia="Times New Roman"/>
          <w:i/>
        </w:rPr>
        <w:t xml:space="preserve"> in integrum </w:t>
      </w:r>
      <w:r w:rsidRPr="00CB791A">
        <w:rPr>
          <w:rFonts w:eastAsia="Times New Roman"/>
        </w:rPr>
        <w:t>;</w:t>
      </w:r>
    </w:p>
    <w:p w:rsidRPr="00CB791A" w:rsidR="00B34B1B" w:rsidP="00CB791A" w:rsidRDefault="00B34B1B" w14:paraId="23A9608E" w14:textId="138E2E19">
      <w:pPr>
        <w:pStyle w:val="JuQuot"/>
        <w:rPr>
          <w:rFonts w:eastAsia="Times New Roman"/>
        </w:rPr>
      </w:pPr>
      <w:r w:rsidRPr="00CB791A">
        <w:rPr>
          <w:rFonts w:eastAsia="Times New Roman"/>
        </w:rPr>
        <w:t>Encourage notamment les Parties contractantes à examiner leurs systèmes juridiques nationaux en vue de s</w:t>
      </w:r>
      <w:r w:rsidRPr="00CB791A" w:rsidR="00CB791A">
        <w:rPr>
          <w:rFonts w:eastAsia="Times New Roman"/>
        </w:rPr>
        <w:t>’</w:t>
      </w:r>
      <w:r w:rsidRPr="00CB791A">
        <w:rPr>
          <w:rFonts w:eastAsia="Times New Roman"/>
        </w:rPr>
        <w:t>assurer qu</w:t>
      </w:r>
      <w:r w:rsidRPr="00CB791A" w:rsidR="00CB791A">
        <w:rPr>
          <w:rFonts w:eastAsia="Times New Roman"/>
        </w:rPr>
        <w:t>’</w:t>
      </w:r>
      <w:r w:rsidRPr="00CB791A">
        <w:rPr>
          <w:rFonts w:eastAsia="Times New Roman"/>
        </w:rPr>
        <w:t>il existe des possibilités appropriées pour le réexamen d</w:t>
      </w:r>
      <w:r w:rsidRPr="00CB791A" w:rsidR="00CB791A">
        <w:rPr>
          <w:rFonts w:eastAsia="Times New Roman"/>
        </w:rPr>
        <w:t>’</w:t>
      </w:r>
      <w:r w:rsidRPr="00CB791A">
        <w:rPr>
          <w:rFonts w:eastAsia="Times New Roman"/>
        </w:rPr>
        <w:t>une affaire, y compris la réouverture d</w:t>
      </w:r>
      <w:r w:rsidRPr="00CB791A" w:rsidR="00CB791A">
        <w:rPr>
          <w:rFonts w:eastAsia="Times New Roman"/>
        </w:rPr>
        <w:t>’</w:t>
      </w:r>
      <w:r w:rsidRPr="00CB791A">
        <w:rPr>
          <w:rFonts w:eastAsia="Times New Roman"/>
        </w:rPr>
        <w:t>une procédure, dans les cas où la Cour a constaté une violation de la Convention, en particulier lorsque :</w:t>
      </w:r>
    </w:p>
    <w:p w:rsidRPr="00CB791A" w:rsidR="00B34B1B" w:rsidP="00CB791A" w:rsidRDefault="00B34B1B" w14:paraId="33E9E81A" w14:textId="18753CC2">
      <w:pPr>
        <w:pStyle w:val="JuQuot"/>
        <w:rPr>
          <w:rFonts w:eastAsia="Times New Roman"/>
        </w:rPr>
      </w:pPr>
      <w:r w:rsidRPr="00CB791A">
        <w:rPr>
          <w:rFonts w:eastAsia="Times New Roman"/>
        </w:rPr>
        <w:t>i.</w:t>
      </w:r>
      <w:r w:rsidRPr="00CB791A" w:rsidR="007850E1">
        <w:rPr>
          <w:rFonts w:eastAsia="Times New Roman"/>
        </w:rPr>
        <w:t>  </w:t>
      </w:r>
      <w:proofErr w:type="gramStart"/>
      <w:r w:rsidRPr="00CB791A">
        <w:rPr>
          <w:rFonts w:eastAsia="Times New Roman"/>
        </w:rPr>
        <w:t>la</w:t>
      </w:r>
      <w:proofErr w:type="gramEnd"/>
      <w:r w:rsidRPr="00CB791A">
        <w:rPr>
          <w:rFonts w:eastAsia="Times New Roman"/>
        </w:rPr>
        <w:t xml:space="preserve"> partie lésée continue de souffrir des conséquences négatives très graves à la suite de la décision nationale, conséquences qui ne peuvent être compensées par la satisfaction équitable et qui ne peuvent être modifiées que par le réexamen ou la réouverture, et</w:t>
      </w:r>
    </w:p>
    <w:p w:rsidRPr="00CB791A" w:rsidR="00B34B1B" w:rsidP="00CB791A" w:rsidRDefault="00B34B1B" w14:paraId="2F79EFFC" w14:textId="074EF43A">
      <w:pPr>
        <w:pStyle w:val="JuQuot"/>
        <w:rPr>
          <w:rFonts w:eastAsia="Times New Roman"/>
        </w:rPr>
      </w:pPr>
      <w:r w:rsidRPr="00CB791A">
        <w:rPr>
          <w:rFonts w:eastAsia="Times New Roman"/>
        </w:rPr>
        <w:t>ii.</w:t>
      </w:r>
      <w:r w:rsidRPr="00CB791A" w:rsidR="007850E1">
        <w:rPr>
          <w:rFonts w:eastAsia="Times New Roman"/>
        </w:rPr>
        <w:t>  </w:t>
      </w:r>
      <w:r w:rsidRPr="00CB791A">
        <w:rPr>
          <w:rFonts w:eastAsia="Times New Roman"/>
        </w:rPr>
        <w:t>il résulte de l</w:t>
      </w:r>
      <w:r w:rsidRPr="00CB791A" w:rsidR="00CB791A">
        <w:rPr>
          <w:rFonts w:eastAsia="Times New Roman"/>
        </w:rPr>
        <w:t>’</w:t>
      </w:r>
      <w:r w:rsidRPr="00CB791A">
        <w:rPr>
          <w:rFonts w:eastAsia="Times New Roman"/>
        </w:rPr>
        <w:t>arrêt de la Cour que</w:t>
      </w:r>
    </w:p>
    <w:p w:rsidRPr="00CB791A" w:rsidR="00B34B1B" w:rsidP="00CB791A" w:rsidRDefault="00B34B1B" w14:paraId="73F85569" w14:textId="256EFA21">
      <w:pPr>
        <w:pStyle w:val="JuQuot"/>
        <w:rPr>
          <w:rFonts w:eastAsia="Times New Roman"/>
        </w:rPr>
      </w:pPr>
      <w:r w:rsidRPr="00CB791A">
        <w:rPr>
          <w:rFonts w:eastAsia="Times New Roman"/>
        </w:rPr>
        <w:t>a.</w:t>
      </w:r>
      <w:r w:rsidRPr="00CB791A" w:rsidR="007850E1">
        <w:rPr>
          <w:rFonts w:eastAsia="Times New Roman"/>
        </w:rPr>
        <w:t>  </w:t>
      </w:r>
      <w:proofErr w:type="gramStart"/>
      <w:r w:rsidRPr="00CB791A">
        <w:rPr>
          <w:rFonts w:eastAsia="Times New Roman"/>
        </w:rPr>
        <w:t>la</w:t>
      </w:r>
      <w:proofErr w:type="gramEnd"/>
      <w:r w:rsidRPr="00CB791A">
        <w:rPr>
          <w:rFonts w:eastAsia="Times New Roman"/>
        </w:rPr>
        <w:t xml:space="preserve"> décision interne attaquée est contraire sur le fond à la Convention, ou</w:t>
      </w:r>
    </w:p>
    <w:p w:rsidRPr="00CB791A" w:rsidR="00B34B1B" w:rsidP="00CB791A" w:rsidRDefault="00B34B1B" w14:paraId="18F18632" w14:textId="6C1C7919">
      <w:pPr>
        <w:pStyle w:val="JuQuot"/>
        <w:rPr>
          <w:rFonts w:eastAsia="Times New Roman"/>
        </w:rPr>
      </w:pPr>
      <w:r w:rsidRPr="00CB791A">
        <w:rPr>
          <w:rFonts w:eastAsia="Times New Roman"/>
        </w:rPr>
        <w:t>b.</w:t>
      </w:r>
      <w:r w:rsidRPr="00CB791A" w:rsidR="007850E1">
        <w:rPr>
          <w:rFonts w:eastAsia="Times New Roman"/>
        </w:rPr>
        <w:t>  </w:t>
      </w:r>
      <w:proofErr w:type="gramStart"/>
      <w:r w:rsidRPr="00CB791A">
        <w:rPr>
          <w:rFonts w:eastAsia="Times New Roman"/>
        </w:rPr>
        <w:t>la</w:t>
      </w:r>
      <w:proofErr w:type="gramEnd"/>
      <w:r w:rsidRPr="00CB791A">
        <w:rPr>
          <w:rFonts w:eastAsia="Times New Roman"/>
        </w:rPr>
        <w:t xml:space="preserve"> violation constatée est causée par des erreurs ou défaillances de procédure d</w:t>
      </w:r>
      <w:r w:rsidRPr="00CB791A" w:rsidR="00CB791A">
        <w:rPr>
          <w:rFonts w:eastAsia="Times New Roman"/>
        </w:rPr>
        <w:t>’</w:t>
      </w:r>
      <w:r w:rsidRPr="00CB791A">
        <w:rPr>
          <w:rFonts w:eastAsia="Times New Roman"/>
        </w:rPr>
        <w:t>une gravité telle qu</w:t>
      </w:r>
      <w:r w:rsidRPr="00CB791A" w:rsidR="00CB791A">
        <w:rPr>
          <w:rFonts w:eastAsia="Times New Roman"/>
        </w:rPr>
        <w:t>’</w:t>
      </w:r>
      <w:r w:rsidRPr="00CB791A">
        <w:rPr>
          <w:rFonts w:eastAsia="Times New Roman"/>
        </w:rPr>
        <w:t>un doute sérieux est jeté sur le résultat de la procédure interne attaquée. »</w:t>
      </w:r>
    </w:p>
    <w:p w:rsidRPr="00CB791A" w:rsidR="00B34B1B" w:rsidP="00CB791A" w:rsidRDefault="00B34B1B" w14:paraId="04B5F91F" w14:textId="77777777">
      <w:pPr>
        <w:pStyle w:val="JuHHead"/>
      </w:pPr>
      <w:bookmarkStart w:name="_Hlk36127250" w:id="34"/>
      <w:bookmarkEnd w:id="3"/>
      <w:r w:rsidRPr="00CB791A">
        <w:rPr>
          <w:caps w:val="0"/>
        </w:rPr>
        <w:t>EN DROIT</w:t>
      </w:r>
    </w:p>
    <w:bookmarkEnd w:id="34"/>
    <w:p w:rsidRPr="00CB791A" w:rsidR="00B34B1B" w:rsidP="00CB791A" w:rsidRDefault="00B34B1B" w14:paraId="5422BC47" w14:textId="77777777">
      <w:pPr>
        <w:pStyle w:val="JuHIRoman"/>
      </w:pPr>
      <w:r w:rsidRPr="00CB791A">
        <w:t>JONCTION DES REQUÊTES</w:t>
      </w:r>
    </w:p>
    <w:bookmarkStart w:name="CourEnDroitAccèsTribStart" w:id="35"/>
    <w:p w:rsidRPr="00CB791A" w:rsidR="00B34B1B" w:rsidP="00CB791A" w:rsidRDefault="00B34B1B" w14:paraId="539DDB77" w14:textId="7BF64491">
      <w:pPr>
        <w:pStyle w:val="JuPara"/>
      </w:pPr>
      <w:r w:rsidRPr="00CB791A">
        <w:fldChar w:fldCharType="begin"/>
      </w:r>
      <w:r w:rsidRPr="00CB791A">
        <w:instrText xml:space="preserve"> SEQ level0 \*arabic </w:instrText>
      </w:r>
      <w:r w:rsidRPr="00CB791A">
        <w:fldChar w:fldCharType="separate"/>
      </w:r>
      <w:r w:rsidRPr="00CB791A" w:rsidR="00CB791A">
        <w:rPr>
          <w:noProof/>
        </w:rPr>
        <w:t>44</w:t>
      </w:r>
      <w:r w:rsidRPr="00CB791A">
        <w:fldChar w:fldCharType="end"/>
      </w:r>
      <w:bookmarkEnd w:id="35"/>
      <w:r w:rsidRPr="00CB791A">
        <w:t>.  Eu égard au lien entre les requêtes, la Cour juge opportun de les examiner ensemble dans un arrêt unique.</w:t>
      </w:r>
    </w:p>
    <w:p w:rsidRPr="00CB791A" w:rsidR="00F35B60" w:rsidP="00CB791A" w:rsidRDefault="00F35B60" w14:paraId="2DA32007" w14:textId="3A3BF4D7">
      <w:pPr>
        <w:pStyle w:val="JuHIRoman"/>
      </w:pPr>
      <w:r w:rsidRPr="00CB791A">
        <w:t>REMARQUES LIMINAIRES SUR LA PORTÉE DE LA DÉCLARATION UNILATÉRALE DU GOUVERNEMENT ET DE LA DÉCISION DE LA COUR PRENANT ACTE DE CELLE-CI, ET SUR LA PORTÉE DU CONTRÔLE DE LA COUR APRÈS LA RÉINSCRIPTION DES REQUÊTES AU RÔLE</w:t>
      </w:r>
    </w:p>
    <w:bookmarkStart w:name="D" w:id="36"/>
    <w:p w:rsidRPr="00CB791A" w:rsidR="00B34B1B" w:rsidP="00CB791A" w:rsidRDefault="00B34B1B" w14:paraId="19E8E90D" w14:textId="6E740A07">
      <w:pPr>
        <w:pStyle w:val="JuPara"/>
        <w:rPr>
          <w:rFonts w:cstheme="minorHAnsi"/>
        </w:rPr>
      </w:pPr>
      <w:r w:rsidRPr="00CB791A">
        <w:fldChar w:fldCharType="begin"/>
      </w:r>
      <w:r w:rsidRPr="00CB791A">
        <w:instrText xml:space="preserve"> SEQ level0 \*arabic \* MERGEFORMAT </w:instrText>
      </w:r>
      <w:r w:rsidRPr="00CB791A">
        <w:fldChar w:fldCharType="separate"/>
      </w:r>
      <w:r w:rsidRPr="00CB791A" w:rsidR="00CB791A">
        <w:rPr>
          <w:noProof/>
        </w:rPr>
        <w:t>45</w:t>
      </w:r>
      <w:r w:rsidRPr="00CB791A">
        <w:fldChar w:fldCharType="end"/>
      </w:r>
      <w:bookmarkEnd w:id="36"/>
      <w:r w:rsidRPr="00CB791A">
        <w:t>.  </w:t>
      </w:r>
      <w:r w:rsidRPr="00CB791A">
        <w:rPr>
          <w:rFonts w:cstheme="minorHAnsi"/>
        </w:rPr>
        <w:t>Eu égard aux motifs de la décision de la Cour de cassation du 7 novembre 2018 rejetant les demandes des requérants de réouverture de la procédure pénale, la Cour estime utile de préciser la portée de la déclaration unilatérale du Gouvernement du 5 septembre 2017 et de la décision de la Cour du 13 mars 2018 qui en a pris acte et rayé les requêtes initiales du rôle, et de rappeler la portée du contrôle à exercer par la Cour après avoir décidé de réinscrire ces requêtes au rôle.</w:t>
      </w:r>
    </w:p>
    <w:p w:rsidRPr="00CB791A" w:rsidR="00B34B1B" w:rsidP="00CB791A" w:rsidRDefault="00B34B1B" w14:paraId="17414C07" w14:textId="77777777">
      <w:pPr>
        <w:pStyle w:val="JuHA"/>
      </w:pPr>
      <w:r w:rsidRPr="00CB791A">
        <w:t>Considérations générales</w:t>
      </w:r>
    </w:p>
    <w:p w:rsidRPr="00CB791A" w:rsidR="00B34B1B" w:rsidP="00CB791A" w:rsidRDefault="00B34B1B" w14:paraId="3F0E53C7" w14:textId="2DE27FF8">
      <w:pPr>
        <w:pStyle w:val="JuPara"/>
        <w:rPr>
          <w:rFonts w:eastAsia="Times New Roman"/>
          <w:sz w:val="17"/>
          <w:szCs w:val="17"/>
          <w:lang w:eastAsia="fr-FR"/>
        </w:rPr>
      </w:pPr>
      <w:r w:rsidRPr="00CB791A">
        <w:fldChar w:fldCharType="begin"/>
      </w:r>
      <w:r w:rsidRPr="00CB791A">
        <w:instrText xml:space="preserve"> SEQ level0 \*arabic </w:instrText>
      </w:r>
      <w:r w:rsidRPr="00CB791A">
        <w:fldChar w:fldCharType="separate"/>
      </w:r>
      <w:r w:rsidRPr="00CB791A" w:rsidR="00CB791A">
        <w:rPr>
          <w:noProof/>
        </w:rPr>
        <w:t>46</w:t>
      </w:r>
      <w:r w:rsidRPr="00CB791A">
        <w:fldChar w:fldCharType="end"/>
      </w:r>
      <w:r w:rsidRPr="00CB791A">
        <w:t>.  </w:t>
      </w:r>
      <w:r w:rsidRPr="00CB791A">
        <w:rPr>
          <w:rFonts w:eastAsia="Times New Roman"/>
          <w:lang w:eastAsia="fr-FR"/>
        </w:rPr>
        <w:t>L</w:t>
      </w:r>
      <w:r w:rsidRPr="00CB791A" w:rsidR="00CB791A">
        <w:rPr>
          <w:rFonts w:eastAsia="Times New Roman"/>
          <w:lang w:eastAsia="fr-FR"/>
        </w:rPr>
        <w:t>’</w:t>
      </w:r>
      <w:r w:rsidRPr="00CB791A">
        <w:rPr>
          <w:rFonts w:eastAsia="Times New Roman"/>
          <w:lang w:eastAsia="fr-FR"/>
        </w:rPr>
        <w:t>article 37 de la Convention est ainsi libellé :</w:t>
      </w:r>
    </w:p>
    <w:p w:rsidRPr="00CB791A" w:rsidR="00B34B1B" w:rsidP="00CB791A" w:rsidRDefault="00B34B1B" w14:paraId="23B0CBB7" w14:textId="77777777">
      <w:pPr>
        <w:pStyle w:val="JuQuot"/>
        <w:rPr>
          <w:sz w:val="17"/>
          <w:szCs w:val="17"/>
        </w:rPr>
      </w:pPr>
      <w:r w:rsidRPr="00CB791A">
        <w:t>« 1.  À tout moment de la procédure, la Cour peut décider de rayer une requête du rôle lorsque les circonstances permettent de conclure</w:t>
      </w:r>
    </w:p>
    <w:p w:rsidRPr="00CB791A" w:rsidR="00B34B1B" w:rsidP="00CB791A" w:rsidRDefault="00B34B1B" w14:paraId="5083FDD3" w14:textId="67C577BC">
      <w:pPr>
        <w:pStyle w:val="JuQuot"/>
        <w:rPr>
          <w:sz w:val="17"/>
          <w:szCs w:val="17"/>
        </w:rPr>
      </w:pPr>
      <w:r w:rsidRPr="00CB791A">
        <w:t>a)  que le requérant n</w:t>
      </w:r>
      <w:r w:rsidRPr="00CB791A" w:rsidR="00CB791A">
        <w:t>’</w:t>
      </w:r>
      <w:r w:rsidRPr="00CB791A">
        <w:t xml:space="preserve">entend plus la maintenir ; </w:t>
      </w:r>
      <w:proofErr w:type="gramStart"/>
      <w:r w:rsidRPr="00CB791A">
        <w:t>ou</w:t>
      </w:r>
      <w:proofErr w:type="gramEnd"/>
    </w:p>
    <w:p w:rsidRPr="00CB791A" w:rsidR="00B34B1B" w:rsidP="00CB791A" w:rsidRDefault="00B34B1B" w14:paraId="72AD7964" w14:textId="77777777">
      <w:pPr>
        <w:pStyle w:val="JuQuot"/>
        <w:rPr>
          <w:sz w:val="17"/>
          <w:szCs w:val="17"/>
        </w:rPr>
      </w:pPr>
      <w:r w:rsidRPr="00CB791A">
        <w:t xml:space="preserve">b)  que le litige a été résolu ; </w:t>
      </w:r>
      <w:proofErr w:type="gramStart"/>
      <w:r w:rsidRPr="00CB791A">
        <w:t>ou</w:t>
      </w:r>
      <w:proofErr w:type="gramEnd"/>
    </w:p>
    <w:p w:rsidRPr="00CB791A" w:rsidR="00B34B1B" w:rsidP="00CB791A" w:rsidRDefault="00B34B1B" w14:paraId="0416E732" w14:textId="47EEE181">
      <w:pPr>
        <w:pStyle w:val="JuQuot"/>
        <w:rPr>
          <w:sz w:val="17"/>
          <w:szCs w:val="17"/>
        </w:rPr>
      </w:pPr>
      <w:r w:rsidRPr="00CB791A">
        <w:t>c)  que, pour tout autre motif dont la Cour constate l</w:t>
      </w:r>
      <w:r w:rsidRPr="00CB791A" w:rsidR="00CB791A">
        <w:t>’</w:t>
      </w:r>
      <w:r w:rsidRPr="00CB791A">
        <w:t>existence, il ne se justifie plus de poursuivre l</w:t>
      </w:r>
      <w:r w:rsidRPr="00CB791A" w:rsidR="00CB791A">
        <w:t>’</w:t>
      </w:r>
      <w:r w:rsidRPr="00CB791A">
        <w:t>examen de la requête.</w:t>
      </w:r>
    </w:p>
    <w:p w:rsidRPr="00CB791A" w:rsidR="00B34B1B" w:rsidP="00CB791A" w:rsidRDefault="00B34B1B" w14:paraId="7DB011FF" w14:textId="1BE266D5">
      <w:pPr>
        <w:pStyle w:val="JuQuot"/>
        <w:rPr>
          <w:sz w:val="17"/>
          <w:szCs w:val="17"/>
        </w:rPr>
      </w:pPr>
      <w:r w:rsidRPr="00CB791A">
        <w:t>Toutefois, la Cour poursuit l</w:t>
      </w:r>
      <w:r w:rsidRPr="00CB791A" w:rsidR="00CB791A">
        <w:t>’</w:t>
      </w:r>
      <w:r w:rsidRPr="00CB791A">
        <w:t>examen de la requête si le respect des droits de l</w:t>
      </w:r>
      <w:r w:rsidRPr="00CB791A" w:rsidR="00CB791A">
        <w:t>’</w:t>
      </w:r>
      <w:r w:rsidRPr="00CB791A">
        <w:t>homme garantis par la Convention et ses Protocoles l</w:t>
      </w:r>
      <w:r w:rsidRPr="00CB791A" w:rsidR="00CB791A">
        <w:t>’</w:t>
      </w:r>
      <w:r w:rsidRPr="00CB791A">
        <w:t>exige.</w:t>
      </w:r>
    </w:p>
    <w:p w:rsidRPr="00CB791A" w:rsidR="00B34B1B" w:rsidP="00CB791A" w:rsidRDefault="00B34B1B" w14:paraId="66AF639D" w14:textId="781F5A03">
      <w:pPr>
        <w:pStyle w:val="JuQuot"/>
        <w:rPr>
          <w:sz w:val="17"/>
          <w:szCs w:val="17"/>
        </w:rPr>
      </w:pPr>
      <w:r w:rsidRPr="00CB791A">
        <w:t>2.  La Cour peut décider la réinscription au rôle d</w:t>
      </w:r>
      <w:r w:rsidRPr="00CB791A" w:rsidR="00CB791A">
        <w:t>’</w:t>
      </w:r>
      <w:r w:rsidRPr="00CB791A">
        <w:t>une requête lorsqu</w:t>
      </w:r>
      <w:r w:rsidRPr="00CB791A" w:rsidR="00CB791A">
        <w:t>’</w:t>
      </w:r>
      <w:r w:rsidRPr="00CB791A">
        <w:t>elle estime que les circonstances le justifient. »</w:t>
      </w:r>
    </w:p>
    <w:p w:rsidRPr="00CB791A" w:rsidR="00B34B1B" w:rsidP="00CB791A" w:rsidRDefault="00B34B1B" w14:paraId="718D612A" w14:textId="05771EA0">
      <w:pPr>
        <w:pStyle w:val="JuH1"/>
      </w:pPr>
      <w:r w:rsidRPr="00CB791A">
        <w:t>La radiation d</w:t>
      </w:r>
      <w:r w:rsidRPr="00CB791A" w:rsidR="00CB791A">
        <w:t>’</w:t>
      </w:r>
      <w:r w:rsidRPr="00CB791A">
        <w:t>une requête du rôle sur base d</w:t>
      </w:r>
      <w:r w:rsidRPr="00CB791A" w:rsidR="00CB791A">
        <w:t>’</w:t>
      </w:r>
      <w:r w:rsidRPr="00CB791A">
        <w:t>une déclaration unilatérale</w:t>
      </w:r>
    </w:p>
    <w:p w:rsidRPr="00CB791A" w:rsidR="00B34B1B" w:rsidP="00CB791A" w:rsidRDefault="00B34B1B" w14:paraId="57D56E02" w14:textId="429426CD">
      <w:pPr>
        <w:pStyle w:val="JuPara"/>
        <w:rPr>
          <w:rFonts w:cstheme="minorHAnsi"/>
        </w:rPr>
      </w:pPr>
      <w:r w:rsidRPr="00CB791A">
        <w:fldChar w:fldCharType="begin"/>
      </w:r>
      <w:r w:rsidRPr="00CB791A">
        <w:instrText xml:space="preserve"> SEQ level0 \*arabic </w:instrText>
      </w:r>
      <w:r w:rsidRPr="00CB791A">
        <w:fldChar w:fldCharType="separate"/>
      </w:r>
      <w:r w:rsidRPr="00CB791A" w:rsidR="00CB791A">
        <w:rPr>
          <w:noProof/>
        </w:rPr>
        <w:t>47</w:t>
      </w:r>
      <w:r w:rsidRPr="00CB791A">
        <w:fldChar w:fldCharType="end"/>
      </w:r>
      <w:r w:rsidRPr="00CB791A">
        <w:t>.  </w:t>
      </w:r>
      <w:r w:rsidRPr="00CB791A">
        <w:rPr>
          <w:rFonts w:cstheme="minorHAnsi"/>
          <w:bCs/>
        </w:rPr>
        <w:t>La Cour rappelle tout d</w:t>
      </w:r>
      <w:r w:rsidRPr="00CB791A" w:rsidR="00CB791A">
        <w:rPr>
          <w:rFonts w:cstheme="minorHAnsi"/>
          <w:bCs/>
        </w:rPr>
        <w:t>’</w:t>
      </w:r>
      <w:r w:rsidRPr="00CB791A">
        <w:rPr>
          <w:rFonts w:cstheme="minorHAnsi"/>
          <w:bCs/>
        </w:rPr>
        <w:t xml:space="preserve">abord </w:t>
      </w:r>
      <w:r w:rsidRPr="00CB791A">
        <w:rPr>
          <w:rFonts w:cstheme="minorHAnsi"/>
          <w:color w:val="000000"/>
        </w:rPr>
        <w:t>que, dans certaines circonstances, il peut être indiqué de rayer une requête du rôle en vertu de l</w:t>
      </w:r>
      <w:r w:rsidRPr="00CB791A" w:rsidR="00CB791A">
        <w:rPr>
          <w:rFonts w:cstheme="minorHAnsi"/>
          <w:color w:val="000000"/>
        </w:rPr>
        <w:t>’</w:t>
      </w:r>
      <w:r w:rsidRPr="00CB791A">
        <w:rPr>
          <w:rFonts w:cstheme="minorHAnsi"/>
          <w:color w:val="000000"/>
        </w:rPr>
        <w:t>article 37 § 1</w:t>
      </w:r>
      <w:r w:rsidRPr="00CB791A" w:rsidR="009A171A">
        <w:rPr>
          <w:rFonts w:cstheme="minorHAnsi"/>
          <w:color w:val="000000"/>
        </w:rPr>
        <w:t> </w:t>
      </w:r>
      <w:r w:rsidRPr="00CB791A">
        <w:rPr>
          <w:rFonts w:cstheme="minorHAnsi"/>
          <w:color w:val="000000"/>
        </w:rPr>
        <w:t>c) de la Convention sur la base d</w:t>
      </w:r>
      <w:r w:rsidRPr="00CB791A" w:rsidR="00CB791A">
        <w:rPr>
          <w:rFonts w:cstheme="minorHAnsi"/>
          <w:color w:val="000000"/>
        </w:rPr>
        <w:t>’</w:t>
      </w:r>
      <w:r w:rsidRPr="00CB791A">
        <w:rPr>
          <w:rFonts w:cstheme="minorHAnsi"/>
          <w:color w:val="000000"/>
        </w:rPr>
        <w:t>une déclaration unilatérale du gouvernement défendeur même si le requérant souhaite que l</w:t>
      </w:r>
      <w:r w:rsidRPr="00CB791A" w:rsidR="00CB791A">
        <w:rPr>
          <w:rFonts w:cstheme="minorHAnsi"/>
          <w:color w:val="000000"/>
        </w:rPr>
        <w:t>’</w:t>
      </w:r>
      <w:r w:rsidRPr="00CB791A">
        <w:rPr>
          <w:rFonts w:cstheme="minorHAnsi"/>
          <w:color w:val="000000"/>
        </w:rPr>
        <w:t>examen de l</w:t>
      </w:r>
      <w:r w:rsidRPr="00CB791A" w:rsidR="00CB791A">
        <w:rPr>
          <w:rFonts w:cstheme="minorHAnsi"/>
          <w:color w:val="000000"/>
        </w:rPr>
        <w:t>’</w:t>
      </w:r>
      <w:r w:rsidRPr="00CB791A">
        <w:rPr>
          <w:rFonts w:cstheme="minorHAnsi"/>
          <w:color w:val="000000"/>
        </w:rPr>
        <w:t>affaire se poursuive (</w:t>
      </w:r>
      <w:proofErr w:type="spellStart"/>
      <w:r w:rsidRPr="00CB791A">
        <w:rPr>
          <w:rFonts w:cstheme="minorHAnsi"/>
          <w:i/>
        </w:rPr>
        <w:t>Tahsin</w:t>
      </w:r>
      <w:proofErr w:type="spellEnd"/>
      <w:r w:rsidRPr="00CB791A">
        <w:rPr>
          <w:rFonts w:cstheme="minorHAnsi"/>
          <w:i/>
        </w:rPr>
        <w:t xml:space="preserve"> </w:t>
      </w:r>
      <w:proofErr w:type="spellStart"/>
      <w:r w:rsidRPr="00CB791A">
        <w:rPr>
          <w:rFonts w:cstheme="minorHAnsi"/>
          <w:i/>
        </w:rPr>
        <w:t>Acar</w:t>
      </w:r>
      <w:proofErr w:type="spellEnd"/>
      <w:r w:rsidRPr="00CB791A">
        <w:rPr>
          <w:rFonts w:cstheme="minorHAnsi"/>
          <w:i/>
        </w:rPr>
        <w:t xml:space="preserve"> c. Turquie</w:t>
      </w:r>
      <w:r w:rsidRPr="00CB791A">
        <w:rPr>
          <w:rFonts w:cstheme="minorHAnsi"/>
          <w:iCs/>
        </w:rPr>
        <w:t xml:space="preserve"> (question préliminaire) [GC]</w:t>
      </w:r>
      <w:r w:rsidRPr="00CB791A">
        <w:rPr>
          <w:rFonts w:cstheme="minorHAnsi"/>
        </w:rPr>
        <w:t>, n</w:t>
      </w:r>
      <w:r w:rsidRPr="00CB791A">
        <w:rPr>
          <w:rFonts w:cstheme="minorHAnsi"/>
          <w:vertAlign w:val="superscript"/>
        </w:rPr>
        <w:t>o </w:t>
      </w:r>
      <w:r w:rsidRPr="00CB791A">
        <w:rPr>
          <w:rFonts w:cstheme="minorHAnsi"/>
        </w:rPr>
        <w:t>26307/95, § 75, CEDH 2003</w:t>
      </w:r>
      <w:r w:rsidRPr="00CB791A">
        <w:rPr>
          <w:rFonts w:cstheme="minorHAnsi"/>
        </w:rPr>
        <w:noBreakHyphen/>
        <w:t xml:space="preserve">VI, et </w:t>
      </w:r>
      <w:r w:rsidRPr="00CB791A">
        <w:rPr>
          <w:rFonts w:cstheme="minorHAnsi"/>
          <w:i/>
        </w:rPr>
        <w:t>De Tommaso c.</w:t>
      </w:r>
      <w:r w:rsidRPr="00CB791A" w:rsidR="009A171A">
        <w:rPr>
          <w:rFonts w:cstheme="minorHAnsi"/>
          <w:i/>
        </w:rPr>
        <w:t> </w:t>
      </w:r>
      <w:r w:rsidRPr="00CB791A">
        <w:rPr>
          <w:rFonts w:cstheme="minorHAnsi"/>
          <w:i/>
        </w:rPr>
        <w:t>Italie</w:t>
      </w:r>
      <w:r w:rsidRPr="00CB791A">
        <w:rPr>
          <w:rFonts w:cstheme="minorHAnsi"/>
        </w:rPr>
        <w:t xml:space="preserve"> [GC], n</w:t>
      </w:r>
      <w:r w:rsidRPr="00CB791A">
        <w:rPr>
          <w:rFonts w:cstheme="minorHAnsi"/>
          <w:vertAlign w:val="superscript"/>
        </w:rPr>
        <w:t>o </w:t>
      </w:r>
      <w:r w:rsidRPr="00CB791A">
        <w:rPr>
          <w:rFonts w:cstheme="minorHAnsi"/>
        </w:rPr>
        <w:t>43395/09, § 134, 23 février 2017).</w:t>
      </w:r>
    </w:p>
    <w:p w:rsidRPr="00CB791A" w:rsidR="00B34B1B" w:rsidP="00CB791A" w:rsidRDefault="00B34B1B" w14:paraId="31EA3658" w14:textId="7E5534E4">
      <w:pPr>
        <w:pStyle w:val="JuPara"/>
      </w:pPr>
      <w:r w:rsidRPr="00CB791A">
        <w:fldChar w:fldCharType="begin"/>
      </w:r>
      <w:r w:rsidRPr="00CB791A">
        <w:instrText xml:space="preserve"> SEQ level0 \*arabic </w:instrText>
      </w:r>
      <w:r w:rsidRPr="00CB791A">
        <w:fldChar w:fldCharType="separate"/>
      </w:r>
      <w:r w:rsidRPr="00CB791A" w:rsidR="00CB791A">
        <w:rPr>
          <w:noProof/>
        </w:rPr>
        <w:t>48</w:t>
      </w:r>
      <w:r w:rsidRPr="00CB791A">
        <w:fldChar w:fldCharType="end"/>
      </w:r>
      <w:r w:rsidRPr="00CB791A">
        <w:t>.  </w:t>
      </w:r>
      <w:r w:rsidRPr="00CB791A">
        <w:rPr>
          <w:rFonts w:cstheme="minorHAnsi"/>
          <w:color w:val="000000"/>
        </w:rPr>
        <w:t>La Cour rappelle ensuite que, parmi les facteurs qui entrent en jeu lorsqu</w:t>
      </w:r>
      <w:r w:rsidRPr="00CB791A" w:rsidR="00CB791A">
        <w:rPr>
          <w:rFonts w:cstheme="minorHAnsi"/>
          <w:color w:val="000000"/>
        </w:rPr>
        <w:t>’</w:t>
      </w:r>
      <w:r w:rsidRPr="00CB791A">
        <w:rPr>
          <w:rFonts w:cstheme="minorHAnsi"/>
          <w:color w:val="000000"/>
        </w:rPr>
        <w:t>il s</w:t>
      </w:r>
      <w:r w:rsidRPr="00CB791A" w:rsidR="00CB791A">
        <w:rPr>
          <w:rFonts w:cstheme="minorHAnsi"/>
          <w:color w:val="000000"/>
        </w:rPr>
        <w:t>’</w:t>
      </w:r>
      <w:r w:rsidRPr="00CB791A">
        <w:rPr>
          <w:rFonts w:cstheme="minorHAnsi"/>
          <w:color w:val="000000"/>
        </w:rPr>
        <w:t>agit de décider de rayer du rôle tout ou partie d</w:t>
      </w:r>
      <w:r w:rsidRPr="00CB791A" w:rsidR="00CB791A">
        <w:rPr>
          <w:rFonts w:cstheme="minorHAnsi"/>
          <w:color w:val="000000"/>
        </w:rPr>
        <w:t>’</w:t>
      </w:r>
      <w:r w:rsidRPr="00CB791A">
        <w:rPr>
          <w:rFonts w:cstheme="minorHAnsi"/>
          <w:color w:val="000000"/>
        </w:rPr>
        <w:t>une requête en vertu de l</w:t>
      </w:r>
      <w:r w:rsidRPr="00CB791A" w:rsidR="00CB791A">
        <w:rPr>
          <w:rFonts w:cstheme="minorHAnsi"/>
          <w:color w:val="000000"/>
        </w:rPr>
        <w:t>’</w:t>
      </w:r>
      <w:r w:rsidRPr="00CB791A">
        <w:rPr>
          <w:rFonts w:cstheme="minorHAnsi"/>
          <w:color w:val="000000"/>
        </w:rPr>
        <w:t>article 37 § 1 c) de la Convention sur la base d</w:t>
      </w:r>
      <w:r w:rsidRPr="00CB791A" w:rsidR="00CB791A">
        <w:rPr>
          <w:rFonts w:cstheme="minorHAnsi"/>
          <w:color w:val="000000"/>
        </w:rPr>
        <w:t>’</w:t>
      </w:r>
      <w:r w:rsidRPr="00CB791A">
        <w:rPr>
          <w:rFonts w:cstheme="minorHAnsi"/>
          <w:color w:val="000000"/>
        </w:rPr>
        <w:t>une déclaration unilatérale, figurent la nature des griefs formulés, la nature et la portée des mesures éventuellement prises par le gouvernement défendeur dans le cadre de l</w:t>
      </w:r>
      <w:r w:rsidRPr="00CB791A" w:rsidR="00CB791A">
        <w:rPr>
          <w:rFonts w:cstheme="minorHAnsi"/>
          <w:color w:val="000000"/>
        </w:rPr>
        <w:t>’</w:t>
      </w:r>
      <w:r w:rsidRPr="00CB791A">
        <w:rPr>
          <w:rFonts w:cstheme="minorHAnsi"/>
          <w:color w:val="000000"/>
        </w:rPr>
        <w:t>exécution des arrêts rendus par la Cour dans des affaires antérieures, et l</w:t>
      </w:r>
      <w:r w:rsidRPr="00CB791A" w:rsidR="00CB791A">
        <w:rPr>
          <w:rFonts w:cstheme="minorHAnsi"/>
          <w:color w:val="000000"/>
        </w:rPr>
        <w:t>’</w:t>
      </w:r>
      <w:r w:rsidRPr="00CB791A">
        <w:rPr>
          <w:rFonts w:cstheme="minorHAnsi"/>
          <w:color w:val="000000"/>
        </w:rPr>
        <w:t>incidence de ces mesures sur l</w:t>
      </w:r>
      <w:r w:rsidRPr="00CB791A" w:rsidR="00CB791A">
        <w:rPr>
          <w:rFonts w:cstheme="minorHAnsi"/>
          <w:color w:val="000000"/>
        </w:rPr>
        <w:t>’</w:t>
      </w:r>
      <w:r w:rsidRPr="00CB791A">
        <w:rPr>
          <w:rFonts w:cstheme="minorHAnsi"/>
          <w:color w:val="000000"/>
        </w:rPr>
        <w:t>affaire examinée, la nature des concessions formulées dans la déclaration unilatérale, en particulier la reconnaissance d</w:t>
      </w:r>
      <w:r w:rsidRPr="00CB791A" w:rsidR="00CB791A">
        <w:rPr>
          <w:rFonts w:cstheme="minorHAnsi"/>
          <w:color w:val="000000"/>
        </w:rPr>
        <w:t>’</w:t>
      </w:r>
      <w:r w:rsidRPr="00CB791A">
        <w:rPr>
          <w:rFonts w:cstheme="minorHAnsi"/>
          <w:color w:val="000000"/>
        </w:rPr>
        <w:t>une violation de la Convention et l</w:t>
      </w:r>
      <w:r w:rsidRPr="00CB791A" w:rsidR="00CB791A">
        <w:rPr>
          <w:rFonts w:cstheme="minorHAnsi"/>
          <w:color w:val="000000"/>
        </w:rPr>
        <w:t>’</w:t>
      </w:r>
      <w:r w:rsidRPr="00CB791A">
        <w:rPr>
          <w:rFonts w:cstheme="minorHAnsi"/>
          <w:color w:val="000000"/>
        </w:rPr>
        <w:t>engagement de verser une réparation adéquate pour une telle violation, l</w:t>
      </w:r>
      <w:r w:rsidRPr="00CB791A" w:rsidR="00CB791A">
        <w:rPr>
          <w:rFonts w:cstheme="minorHAnsi"/>
          <w:color w:val="000000"/>
        </w:rPr>
        <w:t>’</w:t>
      </w:r>
      <w:r w:rsidRPr="00CB791A">
        <w:rPr>
          <w:rFonts w:cstheme="minorHAnsi"/>
          <w:color w:val="000000"/>
        </w:rPr>
        <w:t>existence d</w:t>
      </w:r>
      <w:r w:rsidRPr="00CB791A" w:rsidR="00CB791A">
        <w:rPr>
          <w:rFonts w:cstheme="minorHAnsi"/>
          <w:color w:val="000000"/>
        </w:rPr>
        <w:t>’</w:t>
      </w:r>
      <w:r w:rsidRPr="00CB791A">
        <w:rPr>
          <w:rFonts w:cstheme="minorHAnsi"/>
          <w:color w:val="000000"/>
        </w:rPr>
        <w:t>une jurisprudence pertinente « claire et complète » à cet égard – en d</w:t>
      </w:r>
      <w:r w:rsidRPr="00CB791A" w:rsidR="00CB791A">
        <w:rPr>
          <w:rFonts w:cstheme="minorHAnsi"/>
          <w:color w:val="000000"/>
        </w:rPr>
        <w:t>’</w:t>
      </w:r>
      <w:r w:rsidRPr="00CB791A">
        <w:rPr>
          <w:rFonts w:cstheme="minorHAnsi"/>
          <w:color w:val="000000"/>
        </w:rPr>
        <w:t>autres termes, le point de savoir si les questions soulevées sont analogues à celles déjà tranchées par la Cour dans des affaires précédentes –, les modalités du redressement que le gouvernement défendeur entend offrir au requérant et la question de savoir si ces modalités permettent ou non d</w:t>
      </w:r>
      <w:r w:rsidRPr="00CB791A" w:rsidR="00CB791A">
        <w:rPr>
          <w:rFonts w:cstheme="minorHAnsi"/>
          <w:color w:val="000000"/>
        </w:rPr>
        <w:t>’</w:t>
      </w:r>
      <w:r w:rsidRPr="00CB791A">
        <w:rPr>
          <w:rFonts w:cstheme="minorHAnsi"/>
          <w:color w:val="000000"/>
        </w:rPr>
        <w:t>effacer les conséquences d</w:t>
      </w:r>
      <w:r w:rsidRPr="00CB791A" w:rsidR="00CB791A">
        <w:rPr>
          <w:rFonts w:cstheme="minorHAnsi"/>
          <w:color w:val="000000"/>
        </w:rPr>
        <w:t>’</w:t>
      </w:r>
      <w:r w:rsidRPr="00CB791A">
        <w:rPr>
          <w:rFonts w:cstheme="minorHAnsi"/>
          <w:color w:val="000000"/>
        </w:rPr>
        <w:t>une violation alléguée (</w:t>
      </w:r>
      <w:proofErr w:type="spellStart"/>
      <w:r w:rsidRPr="00CB791A">
        <w:rPr>
          <w:i/>
        </w:rPr>
        <w:t>Jeronovičs</w:t>
      </w:r>
      <w:proofErr w:type="spellEnd"/>
      <w:r w:rsidRPr="00CB791A">
        <w:rPr>
          <w:i/>
        </w:rPr>
        <w:t xml:space="preserve"> c.</w:t>
      </w:r>
      <w:r w:rsidRPr="00CB791A" w:rsidR="007850E1">
        <w:rPr>
          <w:i/>
        </w:rPr>
        <w:t> </w:t>
      </w:r>
      <w:r w:rsidRPr="00CB791A">
        <w:rPr>
          <w:i/>
        </w:rPr>
        <w:t>Lettonie</w:t>
      </w:r>
      <w:r w:rsidRPr="00CB791A">
        <w:t xml:space="preserve"> [GC], n</w:t>
      </w:r>
      <w:r w:rsidRPr="00CB791A">
        <w:rPr>
          <w:vertAlign w:val="superscript"/>
        </w:rPr>
        <w:t>o</w:t>
      </w:r>
      <w:r w:rsidRPr="00CB791A" w:rsidR="007850E1">
        <w:t> </w:t>
      </w:r>
      <w:r w:rsidRPr="00CB791A">
        <w:t>44898/10</w:t>
      </w:r>
      <w:r w:rsidRPr="00CB791A">
        <w:rPr>
          <w:snapToGrid w:val="0"/>
        </w:rPr>
        <w:t>, §</w:t>
      </w:r>
      <w:r w:rsidRPr="00CB791A" w:rsidR="007850E1">
        <w:rPr>
          <w:snapToGrid w:val="0"/>
        </w:rPr>
        <w:t> </w:t>
      </w:r>
      <w:r w:rsidRPr="00CB791A">
        <w:rPr>
          <w:snapToGrid w:val="0"/>
        </w:rPr>
        <w:t>64, 5</w:t>
      </w:r>
      <w:r w:rsidRPr="00CB791A" w:rsidR="009A171A">
        <w:rPr>
          <w:snapToGrid w:val="0"/>
        </w:rPr>
        <w:t> </w:t>
      </w:r>
      <w:r w:rsidRPr="00CB791A">
        <w:rPr>
          <w:snapToGrid w:val="0"/>
        </w:rPr>
        <w:t xml:space="preserve">juillet 2016 ; voir dans le même sens </w:t>
      </w:r>
      <w:proofErr w:type="spellStart"/>
      <w:r w:rsidRPr="00CB791A">
        <w:rPr>
          <w:i/>
        </w:rPr>
        <w:t>Aviakompaniya</w:t>
      </w:r>
      <w:proofErr w:type="spellEnd"/>
      <w:r w:rsidRPr="00CB791A">
        <w:rPr>
          <w:i/>
        </w:rPr>
        <w:t xml:space="preserve"> A.T.I., ZAT c.</w:t>
      </w:r>
      <w:r w:rsidRPr="00CB791A" w:rsidR="009A171A">
        <w:rPr>
          <w:i/>
        </w:rPr>
        <w:t> </w:t>
      </w:r>
      <w:r w:rsidRPr="00CB791A">
        <w:rPr>
          <w:i/>
        </w:rPr>
        <w:t>Ukraine</w:t>
      </w:r>
      <w:r w:rsidRPr="00CB791A">
        <w:t>, n</w:t>
      </w:r>
      <w:r w:rsidRPr="00CB791A">
        <w:rPr>
          <w:vertAlign w:val="superscript"/>
        </w:rPr>
        <w:t>o </w:t>
      </w:r>
      <w:r w:rsidRPr="00CB791A">
        <w:t>1006/07, § 27, 5 octobre 2017</w:t>
      </w:r>
      <w:r w:rsidRPr="00CB791A">
        <w:rPr>
          <w:rFonts w:cstheme="minorHAnsi"/>
          <w:color w:val="000000"/>
        </w:rPr>
        <w:t>).</w:t>
      </w:r>
    </w:p>
    <w:p w:rsidRPr="00CB791A" w:rsidR="00B34B1B" w:rsidP="00CB791A" w:rsidRDefault="00B34B1B" w14:paraId="01338BDD" w14:textId="27EDEB37">
      <w:pPr>
        <w:pStyle w:val="JuPara"/>
        <w:rPr>
          <w:rFonts w:eastAsia="Times New Roman"/>
          <w:sz w:val="17"/>
          <w:szCs w:val="17"/>
          <w:lang w:eastAsia="fr-FR"/>
        </w:rPr>
      </w:pPr>
      <w:r w:rsidRPr="00CB791A">
        <w:rPr>
          <w:rFonts w:eastAsia="Times New Roman"/>
          <w:lang w:eastAsia="fr-FR"/>
        </w:rPr>
        <w:fldChar w:fldCharType="begin"/>
      </w:r>
      <w:r w:rsidRPr="00CB791A">
        <w:rPr>
          <w:rFonts w:eastAsia="Times New Roman"/>
          <w:lang w:eastAsia="fr-FR"/>
        </w:rPr>
        <w:instrText xml:space="preserve"> SEQ level0 \*arabic \* MERGEFORMAT </w:instrText>
      </w:r>
      <w:r w:rsidRPr="00CB791A">
        <w:rPr>
          <w:rFonts w:eastAsia="Times New Roman"/>
          <w:lang w:eastAsia="fr-FR"/>
        </w:rPr>
        <w:fldChar w:fldCharType="separate"/>
      </w:r>
      <w:r w:rsidRPr="00CB791A" w:rsidR="00CB791A">
        <w:rPr>
          <w:rFonts w:eastAsia="Times New Roman"/>
          <w:noProof/>
          <w:lang w:eastAsia="fr-FR"/>
        </w:rPr>
        <w:t>49</w:t>
      </w:r>
      <w:r w:rsidRPr="00CB791A">
        <w:rPr>
          <w:rFonts w:eastAsia="Times New Roman"/>
          <w:lang w:eastAsia="fr-FR"/>
        </w:rPr>
        <w:fldChar w:fldCharType="end"/>
      </w:r>
      <w:r w:rsidRPr="00CB791A">
        <w:rPr>
          <w:rFonts w:eastAsia="Times New Roman"/>
          <w:lang w:eastAsia="fr-FR"/>
        </w:rPr>
        <w:t>.  Si la Cour est satisfaite des réponses apportées aux questions ci</w:t>
      </w:r>
      <w:r w:rsidRPr="00CB791A">
        <w:rPr>
          <w:rFonts w:eastAsia="Times New Roman"/>
          <w:lang w:eastAsia="fr-FR"/>
        </w:rPr>
        <w:noBreakHyphen/>
        <w:t>dessus, elle vérifie que les conditions énoncées à l</w:t>
      </w:r>
      <w:r w:rsidRPr="00CB791A" w:rsidR="00CB791A">
        <w:rPr>
          <w:rFonts w:eastAsia="Times New Roman"/>
          <w:lang w:eastAsia="fr-FR"/>
        </w:rPr>
        <w:t>’</w:t>
      </w:r>
      <w:r w:rsidRPr="00CB791A">
        <w:rPr>
          <w:rFonts w:eastAsia="Times New Roman"/>
          <w:lang w:eastAsia="fr-FR"/>
        </w:rPr>
        <w:t>article 37 §</w:t>
      </w:r>
      <w:r w:rsidRPr="00CB791A" w:rsidR="007850E1">
        <w:rPr>
          <w:rFonts w:eastAsia="Times New Roman"/>
          <w:lang w:eastAsia="fr-FR"/>
        </w:rPr>
        <w:t> </w:t>
      </w:r>
      <w:r w:rsidRPr="00CB791A">
        <w:rPr>
          <w:rFonts w:eastAsia="Times New Roman"/>
          <w:lang w:eastAsia="fr-FR"/>
        </w:rPr>
        <w:t>1 alinéa premier c) et alinéa 2 de la Convention sont remplies (à savoir, qu</w:t>
      </w:r>
      <w:r w:rsidRPr="00CB791A" w:rsidR="00CB791A">
        <w:rPr>
          <w:rFonts w:eastAsia="Times New Roman"/>
          <w:lang w:eastAsia="fr-FR"/>
        </w:rPr>
        <w:t>’</w:t>
      </w:r>
      <w:r w:rsidRPr="00CB791A">
        <w:rPr>
          <w:rFonts w:eastAsia="Times New Roman"/>
          <w:lang w:eastAsia="fr-FR"/>
        </w:rPr>
        <w:t>il ne se justifie plus de poursuivre l</w:t>
      </w:r>
      <w:r w:rsidRPr="00CB791A" w:rsidR="00CB791A">
        <w:rPr>
          <w:rFonts w:eastAsia="Times New Roman"/>
          <w:lang w:eastAsia="fr-FR"/>
        </w:rPr>
        <w:t>’</w:t>
      </w:r>
      <w:r w:rsidRPr="00CB791A">
        <w:rPr>
          <w:rFonts w:eastAsia="Times New Roman"/>
          <w:lang w:eastAsia="fr-FR"/>
        </w:rPr>
        <w:t>examen de tout ou partie de la requête et que le respect des droits de l</w:t>
      </w:r>
      <w:r w:rsidRPr="00CB791A" w:rsidR="00CB791A">
        <w:rPr>
          <w:rFonts w:eastAsia="Times New Roman"/>
          <w:lang w:eastAsia="fr-FR"/>
        </w:rPr>
        <w:t>’</w:t>
      </w:r>
      <w:r w:rsidRPr="00CB791A">
        <w:rPr>
          <w:rFonts w:eastAsia="Times New Roman"/>
          <w:lang w:eastAsia="fr-FR"/>
        </w:rPr>
        <w:t>homme n</w:t>
      </w:r>
      <w:r w:rsidRPr="00CB791A" w:rsidR="00CB791A">
        <w:rPr>
          <w:rFonts w:eastAsia="Times New Roman"/>
          <w:lang w:eastAsia="fr-FR"/>
        </w:rPr>
        <w:t>’</w:t>
      </w:r>
      <w:r w:rsidRPr="00CB791A">
        <w:rPr>
          <w:rFonts w:eastAsia="Times New Roman"/>
          <w:lang w:eastAsia="fr-FR"/>
        </w:rPr>
        <w:t>exige pas qu</w:t>
      </w:r>
      <w:r w:rsidRPr="00CB791A" w:rsidR="00CB791A">
        <w:rPr>
          <w:rFonts w:eastAsia="Times New Roman"/>
          <w:lang w:eastAsia="fr-FR"/>
        </w:rPr>
        <w:t>’</w:t>
      </w:r>
      <w:r w:rsidRPr="00CB791A">
        <w:rPr>
          <w:rFonts w:eastAsia="Times New Roman"/>
          <w:lang w:eastAsia="fr-FR"/>
        </w:rPr>
        <w:t>elle poursuive l</w:t>
      </w:r>
      <w:r w:rsidRPr="00CB791A" w:rsidR="00CB791A">
        <w:rPr>
          <w:rFonts w:eastAsia="Times New Roman"/>
          <w:lang w:eastAsia="fr-FR"/>
        </w:rPr>
        <w:t>’</w:t>
      </w:r>
      <w:r w:rsidRPr="00CB791A">
        <w:rPr>
          <w:rFonts w:eastAsia="Times New Roman"/>
          <w:lang w:eastAsia="fr-FR"/>
        </w:rPr>
        <w:t>examen de la requête). Si ces conditions sont réunies, elle décide alors de rayer du rôle tout ou partie de la requête (</w:t>
      </w:r>
      <w:proofErr w:type="spellStart"/>
      <w:r w:rsidRPr="00CB791A">
        <w:rPr>
          <w:i/>
        </w:rPr>
        <w:t>Jeronovičs</w:t>
      </w:r>
      <w:proofErr w:type="spellEnd"/>
      <w:r w:rsidRPr="00CB791A">
        <w:t>, précité, § 64</w:t>
      </w:r>
      <w:r w:rsidRPr="00CB791A">
        <w:rPr>
          <w:rFonts w:eastAsia="Times New Roman"/>
          <w:lang w:eastAsia="fr-FR"/>
        </w:rPr>
        <w:t>).</w:t>
      </w:r>
    </w:p>
    <w:p w:rsidRPr="00CB791A" w:rsidR="00B34B1B" w:rsidP="00CB791A" w:rsidRDefault="00B34B1B" w14:paraId="3189521C" w14:textId="263FD7C5">
      <w:pPr>
        <w:pStyle w:val="JuPara"/>
      </w:pPr>
      <w:r w:rsidRPr="00CB791A">
        <w:rPr>
          <w:rFonts w:eastAsia="Times New Roman"/>
          <w:lang w:eastAsia="fr-FR"/>
        </w:rPr>
        <w:fldChar w:fldCharType="begin"/>
      </w:r>
      <w:r w:rsidRPr="00CB791A">
        <w:rPr>
          <w:rFonts w:eastAsia="Times New Roman"/>
          <w:lang w:eastAsia="fr-FR"/>
        </w:rPr>
        <w:instrText xml:space="preserve"> SEQ level0 \*arabic \* MERGEFORMAT </w:instrText>
      </w:r>
      <w:r w:rsidRPr="00CB791A">
        <w:rPr>
          <w:rFonts w:eastAsia="Times New Roman"/>
          <w:lang w:eastAsia="fr-FR"/>
        </w:rPr>
        <w:fldChar w:fldCharType="separate"/>
      </w:r>
      <w:r w:rsidRPr="00CB791A" w:rsidR="00CB791A">
        <w:rPr>
          <w:rFonts w:eastAsia="Times New Roman"/>
          <w:noProof/>
          <w:lang w:eastAsia="fr-FR"/>
        </w:rPr>
        <w:t>50</w:t>
      </w:r>
      <w:r w:rsidRPr="00CB791A">
        <w:rPr>
          <w:rFonts w:eastAsia="Times New Roman"/>
          <w:lang w:eastAsia="fr-FR"/>
        </w:rPr>
        <w:fldChar w:fldCharType="end"/>
      </w:r>
      <w:r w:rsidRPr="00CB791A">
        <w:rPr>
          <w:rFonts w:eastAsia="Times New Roman"/>
          <w:lang w:eastAsia="fr-FR"/>
        </w:rPr>
        <w:t>.  À cette fin, elle examine minutieusement les engagements pris par le gouvernement dans sa déclaration unilatérale et, le cas échéant, en interprète le contenu à la lumière de sa jurisprudence (</w:t>
      </w:r>
      <w:r w:rsidRPr="00CB791A">
        <w:rPr>
          <w:i/>
        </w:rPr>
        <w:t>ibid.</w:t>
      </w:r>
      <w:r w:rsidRPr="00CB791A">
        <w:rPr>
          <w:rFonts w:eastAsia="Times New Roman"/>
          <w:iCs/>
          <w:lang w:eastAsia="fr-FR"/>
        </w:rPr>
        <w:t>).</w:t>
      </w:r>
      <w:r w:rsidRPr="00CB791A">
        <w:rPr>
          <w:rFonts w:eastAsia="Times New Roman"/>
          <w:lang w:eastAsia="fr-FR"/>
        </w:rPr>
        <w:t xml:space="preserve"> </w:t>
      </w:r>
      <w:r w:rsidRPr="00CB791A">
        <w:t>Elle anticipe également la possibilité de vérifier le respect par le gouvernement de ses engagements (</w:t>
      </w:r>
      <w:r w:rsidRPr="00CB791A">
        <w:rPr>
          <w:i/>
        </w:rPr>
        <w:t>ibid.</w:t>
      </w:r>
      <w:r w:rsidRPr="00CB791A">
        <w:rPr>
          <w:iCs/>
          <w:snapToGrid w:val="0"/>
        </w:rPr>
        <w:t>, §</w:t>
      </w:r>
      <w:r w:rsidRPr="00CB791A">
        <w:rPr>
          <w:snapToGrid w:val="0"/>
        </w:rPr>
        <w:t xml:space="preserve"> 68)</w:t>
      </w:r>
      <w:r w:rsidRPr="00CB791A">
        <w:t>.</w:t>
      </w:r>
    </w:p>
    <w:p w:rsidRPr="00CB791A" w:rsidR="00B34B1B" w:rsidP="00CB791A" w:rsidRDefault="00B34B1B" w14:paraId="7C1FD82F" w14:textId="165B9F4A">
      <w:pPr>
        <w:pStyle w:val="JuH1"/>
      </w:pPr>
      <w:r w:rsidRPr="00CB791A">
        <w:t>L</w:t>
      </w:r>
      <w:r w:rsidRPr="00CB791A" w:rsidR="00CB791A">
        <w:t>’</w:t>
      </w:r>
      <w:r w:rsidRPr="00CB791A">
        <w:t>engagement de l</w:t>
      </w:r>
      <w:r w:rsidRPr="00CB791A" w:rsidR="00CB791A">
        <w:t>’</w:t>
      </w:r>
      <w:r w:rsidRPr="00CB791A">
        <w:t>État par le gouvernement défendeur</w:t>
      </w:r>
    </w:p>
    <w:p w:rsidRPr="00CB791A" w:rsidR="00B34B1B" w:rsidP="00CB791A" w:rsidRDefault="00B34B1B" w14:paraId="6CB56A83" w14:textId="3E9C4501">
      <w:pPr>
        <w:pStyle w:val="JuPara"/>
      </w:pPr>
      <w:r w:rsidRPr="00CB791A">
        <w:fldChar w:fldCharType="begin"/>
      </w:r>
      <w:r w:rsidRPr="00CB791A">
        <w:instrText xml:space="preserve"> SEQ level0 \*arabic </w:instrText>
      </w:r>
      <w:r w:rsidRPr="00CB791A">
        <w:fldChar w:fldCharType="separate"/>
      </w:r>
      <w:r w:rsidRPr="00CB791A" w:rsidR="00CB791A">
        <w:rPr>
          <w:noProof/>
        </w:rPr>
        <w:t>51</w:t>
      </w:r>
      <w:r w:rsidRPr="00CB791A">
        <w:fldChar w:fldCharType="end"/>
      </w:r>
      <w:r w:rsidRPr="00CB791A">
        <w:t>.  La Cour rappelle qu</w:t>
      </w:r>
      <w:r w:rsidRPr="00CB791A" w:rsidR="00CB791A">
        <w:t>’</w:t>
      </w:r>
      <w:r w:rsidRPr="00CB791A">
        <w:t>a</w:t>
      </w:r>
      <w:r w:rsidRPr="00CB791A">
        <w:rPr>
          <w:rFonts w:cstheme="minorHAnsi"/>
          <w:color w:val="000000"/>
        </w:rPr>
        <w:t>u regard de la Convention, seule se trouve en cause la responsabilité internationale de l</w:t>
      </w:r>
      <w:r w:rsidRPr="00CB791A" w:rsidR="00CB791A">
        <w:rPr>
          <w:rFonts w:cstheme="minorHAnsi"/>
          <w:color w:val="000000"/>
        </w:rPr>
        <w:t>’</w:t>
      </w:r>
      <w:r w:rsidRPr="00CB791A">
        <w:rPr>
          <w:rFonts w:cstheme="minorHAnsi"/>
          <w:color w:val="000000"/>
        </w:rPr>
        <w:t>État défendeur, quelle que soit l</w:t>
      </w:r>
      <w:r w:rsidRPr="00CB791A" w:rsidR="00CB791A">
        <w:rPr>
          <w:rFonts w:cstheme="minorHAnsi"/>
          <w:color w:val="000000"/>
        </w:rPr>
        <w:t>’</w:t>
      </w:r>
      <w:r w:rsidRPr="00CB791A">
        <w:rPr>
          <w:rFonts w:cstheme="minorHAnsi"/>
          <w:color w:val="000000"/>
        </w:rPr>
        <w:t>autorité nationale à laquelle est imputable le manquement allégué à la Convention dans le système interne (</w:t>
      </w:r>
      <w:proofErr w:type="spellStart"/>
      <w:r w:rsidRPr="00CB791A">
        <w:rPr>
          <w:i/>
        </w:rPr>
        <w:t>Assanidzé</w:t>
      </w:r>
      <w:proofErr w:type="spellEnd"/>
      <w:r w:rsidRPr="00CB791A">
        <w:rPr>
          <w:i/>
        </w:rPr>
        <w:t xml:space="preserve"> c.</w:t>
      </w:r>
      <w:r w:rsidRPr="00CB791A" w:rsidR="007850E1">
        <w:rPr>
          <w:i/>
        </w:rPr>
        <w:t> </w:t>
      </w:r>
      <w:r w:rsidRPr="00CB791A">
        <w:rPr>
          <w:i/>
        </w:rPr>
        <w:t>Géorgie</w:t>
      </w:r>
      <w:r w:rsidRPr="00CB791A">
        <w:t xml:space="preserve"> [GC], n</w:t>
      </w:r>
      <w:r w:rsidRPr="00CB791A">
        <w:rPr>
          <w:vertAlign w:val="superscript"/>
        </w:rPr>
        <w:t>o </w:t>
      </w:r>
      <w:r w:rsidRPr="00CB791A">
        <w:t>71503/01, § 146, CEDH 2004</w:t>
      </w:r>
      <w:r w:rsidRPr="00CB791A">
        <w:noBreakHyphen/>
        <w:t>II). La Cour ne saurait avoir pour interlocuteurs plusieurs autorités ou juridictions nationales (</w:t>
      </w:r>
      <w:r w:rsidRPr="00CB791A">
        <w:rPr>
          <w:i/>
          <w:iCs/>
        </w:rPr>
        <w:t>ibid.</w:t>
      </w:r>
      <w:r w:rsidRPr="00CB791A">
        <w:t>, §</w:t>
      </w:r>
      <w:r w:rsidRPr="00CB791A" w:rsidR="009A171A">
        <w:t> </w:t>
      </w:r>
      <w:r w:rsidRPr="00CB791A">
        <w:t xml:space="preserve">149 ; voir également </w:t>
      </w:r>
      <w:proofErr w:type="spellStart"/>
      <w:r w:rsidRPr="00CB791A">
        <w:rPr>
          <w:i/>
        </w:rPr>
        <w:t>Chamaïev</w:t>
      </w:r>
      <w:proofErr w:type="spellEnd"/>
      <w:r w:rsidRPr="00CB791A">
        <w:rPr>
          <w:i/>
        </w:rPr>
        <w:t xml:space="preserve"> et autres c. Géorgie et Russie</w:t>
      </w:r>
      <w:r w:rsidRPr="00CB791A">
        <w:t>, n</w:t>
      </w:r>
      <w:r w:rsidRPr="00CB791A">
        <w:rPr>
          <w:vertAlign w:val="superscript"/>
        </w:rPr>
        <w:t>o</w:t>
      </w:r>
      <w:r w:rsidRPr="00CB791A" w:rsidR="007850E1">
        <w:t> </w:t>
      </w:r>
      <w:r w:rsidRPr="00CB791A">
        <w:t>36378/02, § 498, CEDH 2005</w:t>
      </w:r>
      <w:r w:rsidRPr="00CB791A">
        <w:noBreakHyphen/>
        <w:t>III). Le gouvernement, qui représente l</w:t>
      </w:r>
      <w:r w:rsidRPr="00CB791A" w:rsidR="00CB791A">
        <w:t>’</w:t>
      </w:r>
      <w:r w:rsidRPr="00CB791A">
        <w:t>État devant la Cour, est donc habilité à prendre des engagements liant l</w:t>
      </w:r>
      <w:r w:rsidRPr="00CB791A" w:rsidR="00CB791A">
        <w:t>’</w:t>
      </w:r>
      <w:r w:rsidRPr="00CB791A">
        <w:t xml:space="preserve">État en tant que tel sur le plan international (voir, </w:t>
      </w:r>
      <w:r w:rsidRPr="00CB791A">
        <w:rPr>
          <w:i/>
          <w:iCs/>
        </w:rPr>
        <w:t>mutatis mutandis</w:t>
      </w:r>
      <w:r w:rsidRPr="00CB791A">
        <w:t xml:space="preserve">, </w:t>
      </w:r>
      <w:r w:rsidRPr="00CB791A">
        <w:rPr>
          <w:i/>
          <w:iCs/>
        </w:rPr>
        <w:t>Basra c.</w:t>
      </w:r>
      <w:r w:rsidRPr="00CB791A" w:rsidR="007850E1">
        <w:rPr>
          <w:i/>
          <w:iCs/>
        </w:rPr>
        <w:t> </w:t>
      </w:r>
      <w:r w:rsidRPr="00CB791A">
        <w:rPr>
          <w:i/>
          <w:iCs/>
        </w:rPr>
        <w:t>Belgique</w:t>
      </w:r>
      <w:r w:rsidRPr="00CB791A">
        <w:t xml:space="preserve"> (déc.), n</w:t>
      </w:r>
      <w:r w:rsidRPr="00CB791A">
        <w:rPr>
          <w:vertAlign w:val="superscript"/>
        </w:rPr>
        <w:t>o </w:t>
      </w:r>
      <w:r w:rsidRPr="00CB791A">
        <w:t>47232/17, § 13, 10 juillet 2018). Il incombe au gouvernement de s</w:t>
      </w:r>
      <w:r w:rsidRPr="00CB791A" w:rsidR="00CB791A">
        <w:t>’</w:t>
      </w:r>
      <w:r w:rsidRPr="00CB791A">
        <w:t>assurer, avant de prendre de tels engagements, que le droit interne lui permet de les prendre.</w:t>
      </w:r>
    </w:p>
    <w:p w:rsidRPr="00CB791A" w:rsidR="00B34B1B" w:rsidP="00CB791A" w:rsidRDefault="00B34B1B" w14:paraId="06C40753" w14:textId="77777777">
      <w:pPr>
        <w:pStyle w:val="JuH1"/>
      </w:pPr>
      <w:r w:rsidRPr="00CB791A">
        <w:t>La réinscription de la requête au rôle</w:t>
      </w:r>
    </w:p>
    <w:p w:rsidRPr="00CB791A" w:rsidR="00B34B1B" w:rsidP="00CB791A" w:rsidRDefault="00B34B1B" w14:paraId="2959A5A3" w14:textId="3AF1F4BB">
      <w:pPr>
        <w:pStyle w:val="JuPara"/>
      </w:pPr>
      <w:r w:rsidRPr="00CB791A">
        <w:fldChar w:fldCharType="begin"/>
      </w:r>
      <w:r w:rsidRPr="00CB791A">
        <w:instrText xml:space="preserve"> SEQ level0 \*arabic </w:instrText>
      </w:r>
      <w:r w:rsidRPr="00CB791A">
        <w:fldChar w:fldCharType="separate"/>
      </w:r>
      <w:r w:rsidRPr="00CB791A" w:rsidR="00CB791A">
        <w:rPr>
          <w:noProof/>
        </w:rPr>
        <w:t>52</w:t>
      </w:r>
      <w:r w:rsidRPr="00CB791A">
        <w:fldChar w:fldCharType="end"/>
      </w:r>
      <w:r w:rsidRPr="00CB791A">
        <w:rPr>
          <w:rFonts w:cstheme="minorHAnsi"/>
          <w:color w:val="000000"/>
        </w:rPr>
        <w:t>.  Même lorsqu</w:t>
      </w:r>
      <w:r w:rsidRPr="00CB791A" w:rsidR="00CB791A">
        <w:rPr>
          <w:rFonts w:cstheme="minorHAnsi"/>
          <w:color w:val="000000"/>
        </w:rPr>
        <w:t>’</w:t>
      </w:r>
      <w:r w:rsidRPr="00CB791A">
        <w:rPr>
          <w:rFonts w:cstheme="minorHAnsi"/>
          <w:color w:val="000000"/>
        </w:rPr>
        <w:t>elle accepte une déclaration unilatérale et décide de rayer du rôle tout ou partie d</w:t>
      </w:r>
      <w:r w:rsidRPr="00CB791A" w:rsidR="00CB791A">
        <w:rPr>
          <w:rFonts w:cstheme="minorHAnsi"/>
          <w:color w:val="000000"/>
        </w:rPr>
        <w:t>’</w:t>
      </w:r>
      <w:r w:rsidRPr="00CB791A">
        <w:rPr>
          <w:rFonts w:cstheme="minorHAnsi"/>
          <w:color w:val="000000"/>
        </w:rPr>
        <w:t>une requête, la Cour se réserve le droit de réinscrire celle-ci (ou, le cas échéant, une partie de celle-ci) au rôle, conformément à l</w:t>
      </w:r>
      <w:r w:rsidRPr="00CB791A" w:rsidR="00CB791A">
        <w:rPr>
          <w:rFonts w:cstheme="minorHAnsi"/>
          <w:color w:val="000000"/>
        </w:rPr>
        <w:t>’</w:t>
      </w:r>
      <w:r w:rsidRPr="00CB791A">
        <w:rPr>
          <w:rFonts w:cstheme="minorHAnsi"/>
          <w:color w:val="000000"/>
        </w:rPr>
        <w:t>article 37 § 2 de la Convention (</w:t>
      </w:r>
      <w:proofErr w:type="spellStart"/>
      <w:r w:rsidRPr="00CB791A">
        <w:rPr>
          <w:i/>
        </w:rPr>
        <w:t>Jeronovičs</w:t>
      </w:r>
      <w:proofErr w:type="spellEnd"/>
      <w:r w:rsidRPr="00CB791A">
        <w:t>, précité, § 67</w:t>
      </w:r>
      <w:r w:rsidRPr="00CB791A">
        <w:rPr>
          <w:rFonts w:cstheme="minorHAnsi"/>
          <w:color w:val="000000"/>
        </w:rPr>
        <w:t>).</w:t>
      </w:r>
    </w:p>
    <w:p w:rsidRPr="00CB791A" w:rsidR="00B34B1B" w:rsidP="00CB791A" w:rsidRDefault="00B34B1B" w14:paraId="6F3437AD" w14:textId="00090B4B">
      <w:pPr>
        <w:pStyle w:val="JuPara"/>
      </w:pPr>
      <w:r w:rsidRPr="00CB791A">
        <w:fldChar w:fldCharType="begin"/>
      </w:r>
      <w:r w:rsidRPr="00CB791A">
        <w:instrText xml:space="preserve"> SEQ level0 \*arabic </w:instrText>
      </w:r>
      <w:r w:rsidRPr="00CB791A">
        <w:fldChar w:fldCharType="separate"/>
      </w:r>
      <w:r w:rsidRPr="00CB791A" w:rsidR="00CB791A">
        <w:rPr>
          <w:noProof/>
        </w:rPr>
        <w:t>53</w:t>
      </w:r>
      <w:r w:rsidRPr="00CB791A">
        <w:fldChar w:fldCharType="end"/>
      </w:r>
      <w:r w:rsidRPr="00CB791A">
        <w:t>.  </w:t>
      </w:r>
      <w:r w:rsidRPr="00CB791A">
        <w:rPr>
          <w:rFonts w:cstheme="minorHAnsi"/>
          <w:color w:val="000000"/>
        </w:rPr>
        <w:t>Après la décision de radiation, la Cour peut être amenée à superviser la mise en œuvre des engagements du gouvernement et à examiner s</w:t>
      </w:r>
      <w:r w:rsidRPr="00CB791A" w:rsidR="00CB791A">
        <w:rPr>
          <w:rFonts w:cstheme="minorHAnsi"/>
          <w:color w:val="000000"/>
        </w:rPr>
        <w:t>’</w:t>
      </w:r>
      <w:r w:rsidRPr="00CB791A">
        <w:rPr>
          <w:rFonts w:cstheme="minorHAnsi"/>
          <w:color w:val="000000"/>
        </w:rPr>
        <w:t>il existe des « circonstances exceptionnelles » (article 43 § 5 de son règlement) justifiant la réinscription de la requête au rôle (</w:t>
      </w:r>
      <w:proofErr w:type="spellStart"/>
      <w:r w:rsidRPr="00CB791A">
        <w:rPr>
          <w:i/>
        </w:rPr>
        <w:t>Jeronovičs</w:t>
      </w:r>
      <w:proofErr w:type="spellEnd"/>
      <w:r w:rsidRPr="00CB791A">
        <w:t xml:space="preserve">, précité, § 69 ; </w:t>
      </w:r>
      <w:r w:rsidRPr="00CB791A">
        <w:rPr>
          <w:rFonts w:cstheme="minorHAnsi"/>
          <w:color w:val="000000"/>
        </w:rPr>
        <w:t xml:space="preserve">pour un exemple, </w:t>
      </w:r>
      <w:proofErr w:type="spellStart"/>
      <w:r w:rsidRPr="00CB791A">
        <w:rPr>
          <w:i/>
        </w:rPr>
        <w:t>Alexentseva</w:t>
      </w:r>
      <w:proofErr w:type="spellEnd"/>
      <w:r w:rsidRPr="00CB791A">
        <w:rPr>
          <w:i/>
        </w:rPr>
        <w:t xml:space="preserve"> et autres c.</w:t>
      </w:r>
      <w:r w:rsidRPr="00CB791A" w:rsidR="007850E1">
        <w:rPr>
          <w:i/>
        </w:rPr>
        <w:t> </w:t>
      </w:r>
      <w:r w:rsidRPr="00CB791A">
        <w:rPr>
          <w:i/>
        </w:rPr>
        <w:t>Russie</w:t>
      </w:r>
      <w:r w:rsidRPr="00CB791A">
        <w:t xml:space="preserve"> (déc.), n</w:t>
      </w:r>
      <w:r w:rsidRPr="00CB791A">
        <w:rPr>
          <w:vertAlign w:val="superscript"/>
        </w:rPr>
        <w:t>os </w:t>
      </w:r>
      <w:r w:rsidRPr="00CB791A">
        <w:t>75025/01 et 18 autres, 23 mars 2006).</w:t>
      </w:r>
    </w:p>
    <w:p w:rsidRPr="00CB791A" w:rsidR="00B34B1B" w:rsidP="00CB791A" w:rsidRDefault="00B34B1B" w14:paraId="4148E368" w14:textId="6B2ECCCF">
      <w:pPr>
        <w:pStyle w:val="JuHA"/>
      </w:pPr>
      <w:r w:rsidRPr="00CB791A">
        <w:t>Le cas d</w:t>
      </w:r>
      <w:r w:rsidRPr="00CB791A" w:rsidR="00CB791A">
        <w:t>’</w:t>
      </w:r>
      <w:r w:rsidRPr="00CB791A">
        <w:t>espèce</w:t>
      </w:r>
    </w:p>
    <w:bookmarkStart w:name="BCas" w:id="37"/>
    <w:p w:rsidRPr="00CB791A" w:rsidR="00B34B1B" w:rsidP="00CB791A" w:rsidRDefault="00B34B1B" w14:paraId="2448D47D" w14:textId="54DDA64E">
      <w:pPr>
        <w:pStyle w:val="JuPara"/>
      </w:pPr>
      <w:r w:rsidRPr="00CB791A">
        <w:fldChar w:fldCharType="begin"/>
      </w:r>
      <w:r w:rsidRPr="00CB791A">
        <w:instrText xml:space="preserve"> SEQ level0 \*arabic </w:instrText>
      </w:r>
      <w:r w:rsidRPr="00CB791A">
        <w:fldChar w:fldCharType="separate"/>
      </w:r>
      <w:r w:rsidRPr="00CB791A" w:rsidR="00CB791A">
        <w:rPr>
          <w:noProof/>
        </w:rPr>
        <w:t>54</w:t>
      </w:r>
      <w:r w:rsidRPr="00CB791A">
        <w:fldChar w:fldCharType="end"/>
      </w:r>
      <w:bookmarkEnd w:id="37"/>
      <w:r w:rsidRPr="00CB791A">
        <w:t>.  En l</w:t>
      </w:r>
      <w:r w:rsidRPr="00CB791A" w:rsidR="00CB791A">
        <w:t>’</w:t>
      </w:r>
      <w:r w:rsidRPr="00CB791A">
        <w:t>espèce, par sa déclaration du 5 septembre 2017, le Gouvernement a reconnu « que le rejet par la Cour de cassation des pourvois des requérants comme étant irrecevables au motif que l</w:t>
      </w:r>
      <w:r w:rsidRPr="00CB791A" w:rsidR="00CB791A">
        <w:t>’</w:t>
      </w:r>
      <w:r w:rsidRPr="00CB791A">
        <w:t>avocat signataire n</w:t>
      </w:r>
      <w:r w:rsidRPr="00CB791A" w:rsidR="00CB791A">
        <w:t>’</w:t>
      </w:r>
      <w:r w:rsidRPr="00CB791A">
        <w:t>avait pas mentionné être titulaire de l</w:t>
      </w:r>
      <w:r w:rsidRPr="00CB791A" w:rsidR="00CB791A">
        <w:t>’</w:t>
      </w:r>
      <w:r w:rsidRPr="00CB791A">
        <w:t>attestation de formation requise n</w:t>
      </w:r>
      <w:r w:rsidRPr="00CB791A" w:rsidR="00CB791A">
        <w:t>’</w:t>
      </w:r>
      <w:r w:rsidRPr="00CB791A">
        <w:t>a pas garanti le respect de leur droit d</w:t>
      </w:r>
      <w:r w:rsidRPr="00CB791A" w:rsidR="00CB791A">
        <w:t>’</w:t>
      </w:r>
      <w:r w:rsidRPr="00CB791A">
        <w:t>accès à un tribunal tel que prévu par l</w:t>
      </w:r>
      <w:r w:rsidRPr="00CB791A" w:rsidR="00CB791A">
        <w:t>’</w:t>
      </w:r>
      <w:r w:rsidRPr="00CB791A">
        <w:t>article 6 de la Convention ». Il s</w:t>
      </w:r>
      <w:r w:rsidRPr="00CB791A" w:rsidR="00CB791A">
        <w:t>’</w:t>
      </w:r>
      <w:r w:rsidRPr="00CB791A">
        <w:t xml:space="preserve">est en outre engagé à verser à chacun des requérants la somme de 8 000 euros, somme qui couvrirait le préjudice moral ainsi que les frais et dépens (paragraphe </w:t>
      </w:r>
      <w:r w:rsidRPr="00CB791A">
        <w:fldChar w:fldCharType="begin"/>
      </w:r>
      <w:r w:rsidRPr="00CB791A">
        <w:instrText xml:space="preserve"> REF FaitsDU1 \h </w:instrText>
      </w:r>
      <w:r w:rsidRPr="00CB791A">
        <w:fldChar w:fldCharType="separate"/>
      </w:r>
      <w:r w:rsidRPr="00CB791A" w:rsidR="00CB791A">
        <w:rPr>
          <w:noProof/>
          <w:color w:val="000000"/>
        </w:rPr>
        <w:t>15</w:t>
      </w:r>
      <w:r w:rsidRPr="00CB791A">
        <w:fldChar w:fldCharType="end"/>
      </w:r>
      <w:r w:rsidRPr="00CB791A">
        <w:t xml:space="preserve"> ci-dessus).</w:t>
      </w:r>
    </w:p>
    <w:p w:rsidRPr="00CB791A" w:rsidR="00B34B1B" w:rsidP="00CB791A" w:rsidRDefault="00E068C6" w14:paraId="190C92BC" w14:textId="1C0119EA">
      <w:pPr>
        <w:pStyle w:val="JuPara"/>
        <w:rPr>
          <w:rFonts w:cstheme="minorHAnsi"/>
          <w:color w:val="000000"/>
        </w:rPr>
      </w:pPr>
      <w:fldSimple w:instr=" SEQ level0 \*arabic \* MERGEFORMAT ">
        <w:r w:rsidRPr="00CB791A" w:rsidR="00CB791A">
          <w:rPr>
            <w:noProof/>
          </w:rPr>
          <w:t>55</w:t>
        </w:r>
      </w:fldSimple>
      <w:r w:rsidRPr="00CB791A" w:rsidR="00B34B1B">
        <w:t>.  Par sa décision du 13 mars 2018, la Cour a pris acte de la déclaration du Gouvernement. Se référant aux doutes des requérants quant à la possibilité d</w:t>
      </w:r>
      <w:r w:rsidRPr="00CB791A" w:rsidR="00CB791A">
        <w:t>’</w:t>
      </w:r>
      <w:r w:rsidRPr="00CB791A" w:rsidR="00B34B1B">
        <w:t>obtenir une réouverture de la procédure interne sur la base de la déclaration unilatérale et aux informations fournies par le Gouvernement, la Cour a d</w:t>
      </w:r>
      <w:r w:rsidRPr="00CB791A" w:rsidR="00CB791A">
        <w:t>’</w:t>
      </w:r>
      <w:r w:rsidRPr="00CB791A" w:rsidR="00B34B1B">
        <w:t>abord rappelé que la réouverture de la procédure constituait un moyen approprié d</w:t>
      </w:r>
      <w:r w:rsidRPr="00CB791A" w:rsidR="00CB791A">
        <w:t>’</w:t>
      </w:r>
      <w:r w:rsidRPr="00CB791A" w:rsidR="00B34B1B">
        <w:t xml:space="preserve">assurer la </w:t>
      </w:r>
      <w:proofErr w:type="spellStart"/>
      <w:r w:rsidRPr="00CB791A" w:rsidR="00B34B1B">
        <w:rPr>
          <w:i/>
          <w:iCs/>
        </w:rPr>
        <w:t>restitutio</w:t>
      </w:r>
      <w:proofErr w:type="spellEnd"/>
      <w:r w:rsidRPr="00CB791A" w:rsidR="00B34B1B">
        <w:rPr>
          <w:i/>
          <w:iCs/>
        </w:rPr>
        <w:t xml:space="preserve"> in integrum</w:t>
      </w:r>
      <w:r w:rsidRPr="00CB791A" w:rsidR="00B34B1B">
        <w:t xml:space="preserve"> et de redresser les violations du droit à un procès équitable (paragraphe</w:t>
      </w:r>
      <w:r w:rsidRPr="00CB791A" w:rsidR="007850E1">
        <w:t> </w:t>
      </w:r>
      <w:r w:rsidRPr="00CB791A" w:rsidR="00B34B1B">
        <w:t xml:space="preserve">18 de la décision précitée, cité au paragraphe </w:t>
      </w:r>
      <w:r w:rsidRPr="00CB791A" w:rsidR="00B34B1B">
        <w:fldChar w:fldCharType="begin"/>
      </w:r>
      <w:r w:rsidRPr="00CB791A" w:rsidR="00B34B1B">
        <w:instrText xml:space="preserve"> REF FaitsDec13032018RadiationBis \h </w:instrText>
      </w:r>
      <w:r w:rsidRPr="00CB791A" w:rsidR="00B34B1B">
        <w:fldChar w:fldCharType="separate"/>
      </w:r>
      <w:r w:rsidRPr="00CB791A" w:rsidR="00CB791A">
        <w:rPr>
          <w:noProof/>
        </w:rPr>
        <w:t>20</w:t>
      </w:r>
      <w:r w:rsidRPr="00CB791A" w:rsidR="00B34B1B">
        <w:fldChar w:fldCharType="end"/>
      </w:r>
      <w:r w:rsidRPr="00CB791A" w:rsidR="00B34B1B">
        <w:t xml:space="preserve"> ci-dessus). Puis, elle a noté qu</w:t>
      </w:r>
      <w:r w:rsidRPr="00CB791A" w:rsidR="00CB791A">
        <w:t>’</w:t>
      </w:r>
      <w:r w:rsidRPr="00CB791A" w:rsidR="00B34B1B">
        <w:t>en l</w:t>
      </w:r>
      <w:r w:rsidRPr="00CB791A" w:rsidR="00CB791A">
        <w:t>’</w:t>
      </w:r>
      <w:r w:rsidRPr="00CB791A" w:rsidR="00B34B1B">
        <w:t>espèce, il ne pouvait pas être soutenu que les termes de la déclaration unilatérale « ne satisfont par principe pas aux conditions de recevabilité prévues par l</w:t>
      </w:r>
      <w:r w:rsidRPr="00CB791A" w:rsidR="00CB791A">
        <w:t>’</w:t>
      </w:r>
      <w:r w:rsidRPr="00CB791A" w:rsidR="00B34B1B">
        <w:t>article</w:t>
      </w:r>
      <w:r w:rsidRPr="00CB791A" w:rsidR="009A171A">
        <w:t> </w:t>
      </w:r>
      <w:r w:rsidRPr="00CB791A" w:rsidR="00B34B1B">
        <w:t>442</w:t>
      </w:r>
      <w:r w:rsidRPr="00CB791A" w:rsidR="00B34B1B">
        <w:rPr>
          <w:i/>
          <w:iCs/>
        </w:rPr>
        <w:t>bis</w:t>
      </w:r>
      <w:r w:rsidRPr="00CB791A" w:rsidR="00B34B1B">
        <w:t xml:space="preserve"> CIC, </w:t>
      </w:r>
      <w:r w:rsidRPr="00CB791A" w:rsidR="00B34B1B">
        <w:rPr>
          <w:i/>
          <w:iCs/>
        </w:rPr>
        <w:t>in fine</w:t>
      </w:r>
      <w:r w:rsidRPr="00CB791A" w:rsidR="00B34B1B">
        <w:t>, en cas de radiation de l</w:t>
      </w:r>
      <w:r w:rsidRPr="00CB791A" w:rsidR="00CB791A">
        <w:t>’</w:t>
      </w:r>
      <w:r w:rsidRPr="00CB791A" w:rsidR="00B34B1B">
        <w:t>affaire du rôle sur la base de ladite déclaration ». Elle reconnaissait toutefois « que l</w:t>
      </w:r>
      <w:r w:rsidRPr="00CB791A" w:rsidR="00CB791A">
        <w:t>’</w:t>
      </w:r>
      <w:r w:rsidRPr="00CB791A" w:rsidR="00B34B1B">
        <w:t>appréciation de l</w:t>
      </w:r>
      <w:r w:rsidRPr="00CB791A" w:rsidR="00CB791A">
        <w:t>’</w:t>
      </w:r>
      <w:r w:rsidRPr="00CB791A" w:rsidR="00B34B1B">
        <w:t>octroi d</w:t>
      </w:r>
      <w:r w:rsidRPr="00CB791A" w:rsidR="00CB791A">
        <w:t>’</w:t>
      </w:r>
      <w:r w:rsidRPr="00CB791A" w:rsidR="00B34B1B">
        <w:t>une réouverture relève en tout état de cause du pouvoir de la Cour de cassation » (paragraphe 19 de la décision précitée, cité au paragraphe</w:t>
      </w:r>
      <w:r w:rsidRPr="00CB791A" w:rsidR="007850E1">
        <w:t> </w:t>
      </w:r>
      <w:r w:rsidRPr="00CB791A" w:rsidR="00B34B1B">
        <w:fldChar w:fldCharType="begin"/>
      </w:r>
      <w:r w:rsidRPr="00CB791A" w:rsidR="00B34B1B">
        <w:instrText xml:space="preserve"> REF FaitsDec13032018RadiationBis \h </w:instrText>
      </w:r>
      <w:r w:rsidRPr="00CB791A" w:rsidR="00B34B1B">
        <w:fldChar w:fldCharType="separate"/>
      </w:r>
      <w:r w:rsidRPr="00CB791A" w:rsidR="00CB791A">
        <w:rPr>
          <w:noProof/>
        </w:rPr>
        <w:t>20</w:t>
      </w:r>
      <w:r w:rsidRPr="00CB791A" w:rsidR="00B34B1B">
        <w:fldChar w:fldCharType="end"/>
      </w:r>
      <w:r w:rsidRPr="00CB791A" w:rsidR="00B34B1B">
        <w:t xml:space="preserve"> ci</w:t>
      </w:r>
      <w:r w:rsidRPr="00CB791A" w:rsidR="00B34B1B">
        <w:noBreakHyphen/>
        <w:t>dessus). En d</w:t>
      </w:r>
      <w:r w:rsidRPr="00CB791A" w:rsidR="00CB791A">
        <w:t>’</w:t>
      </w:r>
      <w:r w:rsidRPr="00CB791A" w:rsidR="00B34B1B">
        <w:t>autres mots, la Cour estimait qu</w:t>
      </w:r>
      <w:r w:rsidRPr="00CB791A" w:rsidR="00CB791A">
        <w:t>’</w:t>
      </w:r>
      <w:r w:rsidRPr="00CB791A" w:rsidR="00B34B1B">
        <w:t>une réouverture de la procédure n</w:t>
      </w:r>
      <w:r w:rsidRPr="00CB791A" w:rsidR="00CB791A">
        <w:t>’</w:t>
      </w:r>
      <w:r w:rsidRPr="00CB791A" w:rsidR="00B34B1B">
        <w:t>était pas exclue par les conditions de recevabilité prévues par l</w:t>
      </w:r>
      <w:r w:rsidRPr="00CB791A" w:rsidR="00CB791A">
        <w:t>’</w:t>
      </w:r>
      <w:r w:rsidRPr="00CB791A" w:rsidR="00B34B1B">
        <w:t>article</w:t>
      </w:r>
      <w:r w:rsidRPr="00CB791A" w:rsidR="007850E1">
        <w:t> </w:t>
      </w:r>
      <w:r w:rsidRPr="00CB791A" w:rsidR="00B34B1B">
        <w:t>442</w:t>
      </w:r>
      <w:r w:rsidRPr="00CB791A" w:rsidR="00B34B1B">
        <w:rPr>
          <w:i/>
          <w:iCs/>
        </w:rPr>
        <w:t>bis</w:t>
      </w:r>
      <w:r w:rsidRPr="00CB791A" w:rsidR="00B34B1B">
        <w:t xml:space="preserve"> du CIC, mais que la réouverture effective dépendait d</w:t>
      </w:r>
      <w:r w:rsidRPr="00CB791A" w:rsidR="00CB791A">
        <w:t>’</w:t>
      </w:r>
      <w:r w:rsidRPr="00CB791A" w:rsidR="00B34B1B">
        <w:t>une décision de la Cour de cassation. Celle-ci disposait à cet égard d</w:t>
      </w:r>
      <w:r w:rsidRPr="00CB791A" w:rsidR="00CB791A">
        <w:t>’</w:t>
      </w:r>
      <w:r w:rsidRPr="00CB791A" w:rsidR="00B34B1B">
        <w:t>un certain pouvoir d</w:t>
      </w:r>
      <w:r w:rsidRPr="00CB791A" w:rsidR="00CB791A">
        <w:t>’</w:t>
      </w:r>
      <w:r w:rsidRPr="00CB791A" w:rsidR="00B34B1B">
        <w:t>appréciation, eu égard aux critères fixés à l</w:t>
      </w:r>
      <w:r w:rsidRPr="00CB791A" w:rsidR="00CB791A">
        <w:t>’</w:t>
      </w:r>
      <w:r w:rsidRPr="00CB791A" w:rsidR="00B34B1B">
        <w:t>article</w:t>
      </w:r>
      <w:r w:rsidRPr="00CB791A" w:rsidR="007850E1">
        <w:t> </w:t>
      </w:r>
      <w:r w:rsidRPr="00CB791A" w:rsidR="00B34B1B">
        <w:t>442</w:t>
      </w:r>
      <w:r w:rsidRPr="00CB791A" w:rsidR="00B34B1B">
        <w:rPr>
          <w:i/>
          <w:iCs/>
        </w:rPr>
        <w:t>quinquies</w:t>
      </w:r>
      <w:r w:rsidRPr="00CB791A" w:rsidR="00B34B1B">
        <w:t xml:space="preserve"> du CIC (paragraphe </w:t>
      </w:r>
      <w:r w:rsidRPr="00CB791A" w:rsidR="00B34B1B">
        <w:rPr>
          <w:rFonts w:eastAsiaTheme="minorEastAsia"/>
        </w:rPr>
        <w:fldChar w:fldCharType="begin"/>
      </w:r>
      <w:r w:rsidRPr="00CB791A" w:rsidR="00B34B1B">
        <w:instrText xml:space="preserve"> REF CIC442ter \h </w:instrText>
      </w:r>
      <w:r w:rsidRPr="00CB791A" w:rsidR="00B34B1B">
        <w:rPr>
          <w:rFonts w:eastAsiaTheme="minorEastAsia"/>
        </w:rPr>
      </w:r>
      <w:r w:rsidRPr="00CB791A" w:rsidR="00B34B1B">
        <w:rPr>
          <w:rFonts w:eastAsiaTheme="minorEastAsia"/>
        </w:rPr>
        <w:fldChar w:fldCharType="separate"/>
      </w:r>
      <w:r w:rsidRPr="00CB791A" w:rsidR="00CB791A">
        <w:rPr>
          <w:rFonts w:eastAsiaTheme="minorEastAsia"/>
          <w:noProof/>
        </w:rPr>
        <w:t>38</w:t>
      </w:r>
      <w:r w:rsidRPr="00CB791A" w:rsidR="00B34B1B">
        <w:rPr>
          <w:rFonts w:eastAsiaTheme="minorEastAsia"/>
        </w:rPr>
        <w:fldChar w:fldCharType="end"/>
      </w:r>
      <w:r w:rsidRPr="00CB791A" w:rsidR="00B34B1B">
        <w:t xml:space="preserve"> </w:t>
      </w:r>
      <w:r w:rsidRPr="00CB791A" w:rsidR="00B34B1B">
        <w:rPr>
          <w:rFonts w:eastAsiaTheme="minorEastAsia"/>
        </w:rPr>
        <w:t>ci-dessus)</w:t>
      </w:r>
      <w:r w:rsidRPr="00CB791A" w:rsidR="00B34B1B">
        <w:t xml:space="preserve">. </w:t>
      </w:r>
      <w:r w:rsidRPr="00CB791A" w:rsidR="00B34B1B">
        <w:rPr>
          <w:rFonts w:cstheme="minorHAnsi"/>
          <w:color w:val="000000"/>
        </w:rPr>
        <w:t>À la fin de sa décision, la Cour a indiqué qu</w:t>
      </w:r>
      <w:r w:rsidRPr="00CB791A" w:rsidR="00CB791A">
        <w:rPr>
          <w:rFonts w:cstheme="minorHAnsi"/>
          <w:color w:val="000000"/>
        </w:rPr>
        <w:t>’</w:t>
      </w:r>
      <w:r w:rsidRPr="00CB791A" w:rsidR="00B34B1B">
        <w:rPr>
          <w:rFonts w:cstheme="minorHAnsi"/>
          <w:color w:val="000000"/>
        </w:rPr>
        <w:t xml:space="preserve">elle pouvait réinscrire les requêtes au rôle dans le cas où le Gouvernement ne respecterait pas les termes de sa déclaration unilatérale </w:t>
      </w:r>
      <w:r w:rsidRPr="00CB791A" w:rsidR="00B34B1B">
        <w:t>(paragraphe</w:t>
      </w:r>
      <w:r w:rsidRPr="00CB791A" w:rsidR="007850E1">
        <w:t> </w:t>
      </w:r>
      <w:r w:rsidRPr="00CB791A" w:rsidR="00B34B1B">
        <w:t>24 de la décision précitée, cité au paragraphe</w:t>
      </w:r>
      <w:r w:rsidRPr="00CB791A" w:rsidR="009A171A">
        <w:t> </w:t>
      </w:r>
      <w:r w:rsidRPr="00CB791A" w:rsidR="00B34B1B">
        <w:fldChar w:fldCharType="begin"/>
      </w:r>
      <w:r w:rsidRPr="00CB791A" w:rsidR="00B34B1B">
        <w:instrText xml:space="preserve"> REF C \h </w:instrText>
      </w:r>
      <w:r w:rsidRPr="00CB791A" w:rsidR="00B34B1B">
        <w:fldChar w:fldCharType="separate"/>
      </w:r>
      <w:r w:rsidRPr="00CB791A" w:rsidR="00CB791A">
        <w:rPr>
          <w:rFonts w:eastAsiaTheme="minorEastAsia"/>
          <w:noProof/>
          <w:szCs w:val="22"/>
        </w:rPr>
        <w:t>21</w:t>
      </w:r>
      <w:r w:rsidRPr="00CB791A" w:rsidR="00B34B1B">
        <w:fldChar w:fldCharType="end"/>
      </w:r>
      <w:r w:rsidRPr="00CB791A" w:rsidR="00B34B1B">
        <w:t xml:space="preserve"> ci-dessus)</w:t>
      </w:r>
      <w:r w:rsidRPr="00CB791A" w:rsidR="00B34B1B">
        <w:rPr>
          <w:rFonts w:cstheme="minorHAnsi"/>
          <w:color w:val="000000"/>
        </w:rPr>
        <w:t>.</w:t>
      </w:r>
    </w:p>
    <w:bookmarkStart w:name="N" w:id="38"/>
    <w:p w:rsidRPr="00CB791A" w:rsidR="00B34B1B" w:rsidP="00CB791A" w:rsidRDefault="00B34B1B" w14:paraId="1265E92D" w14:textId="7418C7A3">
      <w:pPr>
        <w:pStyle w:val="JuPara"/>
      </w:pPr>
      <w:r w:rsidRPr="00CB791A">
        <w:fldChar w:fldCharType="begin"/>
      </w:r>
      <w:r w:rsidRPr="00CB791A">
        <w:instrText xml:space="preserve"> SEQ level0 \*arabic </w:instrText>
      </w:r>
      <w:r w:rsidRPr="00CB791A">
        <w:fldChar w:fldCharType="separate"/>
      </w:r>
      <w:r w:rsidRPr="00CB791A" w:rsidR="00CB791A">
        <w:rPr>
          <w:noProof/>
        </w:rPr>
        <w:t>56</w:t>
      </w:r>
      <w:r w:rsidRPr="00CB791A">
        <w:fldChar w:fldCharType="end"/>
      </w:r>
      <w:bookmarkEnd w:id="38"/>
      <w:r w:rsidRPr="00CB791A">
        <w:t xml:space="preserve">.  La présente affaire soulève la question de savoir quels sont les effets de la déclaration faite par le Gouvernement et de la décision de la Cour prenant acte de cette déclaration (paragraphe </w:t>
      </w:r>
      <w:r w:rsidRPr="00CB791A">
        <w:fldChar w:fldCharType="begin"/>
      </w:r>
      <w:r w:rsidRPr="00CB791A">
        <w:instrText xml:space="preserve"> REF D \h </w:instrText>
      </w:r>
      <w:r w:rsidRPr="00CB791A">
        <w:fldChar w:fldCharType="separate"/>
      </w:r>
      <w:r w:rsidRPr="00CB791A" w:rsidR="00CB791A">
        <w:rPr>
          <w:noProof/>
        </w:rPr>
        <w:t>45</w:t>
      </w:r>
      <w:r w:rsidRPr="00CB791A">
        <w:fldChar w:fldCharType="end"/>
      </w:r>
      <w:r w:rsidRPr="00CB791A">
        <w:t xml:space="preserve"> ci-dessus). La particularité de la déclaration litigieuse est qu</w:t>
      </w:r>
      <w:r w:rsidRPr="00CB791A" w:rsidR="00CB791A">
        <w:t>’</w:t>
      </w:r>
      <w:r w:rsidRPr="00CB791A">
        <w:t>elle a été faite par le Gouvernement, mais que sa mise en œuvre dépendait en partie d</w:t>
      </w:r>
      <w:r w:rsidRPr="00CB791A" w:rsidR="00CB791A">
        <w:t>’</w:t>
      </w:r>
      <w:r w:rsidRPr="00CB791A">
        <w:t>une décision à prendre par un organe du pouvoir judiciaire, en l</w:t>
      </w:r>
      <w:r w:rsidRPr="00CB791A" w:rsidR="00CB791A">
        <w:t>’</w:t>
      </w:r>
      <w:r w:rsidRPr="00CB791A">
        <w:t>espèce la Cour de cassation. Celle-ci a estimé qu</w:t>
      </w:r>
      <w:r w:rsidRPr="00CB791A" w:rsidR="00CB791A">
        <w:t>’</w:t>
      </w:r>
      <w:r w:rsidRPr="00CB791A">
        <w:t>elle n</w:t>
      </w:r>
      <w:r w:rsidRPr="00CB791A" w:rsidR="00CB791A">
        <w:t>’</w:t>
      </w:r>
      <w:r w:rsidRPr="00CB791A">
        <w:t>était liée ni par la déclaration unilatérale du Gouvernement ni par la décision de la Cour qui en avait pris acte (considérants 3 et 4 de l</w:t>
      </w:r>
      <w:r w:rsidRPr="00CB791A" w:rsidR="00CB791A">
        <w:t>’</w:t>
      </w:r>
      <w:r w:rsidRPr="00CB791A">
        <w:t>arrêt du 7 novembre 2018, cités au paragraphe</w:t>
      </w:r>
      <w:r w:rsidRPr="00CB791A" w:rsidR="007850E1">
        <w:t> </w:t>
      </w:r>
      <w:r w:rsidRPr="00CB791A">
        <w:fldChar w:fldCharType="begin"/>
      </w:r>
      <w:r w:rsidRPr="00CB791A">
        <w:instrText xml:space="preserve"> REF E \h  \* MERGEFORMAT </w:instrText>
      </w:r>
      <w:r w:rsidRPr="00CB791A">
        <w:fldChar w:fldCharType="separate"/>
      </w:r>
      <w:r w:rsidRPr="00CB791A" w:rsidR="00CB791A">
        <w:t>25</w:t>
      </w:r>
      <w:r w:rsidRPr="00CB791A">
        <w:fldChar w:fldCharType="end"/>
      </w:r>
      <w:r w:rsidRPr="00CB791A">
        <w:t xml:space="preserve"> du présent arrêt).</w:t>
      </w:r>
    </w:p>
    <w:bookmarkStart w:name="K" w:id="39"/>
    <w:p w:rsidRPr="00CB791A" w:rsidR="00B34B1B" w:rsidP="00CB791A" w:rsidRDefault="00B34B1B" w14:paraId="6AAF23A2" w14:textId="392CCF99">
      <w:pPr>
        <w:pStyle w:val="JuPara"/>
        <w:rPr>
          <w:rFonts w:cstheme="minorHAnsi"/>
          <w:bCs/>
        </w:rPr>
      </w:pPr>
      <w:r w:rsidRPr="00CB791A">
        <w:fldChar w:fldCharType="begin"/>
      </w:r>
      <w:r w:rsidRPr="00CB791A">
        <w:instrText xml:space="preserve"> SEQ level0 \*arabic \* MERGEFORMAT </w:instrText>
      </w:r>
      <w:r w:rsidRPr="00CB791A">
        <w:fldChar w:fldCharType="separate"/>
      </w:r>
      <w:r w:rsidRPr="00CB791A" w:rsidR="00CB791A">
        <w:rPr>
          <w:noProof/>
        </w:rPr>
        <w:t>57</w:t>
      </w:r>
      <w:r w:rsidRPr="00CB791A">
        <w:fldChar w:fldCharType="end"/>
      </w:r>
      <w:bookmarkEnd w:id="39"/>
      <w:r w:rsidRPr="00CB791A">
        <w:t>.  Quant à la déclaration unilatérale du Gouvernement, la Cour de cassation a considéré que « l</w:t>
      </w:r>
      <w:r w:rsidRPr="00CB791A">
        <w:rPr>
          <w:rFonts w:eastAsiaTheme="minorEastAsia"/>
        </w:rPr>
        <w:t>e principe de la séparation des pouvoirs implique que le pouvoir judiciaire n</w:t>
      </w:r>
      <w:r w:rsidRPr="00CB791A" w:rsidR="00CB791A">
        <w:rPr>
          <w:rFonts w:eastAsiaTheme="minorEastAsia"/>
        </w:rPr>
        <w:t>’</w:t>
      </w:r>
      <w:r w:rsidRPr="00CB791A">
        <w:rPr>
          <w:rFonts w:eastAsiaTheme="minorEastAsia"/>
        </w:rPr>
        <w:t>est lié ni par l</w:t>
      </w:r>
      <w:r w:rsidRPr="00CB791A" w:rsidR="00CB791A">
        <w:rPr>
          <w:rFonts w:eastAsiaTheme="minorEastAsia"/>
        </w:rPr>
        <w:t>’</w:t>
      </w:r>
      <w:r w:rsidRPr="00CB791A">
        <w:rPr>
          <w:rFonts w:eastAsiaTheme="minorEastAsia"/>
        </w:rPr>
        <w:t>interprétation que l</w:t>
      </w:r>
      <w:r w:rsidRPr="00CB791A" w:rsidR="00CB791A">
        <w:rPr>
          <w:rFonts w:eastAsiaTheme="minorEastAsia"/>
        </w:rPr>
        <w:t>’</w:t>
      </w:r>
      <w:r w:rsidRPr="00CB791A">
        <w:rPr>
          <w:rFonts w:eastAsiaTheme="minorEastAsia"/>
        </w:rPr>
        <w:t>administration donne de la Convention ni par son affirmation suivant laquelle un juge aurait méconnu celle-ci » (considérant 3, cité au paragraphe </w:t>
      </w:r>
      <w:r w:rsidRPr="00CB791A">
        <w:rPr>
          <w:rFonts w:eastAsiaTheme="minorEastAsia"/>
        </w:rPr>
        <w:fldChar w:fldCharType="begin"/>
      </w:r>
      <w:r w:rsidRPr="00CB791A">
        <w:rPr>
          <w:rFonts w:eastAsiaTheme="minorEastAsia"/>
        </w:rPr>
        <w:instrText xml:space="preserve"> REF FaitsCass07112018bis \h </w:instrText>
      </w:r>
      <w:r w:rsidRPr="00CB791A">
        <w:rPr>
          <w:rFonts w:eastAsiaTheme="minorEastAsia"/>
        </w:rPr>
      </w:r>
      <w:r w:rsidRPr="00CB791A">
        <w:rPr>
          <w:rFonts w:eastAsiaTheme="minorEastAsia"/>
        </w:rPr>
        <w:fldChar w:fldCharType="separate"/>
      </w:r>
      <w:r w:rsidRPr="00CB791A" w:rsidR="00CB791A">
        <w:rPr>
          <w:noProof/>
        </w:rPr>
        <w:t>25</w:t>
      </w:r>
      <w:r w:rsidRPr="00CB791A">
        <w:rPr>
          <w:rFonts w:eastAsiaTheme="minorEastAsia"/>
        </w:rPr>
        <w:fldChar w:fldCharType="end"/>
      </w:r>
      <w:r w:rsidRPr="00CB791A">
        <w:rPr>
          <w:rFonts w:eastAsiaTheme="minorEastAsia"/>
        </w:rPr>
        <w:t xml:space="preserve"> ci-dessus</w:t>
      </w:r>
      <w:r w:rsidRPr="00CB791A">
        <w:rPr>
          <w:rFonts w:eastAsiaTheme="minorEastAsia" w:cstheme="minorHAnsi"/>
        </w:rPr>
        <w:t>).</w:t>
      </w:r>
    </w:p>
    <w:bookmarkStart w:name="L" w:id="40"/>
    <w:p w:rsidRPr="00CB791A" w:rsidR="00B34B1B" w:rsidP="00CB791A" w:rsidRDefault="00B34B1B" w14:paraId="5BF6F835" w14:textId="7940BAEF">
      <w:pPr>
        <w:pStyle w:val="JuPara"/>
        <w:rPr>
          <w:rFonts w:cstheme="minorHAnsi"/>
          <w:bCs/>
        </w:rPr>
      </w:pPr>
      <w:r w:rsidRPr="00CB791A">
        <w:fldChar w:fldCharType="begin"/>
      </w:r>
      <w:r w:rsidRPr="00CB791A">
        <w:instrText xml:space="preserve"> SEQ level0 \*arabic </w:instrText>
      </w:r>
      <w:r w:rsidRPr="00CB791A">
        <w:fldChar w:fldCharType="separate"/>
      </w:r>
      <w:r w:rsidRPr="00CB791A" w:rsidR="00CB791A">
        <w:rPr>
          <w:noProof/>
        </w:rPr>
        <w:t>58</w:t>
      </w:r>
      <w:r w:rsidRPr="00CB791A">
        <w:fldChar w:fldCharType="end"/>
      </w:r>
      <w:bookmarkEnd w:id="40"/>
      <w:r w:rsidRPr="00CB791A">
        <w:rPr>
          <w:rFonts w:cstheme="minorHAnsi"/>
          <w:bCs/>
        </w:rPr>
        <w:t>.  M</w:t>
      </w:r>
      <w:r w:rsidRPr="00CB791A">
        <w:rPr>
          <w:rFonts w:cstheme="minorHAnsi"/>
          <w:color w:val="000000"/>
        </w:rPr>
        <w:t>ême si la notion de séparation des pouvoirs exécutif et judiciaire a pris une importance particulière dans la jurisprudence</w:t>
      </w:r>
      <w:r w:rsidRPr="00CB791A">
        <w:rPr>
          <w:rFonts w:cstheme="minorHAnsi"/>
          <w:bCs/>
        </w:rPr>
        <w:t xml:space="preserve"> de la Cour (voir, par exemple, </w:t>
      </w:r>
      <w:r w:rsidRPr="00CB791A">
        <w:rPr>
          <w:rFonts w:cstheme="minorHAnsi"/>
          <w:i/>
        </w:rPr>
        <w:t>Baka c. Hongrie</w:t>
      </w:r>
      <w:r w:rsidRPr="00CB791A">
        <w:rPr>
          <w:rFonts w:cstheme="minorHAnsi"/>
        </w:rPr>
        <w:t xml:space="preserve"> [GC], n</w:t>
      </w:r>
      <w:r w:rsidRPr="00CB791A">
        <w:rPr>
          <w:rFonts w:cstheme="minorHAnsi"/>
          <w:vertAlign w:val="superscript"/>
        </w:rPr>
        <w:t>o</w:t>
      </w:r>
      <w:r w:rsidRPr="00CB791A">
        <w:rPr>
          <w:rFonts w:cstheme="minorHAnsi"/>
        </w:rPr>
        <w:t xml:space="preserve"> 20261/12</w:t>
      </w:r>
      <w:r w:rsidRPr="00CB791A">
        <w:rPr>
          <w:rFonts w:cstheme="minorHAnsi"/>
          <w:snapToGrid w:val="0"/>
        </w:rPr>
        <w:t xml:space="preserve">, § 165, 23 juin 2016, </w:t>
      </w:r>
      <w:r w:rsidRPr="00CB791A">
        <w:rPr>
          <w:rFonts w:cstheme="minorHAnsi"/>
          <w:i/>
          <w:iCs/>
        </w:rPr>
        <w:t>Ramos</w:t>
      </w:r>
      <w:r w:rsidRPr="00CB791A" w:rsidR="00CB791A">
        <w:rPr>
          <w:i/>
          <w:iCs/>
        </w:rPr>
        <w:t> </w:t>
      </w:r>
      <w:r w:rsidRPr="00CB791A">
        <w:rPr>
          <w:i/>
          <w:iCs/>
        </w:rPr>
        <w:t xml:space="preserve">Nunes de Carvalho e </w:t>
      </w:r>
      <w:proofErr w:type="spellStart"/>
      <w:r w:rsidRPr="00CB791A">
        <w:rPr>
          <w:i/>
          <w:iCs/>
        </w:rPr>
        <w:t>Sá</w:t>
      </w:r>
      <w:proofErr w:type="spellEnd"/>
      <w:r w:rsidRPr="00CB791A">
        <w:rPr>
          <w:i/>
          <w:iCs/>
        </w:rPr>
        <w:t xml:space="preserve"> c. Portugal</w:t>
      </w:r>
      <w:r w:rsidRPr="00CB791A">
        <w:t xml:space="preserve"> [GC], n</w:t>
      </w:r>
      <w:r w:rsidRPr="00CB791A">
        <w:rPr>
          <w:vertAlign w:val="superscript"/>
        </w:rPr>
        <w:t>os</w:t>
      </w:r>
      <w:r w:rsidRPr="00CB791A">
        <w:t xml:space="preserve"> 55391/13 et 2 autres, §</w:t>
      </w:r>
      <w:r w:rsidRPr="00CB791A" w:rsidR="007850E1">
        <w:t> </w:t>
      </w:r>
      <w:r w:rsidRPr="00CB791A">
        <w:t xml:space="preserve">196, 6 novembre 2018, et </w:t>
      </w:r>
      <w:proofErr w:type="spellStart"/>
      <w:r w:rsidRPr="00CB791A">
        <w:rPr>
          <w:i/>
        </w:rPr>
        <w:t>Guðmundur</w:t>
      </w:r>
      <w:proofErr w:type="spellEnd"/>
      <w:r w:rsidRPr="00CB791A">
        <w:rPr>
          <w:i/>
        </w:rPr>
        <w:t xml:space="preserve"> </w:t>
      </w:r>
      <w:proofErr w:type="spellStart"/>
      <w:r w:rsidRPr="00CB791A">
        <w:rPr>
          <w:i/>
        </w:rPr>
        <w:t>Andri</w:t>
      </w:r>
      <w:proofErr w:type="spellEnd"/>
      <w:r w:rsidRPr="00CB791A">
        <w:rPr>
          <w:i/>
        </w:rPr>
        <w:t xml:space="preserve"> </w:t>
      </w:r>
      <w:proofErr w:type="spellStart"/>
      <w:r w:rsidRPr="00CB791A">
        <w:rPr>
          <w:i/>
        </w:rPr>
        <w:t>Ástráðsson</w:t>
      </w:r>
      <w:proofErr w:type="spellEnd"/>
      <w:r w:rsidRPr="00CB791A">
        <w:rPr>
          <w:i/>
        </w:rPr>
        <w:t xml:space="preserve"> c. Islande</w:t>
      </w:r>
      <w:r w:rsidRPr="00CB791A">
        <w:t xml:space="preserve"> [GC], n</w:t>
      </w:r>
      <w:r w:rsidRPr="00CB791A">
        <w:rPr>
          <w:vertAlign w:val="superscript"/>
        </w:rPr>
        <w:t>o </w:t>
      </w:r>
      <w:r w:rsidRPr="00CB791A">
        <w:t>26374/18, § 207, 1</w:t>
      </w:r>
      <w:r w:rsidRPr="00CB791A">
        <w:rPr>
          <w:vertAlign w:val="superscript"/>
        </w:rPr>
        <w:t>er</w:t>
      </w:r>
      <w:r w:rsidRPr="00CB791A">
        <w:t xml:space="preserve"> décembre 2020), il s</w:t>
      </w:r>
      <w:r w:rsidRPr="00CB791A" w:rsidR="00CB791A">
        <w:t>’</w:t>
      </w:r>
      <w:r w:rsidRPr="00CB791A">
        <w:t>agit en l</w:t>
      </w:r>
      <w:r w:rsidRPr="00CB791A" w:rsidR="00CB791A">
        <w:t>’</w:t>
      </w:r>
      <w:r w:rsidRPr="00CB791A">
        <w:t>espèce d</w:t>
      </w:r>
      <w:r w:rsidRPr="00CB791A" w:rsidR="00CB791A">
        <w:t>’</w:t>
      </w:r>
      <w:r w:rsidRPr="00CB791A">
        <w:t xml:space="preserve">un principe général de droit interne belge auquel la Cour de cassation </w:t>
      </w:r>
      <w:r w:rsidRPr="00CB791A">
        <w:rPr>
          <w:rFonts w:cstheme="minorHAnsi"/>
        </w:rPr>
        <w:t xml:space="preserve">se réfère. La détermination du contenu exact de ce principe </w:t>
      </w:r>
      <w:r w:rsidRPr="00CB791A">
        <w:rPr>
          <w:rFonts w:cstheme="minorHAnsi"/>
          <w:color w:val="000000"/>
        </w:rPr>
        <w:t>relève de la marge d</w:t>
      </w:r>
      <w:r w:rsidRPr="00CB791A" w:rsidR="00CB791A">
        <w:rPr>
          <w:rFonts w:cstheme="minorHAnsi"/>
          <w:color w:val="000000"/>
        </w:rPr>
        <w:t>’</w:t>
      </w:r>
      <w:r w:rsidRPr="00CB791A">
        <w:rPr>
          <w:rFonts w:cstheme="minorHAnsi"/>
          <w:color w:val="000000"/>
        </w:rPr>
        <w:t>appréciation dont disposent les États contractants</w:t>
      </w:r>
      <w:r w:rsidRPr="00CB791A" w:rsidDel="00AF0110">
        <w:rPr>
          <w:rFonts w:cstheme="minorHAnsi"/>
        </w:rPr>
        <w:t xml:space="preserve"> </w:t>
      </w:r>
      <w:r w:rsidRPr="00CB791A">
        <w:rPr>
          <w:rFonts w:cstheme="minorHAnsi"/>
        </w:rPr>
        <w:t>(</w:t>
      </w:r>
      <w:proofErr w:type="spellStart"/>
      <w:r w:rsidRPr="00CB791A">
        <w:rPr>
          <w:i/>
        </w:rPr>
        <w:t>Mugemangango</w:t>
      </w:r>
      <w:proofErr w:type="spellEnd"/>
      <w:r w:rsidRPr="00CB791A">
        <w:rPr>
          <w:i/>
        </w:rPr>
        <w:t xml:space="preserve"> c. Belgique</w:t>
      </w:r>
      <w:r w:rsidRPr="00CB791A">
        <w:t xml:space="preserve"> [GC], n</w:t>
      </w:r>
      <w:r w:rsidRPr="00CB791A">
        <w:rPr>
          <w:vertAlign w:val="superscript"/>
        </w:rPr>
        <w:t>o</w:t>
      </w:r>
      <w:r w:rsidRPr="00CB791A">
        <w:t xml:space="preserve"> 310/15, § 138, 10 juillet 2020). </w:t>
      </w:r>
      <w:r w:rsidRPr="00CB791A">
        <w:rPr>
          <w:rFonts w:ascii="Times New Roman" w:hAnsi="Times New Roman" w:cs="Times New Roman"/>
        </w:rPr>
        <w:t>Il n</w:t>
      </w:r>
      <w:r w:rsidRPr="00CB791A" w:rsidR="00CB791A">
        <w:rPr>
          <w:rFonts w:ascii="Times New Roman" w:hAnsi="Times New Roman" w:cs="Times New Roman"/>
        </w:rPr>
        <w:t>’</w:t>
      </w:r>
      <w:r w:rsidRPr="00CB791A">
        <w:rPr>
          <w:rFonts w:ascii="Times New Roman" w:hAnsi="Times New Roman" w:cs="Times New Roman"/>
        </w:rPr>
        <w:t xml:space="preserve">appartient pas à la Cour </w:t>
      </w:r>
      <w:r w:rsidRPr="00CB791A">
        <w:rPr>
          <w:rFonts w:ascii="Times New Roman" w:hAnsi="Times New Roman" w:cs="Times New Roman"/>
          <w:color w:val="000000"/>
        </w:rPr>
        <w:t>de s</w:t>
      </w:r>
      <w:r w:rsidRPr="00CB791A" w:rsidR="00CB791A">
        <w:rPr>
          <w:rFonts w:ascii="Times New Roman" w:hAnsi="Times New Roman" w:cs="Times New Roman"/>
          <w:color w:val="000000"/>
        </w:rPr>
        <w:t>’</w:t>
      </w:r>
      <w:r w:rsidRPr="00CB791A">
        <w:rPr>
          <w:rFonts w:ascii="Times New Roman" w:hAnsi="Times New Roman" w:cs="Times New Roman"/>
          <w:color w:val="000000"/>
        </w:rPr>
        <w:t>immiscer dans cette question de droit interne (</w:t>
      </w:r>
      <w:r w:rsidRPr="00CB791A">
        <w:rPr>
          <w:rFonts w:ascii="Times New Roman" w:hAnsi="Times New Roman" w:cs="Times New Roman"/>
          <w:i/>
          <w:iCs/>
          <w:color w:val="000000"/>
        </w:rPr>
        <w:t>ibid.</w:t>
      </w:r>
      <w:r w:rsidRPr="00CB791A">
        <w:rPr>
          <w:rFonts w:ascii="Times New Roman" w:hAnsi="Times New Roman" w:cs="Times New Roman"/>
          <w:color w:val="000000"/>
        </w:rPr>
        <w:t>, §</w:t>
      </w:r>
      <w:r w:rsidRPr="00CB791A" w:rsidR="007850E1">
        <w:rPr>
          <w:rFonts w:ascii="Times New Roman" w:hAnsi="Times New Roman" w:cs="Times New Roman"/>
          <w:color w:val="000000"/>
        </w:rPr>
        <w:t> </w:t>
      </w:r>
      <w:r w:rsidRPr="00CB791A">
        <w:rPr>
          <w:rFonts w:ascii="Times New Roman" w:hAnsi="Times New Roman" w:cs="Times New Roman"/>
          <w:color w:val="000000"/>
        </w:rPr>
        <w:t>71). Elle ne peut que prendre acte de la position adoptée par la Cour de cassation et en tirer les conséquences qui s</w:t>
      </w:r>
      <w:r w:rsidRPr="00CB791A" w:rsidR="00CB791A">
        <w:rPr>
          <w:rFonts w:ascii="Times New Roman" w:hAnsi="Times New Roman" w:cs="Times New Roman"/>
          <w:color w:val="000000"/>
        </w:rPr>
        <w:t>’</w:t>
      </w:r>
      <w:r w:rsidRPr="00CB791A">
        <w:rPr>
          <w:rFonts w:ascii="Times New Roman" w:hAnsi="Times New Roman" w:cs="Times New Roman"/>
          <w:color w:val="000000"/>
        </w:rPr>
        <w:t>imposent sous l</w:t>
      </w:r>
      <w:r w:rsidRPr="00CB791A" w:rsidR="00CB791A">
        <w:rPr>
          <w:rFonts w:ascii="Times New Roman" w:hAnsi="Times New Roman" w:cs="Times New Roman"/>
          <w:color w:val="000000"/>
        </w:rPr>
        <w:t>’</w:t>
      </w:r>
      <w:r w:rsidRPr="00CB791A">
        <w:rPr>
          <w:rFonts w:ascii="Times New Roman" w:hAnsi="Times New Roman" w:cs="Times New Roman"/>
          <w:color w:val="000000"/>
        </w:rPr>
        <w:t>angle de la Convention.</w:t>
      </w:r>
    </w:p>
    <w:p w:rsidRPr="00CB791A" w:rsidR="00B34B1B" w:rsidP="00CB791A" w:rsidRDefault="00B34B1B" w14:paraId="2C9CFAD9" w14:textId="6ABF290F">
      <w:pPr>
        <w:pStyle w:val="JuPara"/>
        <w:rPr>
          <w:rFonts w:eastAsiaTheme="minorEastAsia"/>
        </w:rPr>
      </w:pPr>
      <w:r w:rsidRPr="00CB791A">
        <w:fldChar w:fldCharType="begin"/>
      </w:r>
      <w:r w:rsidRPr="00CB791A">
        <w:instrText xml:space="preserve"> SEQ level0 \*arabic </w:instrText>
      </w:r>
      <w:r w:rsidRPr="00CB791A">
        <w:fldChar w:fldCharType="separate"/>
      </w:r>
      <w:r w:rsidRPr="00CB791A" w:rsidR="00CB791A">
        <w:rPr>
          <w:noProof/>
        </w:rPr>
        <w:t>59</w:t>
      </w:r>
      <w:r w:rsidRPr="00CB791A">
        <w:fldChar w:fldCharType="end"/>
      </w:r>
      <w:r w:rsidRPr="00CB791A">
        <w:t>.  </w:t>
      </w:r>
      <w:r w:rsidRPr="00CB791A">
        <w:rPr>
          <w:rFonts w:cstheme="minorHAnsi"/>
        </w:rPr>
        <w:t>Quant à la décision de la Cour prenant acte de la déclaration unilatérale</w:t>
      </w:r>
      <w:r w:rsidRPr="00CB791A">
        <w:t>, la Cour de cassation a considéré que</w:t>
      </w:r>
      <w:r w:rsidRPr="00CB791A">
        <w:rPr>
          <w:rFonts w:eastAsiaTheme="minorEastAsia"/>
        </w:rPr>
        <w:t xml:space="preserve"> « la décision de radiation du [13 mars 2018] n</w:t>
      </w:r>
      <w:r w:rsidRPr="00CB791A" w:rsidR="00CB791A">
        <w:rPr>
          <w:rFonts w:eastAsiaTheme="minorEastAsia"/>
        </w:rPr>
        <w:t>’</w:t>
      </w:r>
      <w:r w:rsidRPr="00CB791A">
        <w:rPr>
          <w:rFonts w:eastAsiaTheme="minorEastAsia"/>
        </w:rPr>
        <w:t>est pas revêtue de l</w:t>
      </w:r>
      <w:r w:rsidRPr="00CB791A" w:rsidR="00CB791A">
        <w:rPr>
          <w:rFonts w:eastAsiaTheme="minorEastAsia"/>
        </w:rPr>
        <w:t>’</w:t>
      </w:r>
      <w:r w:rsidRPr="00CB791A">
        <w:rPr>
          <w:rFonts w:eastAsiaTheme="minorEastAsia"/>
        </w:rPr>
        <w:t>autorité de la chose interprétée. La Cour européenne ne décide pas que l</w:t>
      </w:r>
      <w:r w:rsidRPr="00CB791A" w:rsidR="00CB791A">
        <w:rPr>
          <w:rFonts w:eastAsiaTheme="minorEastAsia"/>
        </w:rPr>
        <w:t>’</w:t>
      </w:r>
      <w:r w:rsidRPr="00CB791A">
        <w:rPr>
          <w:rFonts w:eastAsiaTheme="minorEastAsia"/>
        </w:rPr>
        <w:t>article 425, § 1</w:t>
      </w:r>
      <w:r w:rsidRPr="00CB791A">
        <w:rPr>
          <w:rFonts w:eastAsiaTheme="minorEastAsia"/>
          <w:vertAlign w:val="superscript"/>
        </w:rPr>
        <w:t>er</w:t>
      </w:r>
      <w:r w:rsidRPr="00CB791A">
        <w:rPr>
          <w:rFonts w:eastAsiaTheme="minorEastAsia"/>
        </w:rPr>
        <w:t>, alinéa 2, du Code d</w:t>
      </w:r>
      <w:r w:rsidRPr="00CB791A" w:rsidR="00CB791A">
        <w:rPr>
          <w:rFonts w:eastAsiaTheme="minorEastAsia"/>
        </w:rPr>
        <w:t>’</w:t>
      </w:r>
      <w:r w:rsidRPr="00CB791A">
        <w:rPr>
          <w:rFonts w:eastAsiaTheme="minorEastAsia"/>
        </w:rPr>
        <w:t>instruction criminelle méconnaît le droit d</w:t>
      </w:r>
      <w:r w:rsidRPr="00CB791A" w:rsidR="00CB791A">
        <w:rPr>
          <w:rFonts w:eastAsiaTheme="minorEastAsia"/>
        </w:rPr>
        <w:t>’</w:t>
      </w:r>
      <w:r w:rsidRPr="00CB791A">
        <w:rPr>
          <w:rFonts w:eastAsiaTheme="minorEastAsia"/>
        </w:rPr>
        <w:t>accès à un tribunal. Elle n</w:t>
      </w:r>
      <w:r w:rsidRPr="00CB791A" w:rsidR="00CB791A">
        <w:rPr>
          <w:rFonts w:eastAsiaTheme="minorEastAsia"/>
        </w:rPr>
        <w:t>’</w:t>
      </w:r>
      <w:r w:rsidRPr="00CB791A">
        <w:rPr>
          <w:rFonts w:eastAsiaTheme="minorEastAsia"/>
        </w:rPr>
        <w:t>interdit pas d</w:t>
      </w:r>
      <w:r w:rsidRPr="00CB791A" w:rsidR="00CB791A">
        <w:rPr>
          <w:rFonts w:eastAsiaTheme="minorEastAsia"/>
        </w:rPr>
        <w:t>’</w:t>
      </w:r>
      <w:r w:rsidRPr="00CB791A">
        <w:rPr>
          <w:rFonts w:eastAsiaTheme="minorEastAsia"/>
        </w:rPr>
        <w:t>exiger que la preuve de l</w:t>
      </w:r>
      <w:r w:rsidRPr="00CB791A" w:rsidR="00CB791A">
        <w:rPr>
          <w:rFonts w:eastAsiaTheme="minorEastAsia"/>
        </w:rPr>
        <w:t>’</w:t>
      </w:r>
      <w:r w:rsidRPr="00CB791A">
        <w:rPr>
          <w:rFonts w:eastAsiaTheme="minorEastAsia"/>
        </w:rPr>
        <w:t>attestation prévue par cet article soit fournie par une mention portée dans les écrits de procédures visés aux articles</w:t>
      </w:r>
      <w:r w:rsidRPr="00CB791A" w:rsidR="007850E1">
        <w:rPr>
          <w:rFonts w:eastAsiaTheme="minorEastAsia"/>
        </w:rPr>
        <w:t> </w:t>
      </w:r>
      <w:r w:rsidRPr="00CB791A">
        <w:rPr>
          <w:rFonts w:eastAsiaTheme="minorEastAsia"/>
        </w:rPr>
        <w:t xml:space="preserve">423 et 429 dudit code et déposés dans les formes prescrites par ceux-ci » (considérant 4, cité au paragraphe </w:t>
      </w:r>
      <w:r w:rsidRPr="00CB791A">
        <w:rPr>
          <w:rFonts w:eastAsiaTheme="minorEastAsia"/>
        </w:rPr>
        <w:fldChar w:fldCharType="begin"/>
      </w:r>
      <w:r w:rsidRPr="00CB791A">
        <w:rPr>
          <w:rFonts w:eastAsiaTheme="minorEastAsia"/>
        </w:rPr>
        <w:instrText xml:space="preserve"> REF FaitsCass07112018bis \h </w:instrText>
      </w:r>
      <w:r w:rsidRPr="00CB791A">
        <w:rPr>
          <w:rFonts w:eastAsiaTheme="minorEastAsia"/>
        </w:rPr>
      </w:r>
      <w:r w:rsidRPr="00CB791A">
        <w:rPr>
          <w:rFonts w:eastAsiaTheme="minorEastAsia"/>
        </w:rPr>
        <w:fldChar w:fldCharType="separate"/>
      </w:r>
      <w:r w:rsidRPr="00CB791A" w:rsidR="00CB791A">
        <w:rPr>
          <w:noProof/>
        </w:rPr>
        <w:t>25</w:t>
      </w:r>
      <w:r w:rsidRPr="00CB791A">
        <w:rPr>
          <w:rFonts w:eastAsiaTheme="minorEastAsia"/>
        </w:rPr>
        <w:fldChar w:fldCharType="end"/>
      </w:r>
      <w:r w:rsidRPr="00CB791A">
        <w:rPr>
          <w:rFonts w:eastAsiaTheme="minorEastAsia"/>
        </w:rPr>
        <w:t xml:space="preserve"> ci-dessus</w:t>
      </w:r>
      <w:r w:rsidRPr="00CB791A">
        <w:rPr>
          <w:rFonts w:eastAsiaTheme="minorEastAsia" w:cstheme="minorHAnsi"/>
        </w:rPr>
        <w:t>)</w:t>
      </w:r>
      <w:r w:rsidRPr="00CB791A">
        <w:rPr>
          <w:rFonts w:eastAsiaTheme="minorEastAsia"/>
        </w:rPr>
        <w:t>.</w:t>
      </w:r>
    </w:p>
    <w:p w:rsidRPr="00CB791A" w:rsidR="00B34B1B" w:rsidP="00CB791A" w:rsidRDefault="00B34B1B" w14:paraId="1D501866" w14:textId="58B3BF1C">
      <w:pPr>
        <w:pStyle w:val="JuPara"/>
        <w:rPr>
          <w:rFonts w:cstheme="minorHAnsi"/>
        </w:rPr>
      </w:pPr>
      <w:r w:rsidRPr="00CB791A">
        <w:fldChar w:fldCharType="begin"/>
      </w:r>
      <w:r w:rsidRPr="00CB791A">
        <w:instrText xml:space="preserve"> SEQ level0 \*arabic </w:instrText>
      </w:r>
      <w:r w:rsidRPr="00CB791A">
        <w:fldChar w:fldCharType="separate"/>
      </w:r>
      <w:r w:rsidRPr="00CB791A" w:rsidR="00CB791A">
        <w:rPr>
          <w:noProof/>
        </w:rPr>
        <w:t>60</w:t>
      </w:r>
      <w:r w:rsidRPr="00CB791A">
        <w:fldChar w:fldCharType="end"/>
      </w:r>
      <w:r w:rsidRPr="00CB791A">
        <w:rPr>
          <w:rFonts w:eastAsiaTheme="minorEastAsia"/>
        </w:rPr>
        <w:t>.  </w:t>
      </w:r>
      <w:r w:rsidRPr="00CB791A">
        <w:rPr>
          <w:rFonts w:eastAsiaTheme="minorEastAsia" w:cstheme="minorHAnsi"/>
        </w:rPr>
        <w:t>Il est vrai que dans sa décision précitée, la Cour n</w:t>
      </w:r>
      <w:r w:rsidRPr="00CB791A" w:rsidR="00CB791A">
        <w:rPr>
          <w:rFonts w:eastAsiaTheme="minorEastAsia" w:cstheme="minorHAnsi"/>
        </w:rPr>
        <w:t>’</w:t>
      </w:r>
      <w:r w:rsidRPr="00CB791A">
        <w:rPr>
          <w:rFonts w:eastAsiaTheme="minorEastAsia" w:cstheme="minorHAnsi"/>
        </w:rPr>
        <w:t>a pas examiné les griefs des requérants aux fins de déterminer s</w:t>
      </w:r>
      <w:r w:rsidRPr="00CB791A" w:rsidR="00CB791A">
        <w:rPr>
          <w:rFonts w:eastAsiaTheme="minorEastAsia" w:cstheme="minorHAnsi"/>
        </w:rPr>
        <w:t>’</w:t>
      </w:r>
      <w:r w:rsidRPr="00CB791A">
        <w:rPr>
          <w:rFonts w:eastAsiaTheme="minorEastAsia" w:cstheme="minorHAnsi"/>
        </w:rPr>
        <w:t>ils étaient recevables et fondés, et elle n</w:t>
      </w:r>
      <w:r w:rsidRPr="00CB791A" w:rsidR="00CB791A">
        <w:rPr>
          <w:rFonts w:eastAsiaTheme="minorEastAsia" w:cstheme="minorHAnsi"/>
        </w:rPr>
        <w:t>’</w:t>
      </w:r>
      <w:r w:rsidRPr="00CB791A">
        <w:rPr>
          <w:rFonts w:eastAsiaTheme="minorEastAsia" w:cstheme="minorHAnsi"/>
        </w:rPr>
        <w:t>a pas pris de décision à cet égard. Sur ce point, sa décision n</w:t>
      </w:r>
      <w:r w:rsidRPr="00CB791A" w:rsidR="00CB791A">
        <w:rPr>
          <w:rFonts w:eastAsiaTheme="minorEastAsia" w:cstheme="minorHAnsi"/>
        </w:rPr>
        <w:t>’</w:t>
      </w:r>
      <w:r w:rsidRPr="00CB791A">
        <w:rPr>
          <w:rFonts w:eastAsiaTheme="minorEastAsia" w:cstheme="minorHAnsi"/>
        </w:rPr>
        <w:t>avait donc pas l</w:t>
      </w:r>
      <w:r w:rsidRPr="00CB791A" w:rsidR="00CB791A">
        <w:rPr>
          <w:rFonts w:eastAsiaTheme="minorEastAsia" w:cstheme="minorHAnsi"/>
        </w:rPr>
        <w:t>’</w:t>
      </w:r>
      <w:r w:rsidRPr="00CB791A">
        <w:rPr>
          <w:rFonts w:eastAsiaTheme="minorEastAsia" w:cstheme="minorHAnsi"/>
        </w:rPr>
        <w:t>autorité de la chose jugée ou de la chose interprétée. La Cour a toutefois « [</w:t>
      </w:r>
      <w:r w:rsidRPr="00CB791A">
        <w:rPr>
          <w:rFonts w:cstheme="minorHAnsi"/>
          <w:color w:val="000000"/>
        </w:rPr>
        <w:t>examiné] la nature des concessions figurant dans la déclaration unilatérale, le caractère adéquat de l</w:t>
      </w:r>
      <w:r w:rsidRPr="00CB791A" w:rsidR="00CB791A">
        <w:rPr>
          <w:rFonts w:cstheme="minorHAnsi"/>
          <w:color w:val="000000"/>
        </w:rPr>
        <w:t>’</w:t>
      </w:r>
      <w:r w:rsidRPr="00CB791A">
        <w:rPr>
          <w:rFonts w:cstheme="minorHAnsi"/>
          <w:color w:val="000000"/>
        </w:rPr>
        <w:t>indemnité proposée et la question de savoir si le respect des droits de l</w:t>
      </w:r>
      <w:r w:rsidRPr="00CB791A" w:rsidR="00CB791A">
        <w:rPr>
          <w:rFonts w:cstheme="minorHAnsi"/>
          <w:color w:val="000000"/>
        </w:rPr>
        <w:t>’</w:t>
      </w:r>
      <w:r w:rsidRPr="00CB791A">
        <w:rPr>
          <w:rFonts w:cstheme="minorHAnsi"/>
          <w:color w:val="000000"/>
        </w:rPr>
        <w:t>homme exige qu</w:t>
      </w:r>
      <w:r w:rsidRPr="00CB791A" w:rsidR="00CB791A">
        <w:rPr>
          <w:rFonts w:cstheme="minorHAnsi"/>
          <w:color w:val="000000"/>
        </w:rPr>
        <w:t>’</w:t>
      </w:r>
      <w:r w:rsidRPr="00CB791A">
        <w:rPr>
          <w:rFonts w:cstheme="minorHAnsi"/>
          <w:color w:val="000000"/>
        </w:rPr>
        <w:t>elle poursuive l</w:t>
      </w:r>
      <w:r w:rsidRPr="00CB791A" w:rsidR="00CB791A">
        <w:rPr>
          <w:rFonts w:cstheme="minorHAnsi"/>
          <w:color w:val="000000"/>
        </w:rPr>
        <w:t>’</w:t>
      </w:r>
      <w:r w:rsidRPr="00CB791A">
        <w:rPr>
          <w:rFonts w:cstheme="minorHAnsi"/>
          <w:color w:val="000000"/>
        </w:rPr>
        <w:t xml:space="preserve">examen de la requête conformément aux critères susmentionnés » (voir </w:t>
      </w:r>
      <w:proofErr w:type="spellStart"/>
      <w:r w:rsidRPr="00CB791A">
        <w:rPr>
          <w:rFonts w:cstheme="minorHAnsi"/>
          <w:i/>
        </w:rPr>
        <w:t>Jeronovičs</w:t>
      </w:r>
      <w:proofErr w:type="spellEnd"/>
      <w:r w:rsidRPr="00CB791A">
        <w:rPr>
          <w:rFonts w:cstheme="minorHAnsi"/>
        </w:rPr>
        <w:t>, précité, § 69).</w:t>
      </w:r>
    </w:p>
    <w:bookmarkStart w:name="RespPartagée" w:id="41"/>
    <w:p w:rsidRPr="00CB791A" w:rsidR="00B34B1B" w:rsidP="00CB791A" w:rsidRDefault="00B34B1B" w14:paraId="24C4B20F" w14:textId="600CC7A3">
      <w:pPr>
        <w:pStyle w:val="JuPara"/>
        <w:rPr>
          <w:rFonts w:cstheme="minorHAnsi"/>
          <w:bCs/>
        </w:rPr>
      </w:pPr>
      <w:r w:rsidRPr="00CB791A">
        <w:rPr>
          <w:rFonts w:cstheme="minorHAnsi"/>
        </w:rPr>
        <w:fldChar w:fldCharType="begin"/>
      </w:r>
      <w:r w:rsidRPr="00CB791A">
        <w:rPr>
          <w:rFonts w:cstheme="minorHAnsi"/>
        </w:rPr>
        <w:instrText xml:space="preserve"> SEQ level0 \*arabic \* MERGEFORMAT </w:instrText>
      </w:r>
      <w:r w:rsidRPr="00CB791A">
        <w:rPr>
          <w:rFonts w:cstheme="minorHAnsi"/>
        </w:rPr>
        <w:fldChar w:fldCharType="separate"/>
      </w:r>
      <w:r w:rsidRPr="00CB791A" w:rsidR="00CB791A">
        <w:rPr>
          <w:rFonts w:cstheme="minorHAnsi"/>
          <w:noProof/>
        </w:rPr>
        <w:t>61</w:t>
      </w:r>
      <w:r w:rsidRPr="00CB791A">
        <w:rPr>
          <w:rFonts w:cstheme="minorHAnsi"/>
        </w:rPr>
        <w:fldChar w:fldCharType="end"/>
      </w:r>
      <w:bookmarkEnd w:id="41"/>
      <w:r w:rsidRPr="00CB791A">
        <w:rPr>
          <w:rFonts w:cstheme="minorHAnsi"/>
        </w:rPr>
        <w:t>.  </w:t>
      </w:r>
      <w:r w:rsidRPr="00CB791A">
        <w:rPr>
          <w:rFonts w:cstheme="minorHAnsi"/>
          <w:bCs/>
        </w:rPr>
        <w:t>Certes, la décision du 13 mars 2018 ne constituant pas un arrêt constatant une violation de la Convention, elle ne tombe pas sous l</w:t>
      </w:r>
      <w:r w:rsidRPr="00CB791A" w:rsidR="00CB791A">
        <w:rPr>
          <w:rFonts w:cstheme="minorHAnsi"/>
          <w:bCs/>
        </w:rPr>
        <w:t>’</w:t>
      </w:r>
      <w:r w:rsidRPr="00CB791A">
        <w:rPr>
          <w:rFonts w:cstheme="minorHAnsi"/>
          <w:bCs/>
        </w:rPr>
        <w:t>empire de l</w:t>
      </w:r>
      <w:r w:rsidRPr="00CB791A" w:rsidR="00CB791A">
        <w:rPr>
          <w:rFonts w:cstheme="minorHAnsi"/>
          <w:bCs/>
        </w:rPr>
        <w:t>’</w:t>
      </w:r>
      <w:r w:rsidRPr="00CB791A">
        <w:rPr>
          <w:rFonts w:cstheme="minorHAnsi"/>
          <w:bCs/>
        </w:rPr>
        <w:t>article 46. Néanmoins, la Cour estime important de souligner que, dans l</w:t>
      </w:r>
      <w:r w:rsidRPr="00CB791A" w:rsidR="00CB791A">
        <w:rPr>
          <w:rFonts w:cstheme="minorHAnsi"/>
          <w:bCs/>
        </w:rPr>
        <w:t>’</w:t>
      </w:r>
      <w:r w:rsidRPr="00CB791A">
        <w:rPr>
          <w:rFonts w:cstheme="minorHAnsi"/>
          <w:bCs/>
        </w:rPr>
        <w:t>esprit d</w:t>
      </w:r>
      <w:r w:rsidRPr="00CB791A" w:rsidR="00CB791A">
        <w:rPr>
          <w:rFonts w:cstheme="minorHAnsi"/>
          <w:bCs/>
        </w:rPr>
        <w:t>’</w:t>
      </w:r>
      <w:r w:rsidRPr="00CB791A">
        <w:rPr>
          <w:rFonts w:cstheme="minorHAnsi"/>
          <w:bCs/>
        </w:rPr>
        <w:t>une responsabilité partagée des États et de la Cour pour le respect des droits de la Convention, les requérants sont en droit d</w:t>
      </w:r>
      <w:r w:rsidRPr="00CB791A" w:rsidR="00CB791A">
        <w:rPr>
          <w:rFonts w:cstheme="minorHAnsi"/>
          <w:bCs/>
        </w:rPr>
        <w:t>’</w:t>
      </w:r>
      <w:r w:rsidRPr="00CB791A">
        <w:rPr>
          <w:rFonts w:cstheme="minorHAnsi"/>
          <w:bCs/>
        </w:rPr>
        <w:t>attendre des autorités nationales, y compris des juridictions nationales, qu</w:t>
      </w:r>
      <w:r w:rsidRPr="00CB791A" w:rsidR="00CB791A">
        <w:rPr>
          <w:rFonts w:cstheme="minorHAnsi"/>
          <w:bCs/>
        </w:rPr>
        <w:t>’</w:t>
      </w:r>
      <w:r w:rsidRPr="00CB791A">
        <w:rPr>
          <w:rFonts w:cstheme="minorHAnsi"/>
          <w:bCs/>
        </w:rPr>
        <w:t>elles donnent effet de bonne foi à tout engagement pris par le Gouvernement dans des déclarations unilatérales et a fortiori dans des règlements amiables. Cette attente sera d</w:t>
      </w:r>
      <w:r w:rsidRPr="00CB791A" w:rsidR="00CB791A">
        <w:rPr>
          <w:rFonts w:cstheme="minorHAnsi"/>
          <w:bCs/>
        </w:rPr>
        <w:t>’</w:t>
      </w:r>
      <w:r w:rsidRPr="00CB791A">
        <w:rPr>
          <w:rFonts w:cstheme="minorHAnsi"/>
          <w:bCs/>
        </w:rPr>
        <w:t>autant plus forte que les questions juridiques en jeu font partie de la jurisprudence établie de la Cour concernant l</w:t>
      </w:r>
      <w:r w:rsidRPr="00CB791A" w:rsidR="00CB791A">
        <w:rPr>
          <w:rFonts w:cstheme="minorHAnsi"/>
          <w:bCs/>
        </w:rPr>
        <w:t>’</w:t>
      </w:r>
      <w:r w:rsidRPr="00CB791A">
        <w:rPr>
          <w:rFonts w:cstheme="minorHAnsi"/>
          <w:bCs/>
        </w:rPr>
        <w:t>État défendeur ou d</w:t>
      </w:r>
      <w:r w:rsidRPr="00CB791A" w:rsidR="00CB791A">
        <w:rPr>
          <w:rFonts w:cstheme="minorHAnsi"/>
          <w:bCs/>
        </w:rPr>
        <w:t>’</w:t>
      </w:r>
      <w:r w:rsidRPr="00CB791A">
        <w:rPr>
          <w:rFonts w:cstheme="minorHAnsi"/>
          <w:bCs/>
        </w:rPr>
        <w:t>autres principes généralement applicables. De plus, et cela étant dit, en l</w:t>
      </w:r>
      <w:r w:rsidRPr="00CB791A" w:rsidR="00CB791A">
        <w:rPr>
          <w:rFonts w:cstheme="minorHAnsi"/>
          <w:bCs/>
        </w:rPr>
        <w:t>’</w:t>
      </w:r>
      <w:r w:rsidRPr="00CB791A">
        <w:rPr>
          <w:rFonts w:cstheme="minorHAnsi"/>
          <w:bCs/>
        </w:rPr>
        <w:t>espèce, il y a des parallèles entre la décision précitée et un arrêt constatant une violation.</w:t>
      </w:r>
    </w:p>
    <w:p w:rsidRPr="00CB791A" w:rsidR="00B34B1B" w:rsidP="00CB791A" w:rsidRDefault="00B34B1B" w14:paraId="28EFBB59" w14:textId="6C89E5C5">
      <w:pPr>
        <w:pStyle w:val="JuPara"/>
        <w:rPr>
          <w:rFonts w:cstheme="minorHAnsi"/>
          <w:lang w:eastAsia="en-GB"/>
        </w:rPr>
      </w:pPr>
      <w:r w:rsidRPr="00CB791A">
        <w:rPr>
          <w:rFonts w:cstheme="minorHAnsi"/>
          <w:bCs/>
        </w:rPr>
        <w:fldChar w:fldCharType="begin"/>
      </w:r>
      <w:r w:rsidRPr="00CB791A">
        <w:rPr>
          <w:rFonts w:cstheme="minorHAnsi"/>
          <w:bCs/>
        </w:rPr>
        <w:instrText xml:space="preserve"> SEQ level0 \*arabic \* MERGEFORMAT </w:instrText>
      </w:r>
      <w:r w:rsidRPr="00CB791A">
        <w:rPr>
          <w:rFonts w:cstheme="minorHAnsi"/>
          <w:bCs/>
        </w:rPr>
        <w:fldChar w:fldCharType="separate"/>
      </w:r>
      <w:r w:rsidRPr="00CB791A" w:rsidR="00CB791A">
        <w:rPr>
          <w:rFonts w:cstheme="minorHAnsi"/>
          <w:bCs/>
          <w:noProof/>
        </w:rPr>
        <w:t>62</w:t>
      </w:r>
      <w:r w:rsidRPr="00CB791A">
        <w:rPr>
          <w:rFonts w:cstheme="minorHAnsi"/>
          <w:bCs/>
        </w:rPr>
        <w:fldChar w:fldCharType="end"/>
      </w:r>
      <w:r w:rsidRPr="00CB791A">
        <w:rPr>
          <w:rFonts w:cstheme="minorHAnsi"/>
          <w:bCs/>
        </w:rPr>
        <w:t>.  Lorsqu</w:t>
      </w:r>
      <w:r w:rsidRPr="00CB791A" w:rsidR="00CB791A">
        <w:rPr>
          <w:rFonts w:cstheme="minorHAnsi"/>
          <w:bCs/>
        </w:rPr>
        <w:t>’</w:t>
      </w:r>
      <w:r w:rsidRPr="00CB791A">
        <w:rPr>
          <w:rFonts w:cstheme="minorHAnsi"/>
          <w:bCs/>
        </w:rPr>
        <w:t>elle constate une violation de la Convention, la Cour n</w:t>
      </w:r>
      <w:r w:rsidRPr="00CB791A" w:rsidR="00CB791A">
        <w:rPr>
          <w:rFonts w:cstheme="minorHAnsi"/>
          <w:bCs/>
        </w:rPr>
        <w:t>’</w:t>
      </w:r>
      <w:r w:rsidRPr="00CB791A">
        <w:rPr>
          <w:rFonts w:cstheme="minorHAnsi"/>
          <w:bCs/>
        </w:rPr>
        <w:t>a pas compétence pour ordonner la réouverture d</w:t>
      </w:r>
      <w:r w:rsidRPr="00CB791A" w:rsidR="00CB791A">
        <w:rPr>
          <w:rFonts w:cstheme="minorHAnsi"/>
          <w:bCs/>
        </w:rPr>
        <w:t>’</w:t>
      </w:r>
      <w:r w:rsidRPr="00CB791A">
        <w:rPr>
          <w:rFonts w:cstheme="minorHAnsi"/>
          <w:bCs/>
        </w:rPr>
        <w:t>une procédure interne (</w:t>
      </w:r>
      <w:proofErr w:type="spellStart"/>
      <w:r w:rsidRPr="00CB791A">
        <w:rPr>
          <w:i/>
        </w:rPr>
        <w:t>Verein</w:t>
      </w:r>
      <w:proofErr w:type="spellEnd"/>
      <w:r w:rsidRPr="00CB791A">
        <w:rPr>
          <w:i/>
        </w:rPr>
        <w:t xml:space="preserve"> </w:t>
      </w:r>
      <w:proofErr w:type="spellStart"/>
      <w:r w:rsidRPr="00CB791A">
        <w:rPr>
          <w:i/>
        </w:rPr>
        <w:t>gegen</w:t>
      </w:r>
      <w:proofErr w:type="spellEnd"/>
      <w:r w:rsidRPr="00CB791A">
        <w:rPr>
          <w:i/>
        </w:rPr>
        <w:t xml:space="preserve"> </w:t>
      </w:r>
      <w:proofErr w:type="spellStart"/>
      <w:r w:rsidRPr="00CB791A">
        <w:rPr>
          <w:i/>
        </w:rPr>
        <w:t>Tierfabriken</w:t>
      </w:r>
      <w:proofErr w:type="spellEnd"/>
      <w:r w:rsidRPr="00CB791A">
        <w:rPr>
          <w:i/>
        </w:rPr>
        <w:t xml:space="preserve"> Schweiz (</w:t>
      </w:r>
      <w:proofErr w:type="spellStart"/>
      <w:r w:rsidRPr="00CB791A">
        <w:rPr>
          <w:i/>
        </w:rPr>
        <w:t>VgT</w:t>
      </w:r>
      <w:proofErr w:type="spellEnd"/>
      <w:r w:rsidRPr="00CB791A">
        <w:rPr>
          <w:i/>
        </w:rPr>
        <w:t>) c. Suisse (n</w:t>
      </w:r>
      <w:r w:rsidRPr="00CB791A">
        <w:rPr>
          <w:rFonts w:cs="Times New Roman"/>
          <w:i/>
          <w:vertAlign w:val="superscript"/>
        </w:rPr>
        <w:t>o</w:t>
      </w:r>
      <w:r w:rsidRPr="00CB791A">
        <w:rPr>
          <w:i/>
        </w:rPr>
        <w:t xml:space="preserve"> 2)</w:t>
      </w:r>
      <w:r w:rsidRPr="00CB791A">
        <w:t xml:space="preserve"> [GC], n</w:t>
      </w:r>
      <w:r w:rsidRPr="00CB791A">
        <w:rPr>
          <w:vertAlign w:val="superscript"/>
        </w:rPr>
        <w:t>o</w:t>
      </w:r>
      <w:r w:rsidRPr="00CB791A" w:rsidR="007850E1">
        <w:t> </w:t>
      </w:r>
      <w:r w:rsidRPr="00CB791A">
        <w:t>32772/02, §</w:t>
      </w:r>
      <w:r w:rsidRPr="00CB791A" w:rsidR="007850E1">
        <w:t> </w:t>
      </w:r>
      <w:r w:rsidRPr="00CB791A">
        <w:t>89, CEDH</w:t>
      </w:r>
      <w:r w:rsidRPr="00CB791A" w:rsidR="009A171A">
        <w:t> </w:t>
      </w:r>
      <w:r w:rsidRPr="00CB791A">
        <w:t xml:space="preserve">2009, et </w:t>
      </w:r>
      <w:r w:rsidRPr="00CB791A">
        <w:rPr>
          <w:i/>
          <w:iCs/>
        </w:rPr>
        <w:t>Moreira Ferreira c.</w:t>
      </w:r>
      <w:r w:rsidRPr="00CB791A" w:rsidR="007850E1">
        <w:rPr>
          <w:i/>
          <w:iCs/>
        </w:rPr>
        <w:t> </w:t>
      </w:r>
      <w:r w:rsidRPr="00CB791A">
        <w:rPr>
          <w:i/>
          <w:iCs/>
        </w:rPr>
        <w:t>Portugal (n</w:t>
      </w:r>
      <w:r w:rsidRPr="00CB791A">
        <w:rPr>
          <w:i/>
          <w:vertAlign w:val="superscript"/>
        </w:rPr>
        <w:t>o</w:t>
      </w:r>
      <w:r w:rsidRPr="00CB791A">
        <w:rPr>
          <w:i/>
          <w:iCs/>
        </w:rPr>
        <w:t xml:space="preserve"> 2)</w:t>
      </w:r>
      <w:r w:rsidRPr="00CB791A">
        <w:rPr>
          <w:iCs/>
        </w:rPr>
        <w:t xml:space="preserve"> [GC]</w:t>
      </w:r>
      <w:r w:rsidRPr="00CB791A">
        <w:t xml:space="preserve">, </w:t>
      </w:r>
      <w:r w:rsidRPr="00CB791A">
        <w:rPr>
          <w:lang w:eastAsia="en-GB"/>
        </w:rPr>
        <w:t>n</w:t>
      </w:r>
      <w:r w:rsidRPr="00CB791A">
        <w:rPr>
          <w:vertAlign w:val="superscript"/>
        </w:rPr>
        <w:t>o</w:t>
      </w:r>
      <w:r w:rsidRPr="00CB791A" w:rsidR="009A171A">
        <w:rPr>
          <w:lang w:eastAsia="en-GB"/>
        </w:rPr>
        <w:t> </w:t>
      </w:r>
      <w:r w:rsidRPr="00CB791A">
        <w:rPr>
          <w:iCs/>
        </w:rPr>
        <w:t xml:space="preserve">19867/12, </w:t>
      </w:r>
      <w:r w:rsidRPr="00CB791A">
        <w:t>§ 48, 11 juillet 2017). Toutefois</w:t>
      </w:r>
      <w:r w:rsidRPr="00CB791A">
        <w:rPr>
          <w:rFonts w:cstheme="minorHAnsi"/>
          <w:bCs/>
        </w:rPr>
        <w:t>, lorsqu</w:t>
      </w:r>
      <w:r w:rsidRPr="00CB791A" w:rsidR="00CB791A">
        <w:rPr>
          <w:rFonts w:cstheme="minorHAnsi"/>
          <w:bCs/>
        </w:rPr>
        <w:t>’</w:t>
      </w:r>
      <w:r w:rsidRPr="00CB791A">
        <w:rPr>
          <w:rFonts w:cstheme="minorHAnsi"/>
          <w:bCs/>
        </w:rPr>
        <w:t>un particulier a été condamné à l</w:t>
      </w:r>
      <w:r w:rsidRPr="00CB791A" w:rsidR="00CB791A">
        <w:rPr>
          <w:rFonts w:cstheme="minorHAnsi"/>
          <w:bCs/>
        </w:rPr>
        <w:t>’</w:t>
      </w:r>
      <w:r w:rsidRPr="00CB791A">
        <w:rPr>
          <w:rFonts w:cstheme="minorHAnsi"/>
          <w:bCs/>
        </w:rPr>
        <w:t>issue d</w:t>
      </w:r>
      <w:r w:rsidRPr="00CB791A" w:rsidR="00CB791A">
        <w:rPr>
          <w:rFonts w:cstheme="minorHAnsi"/>
          <w:bCs/>
        </w:rPr>
        <w:t>’</w:t>
      </w:r>
      <w:r w:rsidRPr="00CB791A">
        <w:rPr>
          <w:rFonts w:cstheme="minorHAnsi"/>
          <w:bCs/>
        </w:rPr>
        <w:t>une procédure entachée de manquements aux exigences de l</w:t>
      </w:r>
      <w:r w:rsidRPr="00CB791A" w:rsidR="00CB791A">
        <w:rPr>
          <w:rFonts w:cstheme="minorHAnsi"/>
          <w:bCs/>
        </w:rPr>
        <w:t>’</w:t>
      </w:r>
      <w:r w:rsidRPr="00CB791A">
        <w:rPr>
          <w:rFonts w:cstheme="minorHAnsi"/>
          <w:bCs/>
        </w:rPr>
        <w:t>article 6 de la Convention, la Cout peut indiquer qu</w:t>
      </w:r>
      <w:r w:rsidRPr="00CB791A" w:rsidR="00CB791A">
        <w:rPr>
          <w:rFonts w:cstheme="minorHAnsi"/>
          <w:bCs/>
        </w:rPr>
        <w:t>’</w:t>
      </w:r>
      <w:r w:rsidRPr="00CB791A">
        <w:rPr>
          <w:rFonts w:cstheme="minorHAnsi"/>
          <w:bCs/>
        </w:rPr>
        <w:t>un nouveau procès ou une réouverture de la procédure, à la demande de l</w:t>
      </w:r>
      <w:r w:rsidRPr="00CB791A" w:rsidR="00CB791A">
        <w:rPr>
          <w:rFonts w:cstheme="minorHAnsi"/>
          <w:bCs/>
        </w:rPr>
        <w:t>’</w:t>
      </w:r>
      <w:r w:rsidRPr="00CB791A">
        <w:rPr>
          <w:rFonts w:cstheme="minorHAnsi"/>
          <w:bCs/>
        </w:rPr>
        <w:t>intéressé, représente en principe un moyen approprié de redresser la violation constatée (</w:t>
      </w:r>
      <w:proofErr w:type="spellStart"/>
      <w:r w:rsidRPr="00CB791A">
        <w:rPr>
          <w:i/>
        </w:rPr>
        <w:t>Gençel</w:t>
      </w:r>
      <w:proofErr w:type="spellEnd"/>
      <w:r w:rsidRPr="00CB791A">
        <w:rPr>
          <w:i/>
        </w:rPr>
        <w:t xml:space="preserve"> c. Turquie</w:t>
      </w:r>
      <w:r w:rsidRPr="00CB791A">
        <w:t>, n</w:t>
      </w:r>
      <w:r w:rsidRPr="00CB791A">
        <w:rPr>
          <w:vertAlign w:val="superscript"/>
        </w:rPr>
        <w:t>o</w:t>
      </w:r>
      <w:r w:rsidRPr="00CB791A">
        <w:t xml:space="preserve"> 53431/99, § 27, 23 octobre 2003, </w:t>
      </w:r>
      <w:r w:rsidRPr="00CB791A">
        <w:rPr>
          <w:i/>
        </w:rPr>
        <w:t>Öcalan c. Turquie</w:t>
      </w:r>
      <w:r w:rsidRPr="00CB791A">
        <w:t xml:space="preserve"> [GC], n</w:t>
      </w:r>
      <w:r w:rsidRPr="00CB791A">
        <w:rPr>
          <w:vertAlign w:val="superscript"/>
        </w:rPr>
        <w:t>o </w:t>
      </w:r>
      <w:r w:rsidRPr="00CB791A">
        <w:t>46221/99, § 210, CEDH 2005</w:t>
      </w:r>
      <w:r w:rsidRPr="00CB791A">
        <w:noBreakHyphen/>
        <w:t xml:space="preserve">IV, </w:t>
      </w:r>
      <w:proofErr w:type="spellStart"/>
      <w:r w:rsidRPr="00CB791A">
        <w:rPr>
          <w:rFonts w:cstheme="minorHAnsi"/>
          <w:i/>
          <w:iCs/>
          <w:color w:val="000000"/>
        </w:rPr>
        <w:t>Sejdovic</w:t>
      </w:r>
      <w:proofErr w:type="spellEnd"/>
      <w:r w:rsidRPr="00CB791A">
        <w:rPr>
          <w:rFonts w:cstheme="minorHAnsi"/>
          <w:i/>
          <w:iCs/>
          <w:color w:val="000000"/>
        </w:rPr>
        <w:t xml:space="preserve"> c. Italie</w:t>
      </w:r>
      <w:r w:rsidRPr="00CB791A">
        <w:rPr>
          <w:rFonts w:cstheme="minorHAnsi"/>
          <w:color w:val="000000"/>
        </w:rPr>
        <w:t> [GC], n</w:t>
      </w:r>
      <w:r w:rsidRPr="00CB791A">
        <w:rPr>
          <w:rFonts w:cstheme="minorHAnsi"/>
          <w:color w:val="000000"/>
          <w:vertAlign w:val="superscript"/>
        </w:rPr>
        <w:t>o</w:t>
      </w:r>
      <w:r w:rsidRPr="00CB791A">
        <w:rPr>
          <w:rFonts w:cstheme="minorHAnsi"/>
          <w:color w:val="000000"/>
        </w:rPr>
        <w:t> 56581/00, § 126, CEDH 2006-II, </w:t>
      </w:r>
      <w:proofErr w:type="spellStart"/>
      <w:r w:rsidRPr="00CB791A">
        <w:rPr>
          <w:i/>
        </w:rPr>
        <w:t>Verein</w:t>
      </w:r>
      <w:proofErr w:type="spellEnd"/>
      <w:r w:rsidRPr="00CB791A">
        <w:rPr>
          <w:i/>
        </w:rPr>
        <w:t xml:space="preserve"> </w:t>
      </w:r>
      <w:proofErr w:type="spellStart"/>
      <w:r w:rsidRPr="00CB791A">
        <w:rPr>
          <w:i/>
        </w:rPr>
        <w:t>gegen</w:t>
      </w:r>
      <w:proofErr w:type="spellEnd"/>
      <w:r w:rsidRPr="00CB791A">
        <w:rPr>
          <w:i/>
        </w:rPr>
        <w:t xml:space="preserve"> </w:t>
      </w:r>
      <w:proofErr w:type="spellStart"/>
      <w:r w:rsidRPr="00CB791A">
        <w:rPr>
          <w:i/>
        </w:rPr>
        <w:t>Tierfabriken</w:t>
      </w:r>
      <w:proofErr w:type="spellEnd"/>
      <w:r w:rsidRPr="00CB791A">
        <w:rPr>
          <w:i/>
        </w:rPr>
        <w:t xml:space="preserve"> Schweiz (</w:t>
      </w:r>
      <w:proofErr w:type="spellStart"/>
      <w:r w:rsidRPr="00CB791A">
        <w:rPr>
          <w:i/>
        </w:rPr>
        <w:t>VgT</w:t>
      </w:r>
      <w:proofErr w:type="spellEnd"/>
      <w:r w:rsidRPr="00CB791A">
        <w:rPr>
          <w:i/>
        </w:rPr>
        <w:t>) (n</w:t>
      </w:r>
      <w:r w:rsidRPr="00CB791A">
        <w:rPr>
          <w:rFonts w:cs="Times New Roman"/>
          <w:i/>
          <w:vertAlign w:val="superscript"/>
        </w:rPr>
        <w:t>o</w:t>
      </w:r>
      <w:r w:rsidRPr="00CB791A">
        <w:rPr>
          <w:i/>
        </w:rPr>
        <w:t xml:space="preserve"> 2)</w:t>
      </w:r>
      <w:r w:rsidRPr="00CB791A">
        <w:t xml:space="preserve">, précité, § 89, </w:t>
      </w:r>
      <w:proofErr w:type="spellStart"/>
      <w:r w:rsidRPr="00CB791A">
        <w:rPr>
          <w:rFonts w:cstheme="minorHAnsi"/>
          <w:i/>
        </w:rPr>
        <w:t>Cudak</w:t>
      </w:r>
      <w:proofErr w:type="spellEnd"/>
      <w:r w:rsidRPr="00CB791A">
        <w:rPr>
          <w:rFonts w:cstheme="minorHAnsi"/>
          <w:i/>
        </w:rPr>
        <w:t xml:space="preserve"> c.</w:t>
      </w:r>
      <w:r w:rsidRPr="00CB791A" w:rsidR="007850E1">
        <w:rPr>
          <w:rFonts w:cstheme="minorHAnsi"/>
          <w:i/>
        </w:rPr>
        <w:t> </w:t>
      </w:r>
      <w:r w:rsidRPr="00CB791A">
        <w:rPr>
          <w:rFonts w:cstheme="minorHAnsi"/>
          <w:i/>
        </w:rPr>
        <w:t>Lituanie</w:t>
      </w:r>
      <w:r w:rsidRPr="00CB791A">
        <w:rPr>
          <w:rFonts w:cstheme="minorHAnsi"/>
        </w:rPr>
        <w:t xml:space="preserve"> [GC]</w:t>
      </w:r>
      <w:r w:rsidRPr="00CB791A">
        <w:rPr>
          <w:rFonts w:cstheme="minorHAnsi"/>
          <w:snapToGrid w:val="0"/>
        </w:rPr>
        <w:t>, n</w:t>
      </w:r>
      <w:r w:rsidRPr="00CB791A">
        <w:rPr>
          <w:rFonts w:cstheme="minorHAnsi"/>
          <w:snapToGrid w:val="0"/>
          <w:vertAlign w:val="superscript"/>
        </w:rPr>
        <w:t>o</w:t>
      </w:r>
      <w:r w:rsidRPr="00CB791A" w:rsidR="007850E1">
        <w:rPr>
          <w:rFonts w:cstheme="minorHAnsi"/>
          <w:snapToGrid w:val="0"/>
        </w:rPr>
        <w:t> </w:t>
      </w:r>
      <w:r w:rsidRPr="00CB791A">
        <w:rPr>
          <w:rFonts w:cstheme="minorHAnsi"/>
        </w:rPr>
        <w:t xml:space="preserve">15869/02, § 79, CEDH 2010, et </w:t>
      </w:r>
      <w:r w:rsidRPr="00CB791A">
        <w:rPr>
          <w:i/>
          <w:iCs/>
        </w:rPr>
        <w:t>Moreira Ferreira (n</w:t>
      </w:r>
      <w:r w:rsidRPr="00CB791A">
        <w:rPr>
          <w:i/>
          <w:iCs/>
          <w:vertAlign w:val="superscript"/>
        </w:rPr>
        <w:t>o</w:t>
      </w:r>
      <w:r w:rsidRPr="00CB791A">
        <w:rPr>
          <w:i/>
          <w:iCs/>
        </w:rPr>
        <w:t xml:space="preserve"> 2)</w:t>
      </w:r>
      <w:r w:rsidRPr="00CB791A">
        <w:t xml:space="preserve">, </w:t>
      </w:r>
      <w:r w:rsidRPr="00CB791A">
        <w:rPr>
          <w:lang w:eastAsia="en-GB"/>
        </w:rPr>
        <w:t>précité, §§</w:t>
      </w:r>
      <w:r w:rsidRPr="00CB791A" w:rsidR="007850E1">
        <w:rPr>
          <w:lang w:eastAsia="en-GB"/>
        </w:rPr>
        <w:t> </w:t>
      </w:r>
      <w:r w:rsidRPr="00CB791A">
        <w:rPr>
          <w:lang w:eastAsia="en-GB"/>
        </w:rPr>
        <w:t>49 et 50, a)).</w:t>
      </w:r>
      <w:r w:rsidRPr="00CB791A">
        <w:rPr>
          <w:rFonts w:cstheme="minorHAnsi"/>
          <w:bCs/>
        </w:rPr>
        <w:t xml:space="preserve"> Cependant, les mesures de réparation spécifiques à prendre, le cas échéant, par un État défendeur pour s</w:t>
      </w:r>
      <w:r w:rsidRPr="00CB791A" w:rsidR="00CB791A">
        <w:rPr>
          <w:rFonts w:cstheme="minorHAnsi"/>
          <w:bCs/>
        </w:rPr>
        <w:t>’</w:t>
      </w:r>
      <w:r w:rsidRPr="00CB791A">
        <w:rPr>
          <w:rFonts w:cstheme="minorHAnsi"/>
          <w:bCs/>
        </w:rPr>
        <w:t>acquitter des obligations qui lui incombent en vertu de l</w:t>
      </w:r>
      <w:r w:rsidRPr="00CB791A" w:rsidR="00CB791A">
        <w:rPr>
          <w:rFonts w:cstheme="minorHAnsi"/>
          <w:bCs/>
        </w:rPr>
        <w:t>’</w:t>
      </w:r>
      <w:r w:rsidRPr="00CB791A">
        <w:rPr>
          <w:rFonts w:cstheme="minorHAnsi"/>
          <w:bCs/>
        </w:rPr>
        <w:t>article 46 de la Convention dépendent nécessairement des circonstances particulières de la cause (</w:t>
      </w:r>
      <w:r w:rsidRPr="00CB791A">
        <w:rPr>
          <w:i/>
        </w:rPr>
        <w:t>Öcalan</w:t>
      </w:r>
      <w:r w:rsidRPr="00CB791A">
        <w:t>, précité, §</w:t>
      </w:r>
      <w:r w:rsidRPr="00CB791A" w:rsidR="007850E1">
        <w:t> </w:t>
      </w:r>
      <w:r w:rsidRPr="00CB791A">
        <w:t xml:space="preserve">210, </w:t>
      </w:r>
      <w:proofErr w:type="spellStart"/>
      <w:r w:rsidRPr="00CB791A">
        <w:rPr>
          <w:rFonts w:cstheme="minorHAnsi"/>
          <w:i/>
          <w:iCs/>
          <w:color w:val="000000"/>
        </w:rPr>
        <w:t>Sejdovic</w:t>
      </w:r>
      <w:proofErr w:type="spellEnd"/>
      <w:r w:rsidRPr="00CB791A">
        <w:rPr>
          <w:rFonts w:cstheme="minorHAnsi"/>
          <w:color w:val="000000"/>
        </w:rPr>
        <w:t xml:space="preserve">, précité, § 126, </w:t>
      </w:r>
      <w:r w:rsidRPr="00CB791A">
        <w:t xml:space="preserve">et </w:t>
      </w:r>
      <w:r w:rsidRPr="00CB791A">
        <w:rPr>
          <w:i/>
          <w:iCs/>
        </w:rPr>
        <w:t>Moreira Ferreira (n</w:t>
      </w:r>
      <w:r w:rsidRPr="00CB791A">
        <w:rPr>
          <w:i/>
          <w:iCs/>
          <w:vertAlign w:val="superscript"/>
        </w:rPr>
        <w:t>o</w:t>
      </w:r>
      <w:r w:rsidRPr="00CB791A" w:rsidR="009A171A">
        <w:rPr>
          <w:i/>
          <w:iCs/>
        </w:rPr>
        <w:t> </w:t>
      </w:r>
      <w:r w:rsidRPr="00CB791A">
        <w:rPr>
          <w:i/>
          <w:iCs/>
        </w:rPr>
        <w:t>2)</w:t>
      </w:r>
      <w:r w:rsidRPr="00CB791A">
        <w:t xml:space="preserve">, </w:t>
      </w:r>
      <w:r w:rsidRPr="00CB791A">
        <w:rPr>
          <w:lang w:eastAsia="en-GB"/>
        </w:rPr>
        <w:t xml:space="preserve">précité, </w:t>
      </w:r>
      <w:r w:rsidRPr="00CB791A">
        <w:rPr>
          <w:rFonts w:cstheme="minorHAnsi"/>
          <w:lang w:eastAsia="en-GB"/>
        </w:rPr>
        <w:t>§</w:t>
      </w:r>
      <w:r w:rsidRPr="00CB791A" w:rsidR="007850E1">
        <w:rPr>
          <w:rFonts w:cstheme="minorHAnsi"/>
          <w:lang w:eastAsia="en-GB"/>
        </w:rPr>
        <w:t> </w:t>
      </w:r>
      <w:r w:rsidRPr="00CB791A">
        <w:rPr>
          <w:rFonts w:cstheme="minorHAnsi"/>
          <w:lang w:eastAsia="en-GB"/>
        </w:rPr>
        <w:t>50, a))</w:t>
      </w:r>
      <w:r w:rsidRPr="00CB791A">
        <w:rPr>
          <w:rFonts w:cstheme="minorHAnsi"/>
          <w:bCs/>
        </w:rPr>
        <w:t>.</w:t>
      </w:r>
      <w:r w:rsidRPr="00CB791A">
        <w:rPr>
          <w:rFonts w:cstheme="minorHAnsi"/>
          <w:color w:val="000000"/>
        </w:rPr>
        <w:t xml:space="preserve"> En particulier, il n</w:t>
      </w:r>
      <w:r w:rsidRPr="00CB791A" w:rsidR="00CB791A">
        <w:rPr>
          <w:rFonts w:cstheme="minorHAnsi"/>
          <w:color w:val="000000"/>
        </w:rPr>
        <w:t>’</w:t>
      </w:r>
      <w:r w:rsidRPr="00CB791A">
        <w:rPr>
          <w:rFonts w:cstheme="minorHAnsi"/>
          <w:color w:val="000000"/>
        </w:rPr>
        <w:t>appartient pas à la Cour d</w:t>
      </w:r>
      <w:r w:rsidRPr="00CB791A" w:rsidR="00CB791A">
        <w:rPr>
          <w:rFonts w:cstheme="minorHAnsi"/>
          <w:color w:val="000000"/>
        </w:rPr>
        <w:t>’</w:t>
      </w:r>
      <w:r w:rsidRPr="00CB791A">
        <w:rPr>
          <w:rFonts w:cstheme="minorHAnsi"/>
          <w:color w:val="000000"/>
        </w:rPr>
        <w:t>indiquer les modalités et la forme d</w:t>
      </w:r>
      <w:r w:rsidRPr="00CB791A" w:rsidR="00CB791A">
        <w:rPr>
          <w:rFonts w:cstheme="minorHAnsi"/>
          <w:color w:val="000000"/>
        </w:rPr>
        <w:t>’</w:t>
      </w:r>
      <w:r w:rsidRPr="00CB791A">
        <w:rPr>
          <w:rFonts w:cstheme="minorHAnsi"/>
          <w:color w:val="000000"/>
        </w:rPr>
        <w:t>un nouveau procès éventuel. L</w:t>
      </w:r>
      <w:r w:rsidRPr="00CB791A" w:rsidR="00CB791A">
        <w:rPr>
          <w:rFonts w:cstheme="minorHAnsi"/>
          <w:color w:val="000000"/>
        </w:rPr>
        <w:t>’</w:t>
      </w:r>
      <w:r w:rsidRPr="00CB791A">
        <w:rPr>
          <w:rFonts w:cstheme="minorHAnsi"/>
          <w:color w:val="000000"/>
        </w:rPr>
        <w:t>État défendeur demeure libre de choisir les moyens de s</w:t>
      </w:r>
      <w:r w:rsidRPr="00CB791A" w:rsidR="00CB791A">
        <w:rPr>
          <w:rFonts w:cstheme="minorHAnsi"/>
          <w:color w:val="000000"/>
        </w:rPr>
        <w:t>’</w:t>
      </w:r>
      <w:r w:rsidRPr="00CB791A">
        <w:rPr>
          <w:rFonts w:cstheme="minorHAnsi"/>
          <w:color w:val="000000"/>
        </w:rPr>
        <w:t>acquitter de son obligation de placer le requérant, le plus possible, dans une situation équivalant à celle dans laquelle il se trouverait s</w:t>
      </w:r>
      <w:r w:rsidRPr="00CB791A" w:rsidR="00CB791A">
        <w:rPr>
          <w:rFonts w:cstheme="minorHAnsi"/>
          <w:color w:val="000000"/>
        </w:rPr>
        <w:t>’</w:t>
      </w:r>
      <w:r w:rsidRPr="00CB791A">
        <w:rPr>
          <w:rFonts w:cstheme="minorHAnsi"/>
          <w:color w:val="000000"/>
        </w:rPr>
        <w:t>il n</w:t>
      </w:r>
      <w:r w:rsidRPr="00CB791A" w:rsidR="00CB791A">
        <w:rPr>
          <w:rFonts w:cstheme="minorHAnsi"/>
          <w:color w:val="000000"/>
        </w:rPr>
        <w:t>’</w:t>
      </w:r>
      <w:r w:rsidRPr="00CB791A">
        <w:rPr>
          <w:rFonts w:cstheme="minorHAnsi"/>
          <w:color w:val="000000"/>
        </w:rPr>
        <w:t>y avait pas eu manquement aux exigences de la Convention, pour autant que ces moyens soient compatibles avec les conclusions contenues dans l</w:t>
      </w:r>
      <w:r w:rsidRPr="00CB791A" w:rsidR="00CB791A">
        <w:rPr>
          <w:rFonts w:cstheme="minorHAnsi"/>
          <w:color w:val="000000"/>
        </w:rPr>
        <w:t>’</w:t>
      </w:r>
      <w:r w:rsidRPr="00CB791A">
        <w:rPr>
          <w:rFonts w:cstheme="minorHAnsi"/>
          <w:color w:val="000000"/>
        </w:rPr>
        <w:t xml:space="preserve">arrêt de la Cour et avec les droits de la défense </w:t>
      </w:r>
      <w:r w:rsidRPr="00CB791A">
        <w:rPr>
          <w:rFonts w:cstheme="minorHAnsi"/>
          <w:bCs/>
        </w:rPr>
        <w:t>(</w:t>
      </w:r>
      <w:proofErr w:type="spellStart"/>
      <w:r w:rsidRPr="00CB791A">
        <w:rPr>
          <w:rFonts w:cstheme="minorHAnsi"/>
          <w:i/>
          <w:iCs/>
          <w:color w:val="000000"/>
        </w:rPr>
        <w:t>Sejdovic</w:t>
      </w:r>
      <w:proofErr w:type="spellEnd"/>
      <w:r w:rsidRPr="00CB791A">
        <w:rPr>
          <w:rFonts w:cstheme="minorHAnsi"/>
          <w:color w:val="000000"/>
        </w:rPr>
        <w:t xml:space="preserve">, précité, § 127, </w:t>
      </w:r>
      <w:r w:rsidRPr="00CB791A">
        <w:t xml:space="preserve">et </w:t>
      </w:r>
      <w:r w:rsidRPr="00CB791A">
        <w:rPr>
          <w:rFonts w:cstheme="minorHAnsi"/>
          <w:i/>
          <w:iCs/>
        </w:rPr>
        <w:t>Moreira Ferreira (n</w:t>
      </w:r>
      <w:r w:rsidRPr="00CB791A">
        <w:rPr>
          <w:rFonts w:cstheme="minorHAnsi"/>
          <w:i/>
          <w:iCs/>
          <w:vertAlign w:val="superscript"/>
        </w:rPr>
        <w:t>o</w:t>
      </w:r>
      <w:r w:rsidRPr="00CB791A" w:rsidR="009A171A">
        <w:rPr>
          <w:rFonts w:cstheme="minorHAnsi"/>
          <w:i/>
          <w:iCs/>
        </w:rPr>
        <w:t> </w:t>
      </w:r>
      <w:r w:rsidRPr="00CB791A">
        <w:rPr>
          <w:rFonts w:cstheme="minorHAnsi"/>
          <w:i/>
          <w:iCs/>
        </w:rPr>
        <w:t>2)</w:t>
      </w:r>
      <w:r w:rsidRPr="00CB791A">
        <w:rPr>
          <w:rFonts w:cstheme="minorHAnsi"/>
        </w:rPr>
        <w:t xml:space="preserve">, </w:t>
      </w:r>
      <w:r w:rsidRPr="00CB791A">
        <w:rPr>
          <w:rFonts w:cstheme="minorHAnsi"/>
          <w:lang w:eastAsia="en-GB"/>
        </w:rPr>
        <w:t>précité, §</w:t>
      </w:r>
      <w:r w:rsidRPr="00CB791A" w:rsidR="007850E1">
        <w:rPr>
          <w:rFonts w:cstheme="minorHAnsi"/>
          <w:lang w:eastAsia="en-GB"/>
        </w:rPr>
        <w:t> </w:t>
      </w:r>
      <w:r w:rsidRPr="00CB791A">
        <w:rPr>
          <w:rFonts w:cstheme="minorHAnsi"/>
          <w:lang w:eastAsia="en-GB"/>
        </w:rPr>
        <w:t>50, b)).</w:t>
      </w:r>
    </w:p>
    <w:bookmarkStart w:name="Q" w:id="42"/>
    <w:p w:rsidRPr="00CB791A" w:rsidR="00B34B1B" w:rsidP="00CB791A" w:rsidRDefault="00B34B1B" w14:paraId="0FF30D44" w14:textId="3C2BA073">
      <w:pPr>
        <w:pStyle w:val="JuPara"/>
      </w:pPr>
      <w:r w:rsidRPr="00CB791A">
        <w:rPr>
          <w:rFonts w:cstheme="minorHAnsi"/>
          <w:lang w:eastAsia="en-GB"/>
        </w:rPr>
        <w:fldChar w:fldCharType="begin"/>
      </w:r>
      <w:r w:rsidRPr="00CB791A">
        <w:rPr>
          <w:rFonts w:cstheme="minorHAnsi"/>
          <w:lang w:eastAsia="en-GB"/>
        </w:rPr>
        <w:instrText xml:space="preserve"> SEQ level0 \*arabic \* MERGEFORMAT </w:instrText>
      </w:r>
      <w:r w:rsidRPr="00CB791A">
        <w:rPr>
          <w:rFonts w:cstheme="minorHAnsi"/>
          <w:lang w:eastAsia="en-GB"/>
        </w:rPr>
        <w:fldChar w:fldCharType="separate"/>
      </w:r>
      <w:r w:rsidRPr="00CB791A" w:rsidR="00CB791A">
        <w:rPr>
          <w:rFonts w:cstheme="minorHAnsi"/>
          <w:noProof/>
          <w:lang w:eastAsia="en-GB"/>
        </w:rPr>
        <w:t>63</w:t>
      </w:r>
      <w:r w:rsidRPr="00CB791A">
        <w:rPr>
          <w:rFonts w:cstheme="minorHAnsi"/>
          <w:lang w:eastAsia="en-GB"/>
        </w:rPr>
        <w:fldChar w:fldCharType="end"/>
      </w:r>
      <w:bookmarkEnd w:id="42"/>
      <w:r w:rsidRPr="00CB791A">
        <w:rPr>
          <w:rFonts w:cstheme="minorHAnsi"/>
          <w:lang w:eastAsia="en-GB"/>
        </w:rPr>
        <w:t>.  En l</w:t>
      </w:r>
      <w:r w:rsidRPr="00CB791A" w:rsidR="00CB791A">
        <w:rPr>
          <w:rFonts w:cstheme="minorHAnsi"/>
          <w:lang w:eastAsia="en-GB"/>
        </w:rPr>
        <w:t>’</w:t>
      </w:r>
      <w:r w:rsidRPr="00CB791A">
        <w:rPr>
          <w:rFonts w:cstheme="minorHAnsi"/>
          <w:lang w:eastAsia="en-GB"/>
        </w:rPr>
        <w:t>espèce, dans sa décision précitée du 13 mars 2018, la Cour s</w:t>
      </w:r>
      <w:r w:rsidRPr="00CB791A" w:rsidR="00CB791A">
        <w:rPr>
          <w:rFonts w:cstheme="minorHAnsi"/>
          <w:lang w:eastAsia="en-GB"/>
        </w:rPr>
        <w:t>’</w:t>
      </w:r>
      <w:r w:rsidRPr="00CB791A">
        <w:rPr>
          <w:rFonts w:cstheme="minorHAnsi"/>
          <w:lang w:eastAsia="en-GB"/>
        </w:rPr>
        <w:t>est référée à sa jurisprudence sous l</w:t>
      </w:r>
      <w:r w:rsidRPr="00CB791A" w:rsidR="00CB791A">
        <w:rPr>
          <w:rFonts w:cstheme="minorHAnsi"/>
          <w:lang w:eastAsia="en-GB"/>
        </w:rPr>
        <w:t>’</w:t>
      </w:r>
      <w:r w:rsidRPr="00CB791A">
        <w:rPr>
          <w:rFonts w:cstheme="minorHAnsi"/>
          <w:lang w:eastAsia="en-GB"/>
        </w:rPr>
        <w:t>article 46 de la Convention selon laquelle « la réouverture de la procédure devant les juridictions nationales est le moyen le plus approprié, sinon le seul, d</w:t>
      </w:r>
      <w:r w:rsidRPr="00CB791A" w:rsidR="00CB791A">
        <w:rPr>
          <w:rFonts w:cstheme="minorHAnsi"/>
          <w:lang w:eastAsia="en-GB"/>
        </w:rPr>
        <w:t>’</w:t>
      </w:r>
      <w:r w:rsidRPr="00CB791A">
        <w:rPr>
          <w:rFonts w:cstheme="minorHAnsi"/>
          <w:lang w:eastAsia="en-GB"/>
        </w:rPr>
        <w:t xml:space="preserve">assurer la </w:t>
      </w:r>
      <w:proofErr w:type="spellStart"/>
      <w:r w:rsidRPr="00CB791A">
        <w:rPr>
          <w:rFonts w:cstheme="minorHAnsi"/>
          <w:i/>
          <w:iCs/>
          <w:lang w:eastAsia="en-GB"/>
        </w:rPr>
        <w:t>restitutio</w:t>
      </w:r>
      <w:proofErr w:type="spellEnd"/>
      <w:r w:rsidRPr="00CB791A">
        <w:rPr>
          <w:rFonts w:cstheme="minorHAnsi"/>
          <w:i/>
          <w:iCs/>
          <w:lang w:eastAsia="en-GB"/>
        </w:rPr>
        <w:t xml:space="preserve"> in integrum</w:t>
      </w:r>
      <w:r w:rsidRPr="00CB791A">
        <w:rPr>
          <w:rFonts w:cstheme="minorHAnsi"/>
          <w:lang w:eastAsia="en-GB"/>
        </w:rPr>
        <w:t xml:space="preserve"> et de redresser les violations du droit à un procès équitable » (</w:t>
      </w:r>
      <w:r w:rsidRPr="00CB791A">
        <w:t>paragraphe 18 de la décision précitée, cité au paragraphe</w:t>
      </w:r>
      <w:r w:rsidRPr="00CB791A" w:rsidR="009A171A">
        <w:t> </w:t>
      </w:r>
      <w:r w:rsidRPr="00CB791A">
        <w:fldChar w:fldCharType="begin"/>
      </w:r>
      <w:r w:rsidRPr="00CB791A">
        <w:instrText xml:space="preserve"> REF FaitsDec13032018RadiationBis \h </w:instrText>
      </w:r>
      <w:r w:rsidRPr="00CB791A">
        <w:fldChar w:fldCharType="separate"/>
      </w:r>
      <w:r w:rsidRPr="00CB791A" w:rsidR="00CB791A">
        <w:rPr>
          <w:noProof/>
        </w:rPr>
        <w:t>20</w:t>
      </w:r>
      <w:r w:rsidRPr="00CB791A">
        <w:fldChar w:fldCharType="end"/>
      </w:r>
      <w:r w:rsidRPr="00CB791A">
        <w:t xml:space="preserve"> ci-dessus</w:t>
      </w:r>
      <w:r w:rsidRPr="00CB791A">
        <w:rPr>
          <w:rFonts w:cstheme="minorHAnsi"/>
          <w:lang w:eastAsia="en-GB"/>
        </w:rPr>
        <w:t xml:space="preserve">, avec référence à </w:t>
      </w:r>
      <w:proofErr w:type="spellStart"/>
      <w:r w:rsidRPr="00CB791A">
        <w:rPr>
          <w:rFonts w:cstheme="minorHAnsi"/>
          <w:i/>
          <w:iCs/>
          <w:lang w:eastAsia="en-GB"/>
        </w:rPr>
        <w:t>Sejdovic</w:t>
      </w:r>
      <w:proofErr w:type="spellEnd"/>
      <w:r w:rsidRPr="00CB791A">
        <w:rPr>
          <w:rFonts w:cstheme="minorHAnsi"/>
          <w:lang w:eastAsia="en-GB"/>
        </w:rPr>
        <w:t xml:space="preserve">, précité, § 126). </w:t>
      </w:r>
      <w:r w:rsidRPr="00CB791A">
        <w:rPr>
          <w:rFonts w:cstheme="minorHAnsi"/>
          <w:bCs/>
        </w:rPr>
        <w:t>Elle a également constaté que le droit interne belge ne s</w:t>
      </w:r>
      <w:r w:rsidRPr="00CB791A" w:rsidR="00CB791A">
        <w:rPr>
          <w:rFonts w:cstheme="minorHAnsi"/>
          <w:bCs/>
        </w:rPr>
        <w:t>’</w:t>
      </w:r>
      <w:r w:rsidRPr="00CB791A">
        <w:rPr>
          <w:rFonts w:cstheme="minorHAnsi"/>
          <w:bCs/>
        </w:rPr>
        <w:t>opposait pas par principe à une réouverture de la procédure en cas de radiation de l</w:t>
      </w:r>
      <w:r w:rsidRPr="00CB791A" w:rsidR="00CB791A">
        <w:rPr>
          <w:rFonts w:cstheme="minorHAnsi"/>
          <w:bCs/>
        </w:rPr>
        <w:t>’</w:t>
      </w:r>
      <w:r w:rsidRPr="00CB791A">
        <w:rPr>
          <w:rFonts w:cstheme="minorHAnsi"/>
          <w:bCs/>
        </w:rPr>
        <w:t>affaire de son rôle sur base d</w:t>
      </w:r>
      <w:r w:rsidRPr="00CB791A" w:rsidR="00CB791A">
        <w:rPr>
          <w:rFonts w:cstheme="minorHAnsi"/>
          <w:bCs/>
        </w:rPr>
        <w:t>’</w:t>
      </w:r>
      <w:r w:rsidRPr="00CB791A">
        <w:rPr>
          <w:rFonts w:cstheme="minorHAnsi"/>
          <w:bCs/>
        </w:rPr>
        <w:t xml:space="preserve">une déclaration unilatérale du Gouvernement </w:t>
      </w:r>
      <w:r w:rsidRPr="00CB791A">
        <w:t>(paragraphe 19 de la décision précitée, cité au paragraphe</w:t>
      </w:r>
      <w:r w:rsidRPr="00CB791A" w:rsidR="009A171A">
        <w:t> </w:t>
      </w:r>
      <w:r w:rsidRPr="00CB791A">
        <w:fldChar w:fldCharType="begin"/>
      </w:r>
      <w:r w:rsidRPr="00CB791A">
        <w:instrText xml:space="preserve"> REF FaitsDec13032018RadiationBis \h </w:instrText>
      </w:r>
      <w:r w:rsidRPr="00CB791A">
        <w:fldChar w:fldCharType="separate"/>
      </w:r>
      <w:r w:rsidRPr="00CB791A" w:rsidR="00CB791A">
        <w:rPr>
          <w:noProof/>
        </w:rPr>
        <w:t>20</w:t>
      </w:r>
      <w:r w:rsidRPr="00CB791A">
        <w:fldChar w:fldCharType="end"/>
      </w:r>
      <w:r w:rsidRPr="00CB791A">
        <w:t xml:space="preserve"> ci</w:t>
      </w:r>
      <w:r w:rsidRPr="00CB791A">
        <w:noBreakHyphen/>
        <w:t>dessus ; comparer avec des affaires où la Cour a refusé de rayer l</w:t>
      </w:r>
      <w:r w:rsidRPr="00CB791A" w:rsidR="00CB791A">
        <w:t>’</w:t>
      </w:r>
      <w:r w:rsidRPr="00CB791A">
        <w:t>affaire du rôle au motif qu</w:t>
      </w:r>
      <w:r w:rsidRPr="00CB791A" w:rsidR="00CB791A">
        <w:t>’</w:t>
      </w:r>
      <w:r w:rsidRPr="00CB791A">
        <w:t xml:space="preserve">une déclaration unilatérale ne constituait pas une base suffisamment certaine pour obtenir la réouverture de la procédure interne, par exemple </w:t>
      </w:r>
      <w:proofErr w:type="spellStart"/>
      <w:r w:rsidRPr="00CB791A">
        <w:rPr>
          <w:i/>
        </w:rPr>
        <w:t>Aviakompaniya</w:t>
      </w:r>
      <w:proofErr w:type="spellEnd"/>
      <w:r w:rsidRPr="00CB791A">
        <w:rPr>
          <w:i/>
        </w:rPr>
        <w:t xml:space="preserve"> A.T.I., ZAT</w:t>
      </w:r>
      <w:r w:rsidRPr="00CB791A">
        <w:t xml:space="preserve">, précité, §§ 36-41, </w:t>
      </w:r>
      <w:proofErr w:type="spellStart"/>
      <w:r w:rsidRPr="00CB791A">
        <w:rPr>
          <w:i/>
        </w:rPr>
        <w:t>Romić</w:t>
      </w:r>
      <w:proofErr w:type="spellEnd"/>
      <w:r w:rsidRPr="00CB791A">
        <w:rPr>
          <w:i/>
        </w:rPr>
        <w:t xml:space="preserve"> et autres c.</w:t>
      </w:r>
      <w:r w:rsidRPr="00CB791A" w:rsidR="009A171A">
        <w:rPr>
          <w:i/>
        </w:rPr>
        <w:t> </w:t>
      </w:r>
      <w:r w:rsidRPr="00CB791A">
        <w:rPr>
          <w:i/>
        </w:rPr>
        <w:t>Croatie</w:t>
      </w:r>
      <w:r w:rsidRPr="00CB791A">
        <w:t>, n</w:t>
      </w:r>
      <w:r w:rsidRPr="00CB791A">
        <w:rPr>
          <w:vertAlign w:val="superscript"/>
        </w:rPr>
        <w:t>os</w:t>
      </w:r>
      <w:r w:rsidRPr="00CB791A">
        <w:t xml:space="preserve"> 22238/13 et 6</w:t>
      </w:r>
      <w:r w:rsidRPr="00CB791A" w:rsidR="007850E1">
        <w:t> </w:t>
      </w:r>
      <w:r w:rsidRPr="00CB791A">
        <w:t xml:space="preserve">autres, §§ 84-87, 14 mai 2020, et </w:t>
      </w:r>
      <w:proofErr w:type="spellStart"/>
      <w:r w:rsidRPr="00CB791A">
        <w:rPr>
          <w:i/>
          <w:iCs/>
        </w:rPr>
        <w:t>Keskin</w:t>
      </w:r>
      <w:proofErr w:type="spellEnd"/>
      <w:r w:rsidRPr="00CB791A">
        <w:rPr>
          <w:i/>
          <w:iCs/>
        </w:rPr>
        <w:t xml:space="preserve"> c. Pays-Bas</w:t>
      </w:r>
      <w:r w:rsidRPr="00CB791A">
        <w:t>, n</w:t>
      </w:r>
      <w:r w:rsidRPr="00CB791A">
        <w:rPr>
          <w:vertAlign w:val="superscript"/>
        </w:rPr>
        <w:t>o</w:t>
      </w:r>
      <w:r w:rsidRPr="00CB791A" w:rsidR="007850E1">
        <w:t> </w:t>
      </w:r>
      <w:r w:rsidRPr="00CB791A">
        <w:t>2205/16</w:t>
      </w:r>
      <w:r w:rsidRPr="00CB791A">
        <w:rPr>
          <w:snapToGrid w:val="0"/>
        </w:rPr>
        <w:t>, §§</w:t>
      </w:r>
      <w:r w:rsidRPr="00CB791A" w:rsidR="007850E1">
        <w:rPr>
          <w:snapToGrid w:val="0"/>
        </w:rPr>
        <w:t> </w:t>
      </w:r>
      <w:r w:rsidRPr="00CB791A">
        <w:rPr>
          <w:snapToGrid w:val="0"/>
        </w:rPr>
        <w:t>30</w:t>
      </w:r>
      <w:r w:rsidRPr="00CB791A" w:rsidR="007850E1">
        <w:rPr>
          <w:snapToGrid w:val="0"/>
        </w:rPr>
        <w:noBreakHyphen/>
      </w:r>
      <w:r w:rsidRPr="00CB791A">
        <w:rPr>
          <w:snapToGrid w:val="0"/>
        </w:rPr>
        <w:t>32, 19 janvier 2021</w:t>
      </w:r>
      <w:r w:rsidRPr="00CB791A">
        <w:t>).</w:t>
      </w:r>
    </w:p>
    <w:p w:rsidRPr="00CB791A" w:rsidR="00CB791A" w:rsidP="00CB791A" w:rsidRDefault="00B34B1B" w14:paraId="78F9F93C" w14:textId="77777777">
      <w:pPr>
        <w:pStyle w:val="JuPara"/>
      </w:pPr>
      <w:r w:rsidRPr="00CB791A">
        <w:fldChar w:fldCharType="begin"/>
      </w:r>
      <w:r w:rsidRPr="00CB791A">
        <w:instrText xml:space="preserve"> SEQ level0 \*arabic </w:instrText>
      </w:r>
      <w:r w:rsidRPr="00CB791A">
        <w:fldChar w:fldCharType="separate"/>
      </w:r>
      <w:r w:rsidRPr="00CB791A" w:rsidR="00CB791A">
        <w:rPr>
          <w:noProof/>
        </w:rPr>
        <w:t>64</w:t>
      </w:r>
      <w:r w:rsidRPr="00CB791A">
        <w:fldChar w:fldCharType="end"/>
      </w:r>
      <w:r w:rsidRPr="00CB791A">
        <w:t>.  Les requérants ayant demandé la réouverture de la procédure pénale menée contre eux, il incombait aux organes belges compétents, en l</w:t>
      </w:r>
      <w:r w:rsidRPr="00CB791A" w:rsidR="00CB791A">
        <w:t>’</w:t>
      </w:r>
      <w:r w:rsidRPr="00CB791A">
        <w:t>espèce la Cour de cassation, de tirer les conséquences dans l</w:t>
      </w:r>
      <w:r w:rsidRPr="00CB791A" w:rsidR="00CB791A">
        <w:t>’</w:t>
      </w:r>
      <w:r w:rsidRPr="00CB791A">
        <w:t>ordre juridique interne de la déclaration unilatérale du Gouvernement et de la décision de la Cour qui en avait pris acte. Cette tâche s</w:t>
      </w:r>
      <w:r w:rsidRPr="00CB791A" w:rsidR="00CB791A">
        <w:t>’</w:t>
      </w:r>
      <w:r w:rsidRPr="00CB791A">
        <w:t>inscrivait dans le partage des responsabilités entre les autorités nationales et la Cour en ce qui concerne la garantie du respect des droits et libertés définis dans la Convention et ses protocoles, et plus particulièrement dans la responsabilité primaire des autorités nationales à cet égard (voir paragraphe</w:t>
      </w:r>
      <w:r w:rsidRPr="00CB791A" w:rsidR="007850E1">
        <w:t> </w:t>
      </w:r>
      <w:r w:rsidRPr="00CB791A">
        <w:fldChar w:fldCharType="begin"/>
      </w:r>
      <w:r w:rsidRPr="00CB791A">
        <w:instrText xml:space="preserve"> REF RespPartagée \h  \* MERGEFORMAT </w:instrText>
      </w:r>
      <w:r w:rsidRPr="00CB791A">
        <w:fldChar w:fldCharType="separate"/>
      </w:r>
      <w:r w:rsidRPr="00CB791A" w:rsidR="00CB791A">
        <w:rPr>
          <w:rFonts w:cstheme="minorHAnsi"/>
        </w:rPr>
        <w:t>61</w:t>
      </w:r>
      <w:r w:rsidRPr="00CB791A">
        <w:fldChar w:fldCharType="end"/>
      </w:r>
      <w:r w:rsidRPr="00CB791A">
        <w:t xml:space="preserve"> ci-dessus, et notamment </w:t>
      </w:r>
      <w:proofErr w:type="spellStart"/>
      <w:r w:rsidRPr="00CB791A">
        <w:rPr>
          <w:i/>
          <w:iCs/>
        </w:rPr>
        <w:t>Guðmundur</w:t>
      </w:r>
      <w:proofErr w:type="spellEnd"/>
      <w:r w:rsidRPr="00CB791A">
        <w:rPr>
          <w:i/>
          <w:iCs/>
        </w:rPr>
        <w:t xml:space="preserve"> </w:t>
      </w:r>
      <w:proofErr w:type="spellStart"/>
      <w:r w:rsidRPr="00CB791A">
        <w:rPr>
          <w:i/>
          <w:iCs/>
        </w:rPr>
        <w:t>Andri</w:t>
      </w:r>
      <w:proofErr w:type="spellEnd"/>
      <w:r w:rsidRPr="00CB791A">
        <w:rPr>
          <w:i/>
          <w:iCs/>
        </w:rPr>
        <w:t xml:space="preserve"> </w:t>
      </w:r>
      <w:proofErr w:type="spellStart"/>
      <w:r w:rsidRPr="00CB791A">
        <w:rPr>
          <w:i/>
          <w:iCs/>
        </w:rPr>
        <w:t>Ástráðsson</w:t>
      </w:r>
      <w:proofErr w:type="spellEnd"/>
      <w:r w:rsidRPr="00CB791A">
        <w:t>, précité, § 250).</w:t>
      </w:r>
    </w:p>
    <w:p w:rsidRPr="00CB791A" w:rsidR="00B34B1B" w:rsidP="00CB791A" w:rsidRDefault="00E068C6" w14:paraId="03D2A68E" w14:textId="19A563FF">
      <w:pPr>
        <w:pStyle w:val="JuPara"/>
      </w:pPr>
      <w:fldSimple w:instr=" SEQ level0 \*arabic \* MERGEFORMAT ">
        <w:r w:rsidRPr="00CB791A" w:rsidR="00CB791A">
          <w:rPr>
            <w:noProof/>
          </w:rPr>
          <w:t>65</w:t>
        </w:r>
      </w:fldSimple>
      <w:r w:rsidRPr="00CB791A" w:rsidR="00B34B1B">
        <w:t>.  La Cour constate qu</w:t>
      </w:r>
      <w:r w:rsidRPr="00CB791A" w:rsidR="00CB791A">
        <w:t>’</w:t>
      </w:r>
      <w:r w:rsidRPr="00CB791A" w:rsidR="00B34B1B">
        <w:t>en l</w:t>
      </w:r>
      <w:r w:rsidRPr="00CB791A" w:rsidR="00CB791A">
        <w:t>’</w:t>
      </w:r>
      <w:r w:rsidRPr="00CB791A" w:rsidR="00B34B1B">
        <w:t>espèce la Cour de cassation, en application de l</w:t>
      </w:r>
      <w:r w:rsidRPr="00CB791A" w:rsidR="00CB791A">
        <w:t>’</w:t>
      </w:r>
      <w:r w:rsidRPr="00CB791A" w:rsidR="00B34B1B">
        <w:t>article 442</w:t>
      </w:r>
      <w:r w:rsidRPr="00CB791A" w:rsidR="00B34B1B">
        <w:rPr>
          <w:i/>
          <w:iCs/>
        </w:rPr>
        <w:t>bis</w:t>
      </w:r>
      <w:r w:rsidRPr="00CB791A" w:rsidR="00B34B1B">
        <w:t xml:space="preserve"> alinéa 2 du CIC, a admis la demande en réouverture de la procédure. Statuant sur le bien-fondé de celle-ci, après avoir énoncé qu</w:t>
      </w:r>
      <w:r w:rsidRPr="00CB791A" w:rsidR="00CB791A">
        <w:t>’</w:t>
      </w:r>
      <w:r w:rsidRPr="00CB791A" w:rsidR="00B34B1B">
        <w:t>elle n</w:t>
      </w:r>
      <w:r w:rsidRPr="00CB791A" w:rsidR="00CB791A">
        <w:t>’</w:t>
      </w:r>
      <w:r w:rsidRPr="00CB791A" w:rsidR="00B34B1B">
        <w:t>était pas liée par la déclaration du Gouvernement et que la Cour, dans sa décision de radiation, n</w:t>
      </w:r>
      <w:r w:rsidRPr="00CB791A" w:rsidR="00CB791A">
        <w:t>’</w:t>
      </w:r>
      <w:r w:rsidRPr="00CB791A" w:rsidR="00B34B1B">
        <w:t>avait pas elle-même constaté une violation de la Convention, la Cour de cassation s</w:t>
      </w:r>
      <w:r w:rsidRPr="00CB791A" w:rsidR="00CB791A">
        <w:t>’</w:t>
      </w:r>
      <w:r w:rsidRPr="00CB791A" w:rsidR="00B34B1B">
        <w:t>est livrée à un examen du grief dirigé par les requérants contre son arrêt du 1</w:t>
      </w:r>
      <w:r w:rsidRPr="00CB791A" w:rsidR="00B34B1B">
        <w:rPr>
          <w:vertAlign w:val="superscript"/>
        </w:rPr>
        <w:t>er</w:t>
      </w:r>
      <w:r w:rsidRPr="00CB791A" w:rsidR="00B34B1B">
        <w:t xml:space="preserve"> juin 2016. Elle a conclu qu</w:t>
      </w:r>
      <w:r w:rsidRPr="00CB791A" w:rsidR="00CB791A">
        <w:t>’</w:t>
      </w:r>
      <w:r w:rsidRPr="00CB791A" w:rsidR="00B34B1B">
        <w:t>il n</w:t>
      </w:r>
      <w:r w:rsidRPr="00CB791A" w:rsidR="00CB791A">
        <w:t>’</w:t>
      </w:r>
      <w:r w:rsidRPr="00CB791A" w:rsidR="00B34B1B">
        <w:t>apparaissait pas de cet examen que cet arrêt soit contraire sur le fond à la Convention ni qu</w:t>
      </w:r>
      <w:r w:rsidRPr="00CB791A" w:rsidR="00CB791A">
        <w:t>’</w:t>
      </w:r>
      <w:r w:rsidRPr="00CB791A" w:rsidR="00B34B1B">
        <w:t>il soit entaché d</w:t>
      </w:r>
      <w:r w:rsidRPr="00CB791A" w:rsidR="00CB791A">
        <w:t>’</w:t>
      </w:r>
      <w:r w:rsidRPr="00CB791A" w:rsidR="00B34B1B">
        <w:t>une violation résultant d</w:t>
      </w:r>
      <w:r w:rsidRPr="00CB791A" w:rsidR="00CB791A">
        <w:t>’</w:t>
      </w:r>
      <w:r w:rsidRPr="00CB791A" w:rsidR="00B34B1B">
        <w:t>une erreur ou d</w:t>
      </w:r>
      <w:r w:rsidRPr="00CB791A" w:rsidR="00CB791A">
        <w:t>’</w:t>
      </w:r>
      <w:r w:rsidRPr="00CB791A" w:rsidR="00B34B1B">
        <w:t>une défaillance grave, au sens de l</w:t>
      </w:r>
      <w:r w:rsidRPr="00CB791A" w:rsidR="00CB791A">
        <w:t>’</w:t>
      </w:r>
      <w:r w:rsidRPr="00CB791A" w:rsidR="00B34B1B">
        <w:t>article</w:t>
      </w:r>
      <w:r w:rsidRPr="00CB791A" w:rsidR="007850E1">
        <w:t> </w:t>
      </w:r>
      <w:r w:rsidRPr="00CB791A" w:rsidR="00B34B1B">
        <w:t>442</w:t>
      </w:r>
      <w:r w:rsidRPr="00CB791A" w:rsidR="00B34B1B">
        <w:rPr>
          <w:i/>
          <w:iCs/>
        </w:rPr>
        <w:t>quinquies</w:t>
      </w:r>
      <w:r w:rsidRPr="00CB791A" w:rsidR="00B34B1B">
        <w:t xml:space="preserve"> du CIC.</w:t>
      </w:r>
    </w:p>
    <w:bookmarkStart w:name="O" w:id="43"/>
    <w:p w:rsidRPr="00CB791A" w:rsidR="00B34B1B" w:rsidP="00CB791A" w:rsidRDefault="00B34B1B" w14:paraId="434C5726" w14:textId="5C1886D0">
      <w:pPr>
        <w:pStyle w:val="JuPara"/>
      </w:pPr>
      <w:r w:rsidRPr="00CB791A">
        <w:fldChar w:fldCharType="begin"/>
      </w:r>
      <w:r w:rsidRPr="00CB791A">
        <w:instrText xml:space="preserve"> SEQ level0 \*arabic </w:instrText>
      </w:r>
      <w:r w:rsidRPr="00CB791A">
        <w:fldChar w:fldCharType="separate"/>
      </w:r>
      <w:r w:rsidRPr="00CB791A" w:rsidR="00CB791A">
        <w:rPr>
          <w:noProof/>
        </w:rPr>
        <w:t>66</w:t>
      </w:r>
      <w:r w:rsidRPr="00CB791A">
        <w:fldChar w:fldCharType="end"/>
      </w:r>
      <w:bookmarkEnd w:id="43"/>
      <w:r w:rsidRPr="00CB791A">
        <w:t>.  Le rejet par la Cour de cassation de la demande en réouverture de la procédure a pour effet que les engagements du Gouvernement contenus dans sa déclaration unilatérale sont restés sans effet utile dans l</w:t>
      </w:r>
      <w:r w:rsidRPr="00CB791A" w:rsidR="00CB791A">
        <w:t>’</w:t>
      </w:r>
      <w:r w:rsidRPr="00CB791A">
        <w:t>ordre juridique interne. Il s</w:t>
      </w:r>
      <w:r w:rsidRPr="00CB791A" w:rsidR="00CB791A">
        <w:t>’</w:t>
      </w:r>
      <w:r w:rsidRPr="00CB791A">
        <w:t>agit là d</w:t>
      </w:r>
      <w:r w:rsidRPr="00CB791A" w:rsidR="00CB791A">
        <w:t>’</w:t>
      </w:r>
      <w:r w:rsidRPr="00CB791A">
        <w:t>une « circonstance exceptionnelle » qui a conduit la Cour, le 28 mai 2019, à réinscrire les requêtes initiales au rôle, à la demande des requérants. La Cour est ainsi appelée à examiner la recevabilité et le bien-fondé des griefs initiaux des requérants dirigés contre l</w:t>
      </w:r>
      <w:r w:rsidRPr="00CB791A" w:rsidR="00CB791A">
        <w:t>’</w:t>
      </w:r>
      <w:r w:rsidRPr="00CB791A">
        <w:t>arrêt de la Cour de cassation du 1</w:t>
      </w:r>
      <w:r w:rsidRPr="00CB791A">
        <w:rPr>
          <w:vertAlign w:val="superscript"/>
        </w:rPr>
        <w:t>er</w:t>
      </w:r>
      <w:r w:rsidRPr="00CB791A">
        <w:t xml:space="preserve"> juin 2016. Elle examinera ces griefs à la lumière notamment des considérations développées par la Cour de cassation dans son arrêt du 7 novembre 2018, poursuivant ainsi le « dialogue judiciaire » que la haute juridiction a entamé avec ce dernier arrêt.</w:t>
      </w:r>
    </w:p>
    <w:p w:rsidRPr="00CB791A" w:rsidR="00B34B1B" w:rsidP="00CB791A" w:rsidRDefault="00B34B1B" w14:paraId="3E388167" w14:textId="6ABBDD69">
      <w:pPr>
        <w:pStyle w:val="JuHIRoman"/>
      </w:pPr>
      <w:bookmarkStart w:name="_Hlk36127423" w:id="44"/>
      <w:bookmarkStart w:name="_Hlk34839031" w:id="45"/>
      <w:r w:rsidRPr="00CB791A">
        <w:t>SUR LA VIOLATION ALLÉGUÉE DE L</w:t>
      </w:r>
      <w:r w:rsidRPr="00CB791A" w:rsidR="00CB791A">
        <w:t>’</w:t>
      </w:r>
      <w:r w:rsidRPr="00CB791A">
        <w:t>ARTICLE 6 § 1 DE LA CONVENTION</w:t>
      </w:r>
      <w:bookmarkEnd w:id="44"/>
      <w:r w:rsidRPr="00CB791A">
        <w:t xml:space="preserve"> DANS LA PROC</w:t>
      </w:r>
      <w:r w:rsidRPr="00CB791A">
        <w:rPr>
          <w:rFonts w:cstheme="minorHAnsi"/>
        </w:rPr>
        <w:t>É</w:t>
      </w:r>
      <w:r w:rsidRPr="00CB791A">
        <w:t>DURE INITIALE</w:t>
      </w:r>
    </w:p>
    <w:bookmarkStart w:name="H" w:id="46"/>
    <w:p w:rsidRPr="00CB791A" w:rsidR="00B34B1B" w:rsidP="00CB791A" w:rsidRDefault="00B34B1B" w14:paraId="4D507DE1" w14:textId="2415AADB">
      <w:pPr>
        <w:pStyle w:val="JuPara"/>
      </w:pPr>
      <w:r w:rsidRPr="00CB791A">
        <w:fldChar w:fldCharType="begin"/>
      </w:r>
      <w:r w:rsidRPr="00CB791A">
        <w:instrText xml:space="preserve"> SEQ level0 \*arabic </w:instrText>
      </w:r>
      <w:r w:rsidRPr="00CB791A">
        <w:fldChar w:fldCharType="separate"/>
      </w:r>
      <w:r w:rsidRPr="00CB791A" w:rsidR="00CB791A">
        <w:rPr>
          <w:noProof/>
        </w:rPr>
        <w:t>67</w:t>
      </w:r>
      <w:r w:rsidRPr="00CB791A">
        <w:fldChar w:fldCharType="end"/>
      </w:r>
      <w:bookmarkEnd w:id="46"/>
      <w:r w:rsidRPr="00CB791A">
        <w:t xml:space="preserve">.  Les requérants se plaignent </w:t>
      </w:r>
      <w:bookmarkStart w:name="_Hlk36127488" w:id="47"/>
      <w:r w:rsidRPr="00CB791A">
        <w:t>que l</w:t>
      </w:r>
      <w:r w:rsidRPr="00CB791A" w:rsidR="00CB791A">
        <w:t>’</w:t>
      </w:r>
      <w:r w:rsidRPr="00CB791A">
        <w:t>arrêt de la Cour de cassation du 1</w:t>
      </w:r>
      <w:r w:rsidRPr="00CB791A">
        <w:rPr>
          <w:vertAlign w:val="superscript"/>
        </w:rPr>
        <w:t>er </w:t>
      </w:r>
      <w:r w:rsidRPr="00CB791A">
        <w:t>juin 2016 les a privés de l</w:t>
      </w:r>
      <w:r w:rsidRPr="00CB791A" w:rsidR="00CB791A">
        <w:t>’</w:t>
      </w:r>
      <w:r w:rsidRPr="00CB791A">
        <w:t>exercice de leur droit de se pourvoir en cassation en raison d</w:t>
      </w:r>
      <w:r w:rsidRPr="00CB791A" w:rsidR="00CB791A">
        <w:t>’</w:t>
      </w:r>
      <w:r w:rsidRPr="00CB791A">
        <w:t>un formalisme excessif.</w:t>
      </w:r>
      <w:bookmarkEnd w:id="47"/>
      <w:r w:rsidRPr="00CB791A">
        <w:t xml:space="preserve"> Ils invoquent </w:t>
      </w:r>
      <w:bookmarkStart w:name="_Hlk36127508" w:id="48"/>
      <w:r w:rsidRPr="00CB791A">
        <w:t>l</w:t>
      </w:r>
      <w:r w:rsidRPr="00CB791A" w:rsidR="00CB791A">
        <w:t>’</w:t>
      </w:r>
      <w:r w:rsidRPr="00CB791A">
        <w:t>article</w:t>
      </w:r>
      <w:r w:rsidRPr="00CB791A" w:rsidR="007850E1">
        <w:t> </w:t>
      </w:r>
      <w:r w:rsidRPr="00CB791A">
        <w:t>6 §</w:t>
      </w:r>
      <w:r w:rsidRPr="00CB791A" w:rsidR="007850E1">
        <w:t> </w:t>
      </w:r>
      <w:r w:rsidRPr="00CB791A">
        <w:t>1 de la Convention, qui est ainsi libellé :</w:t>
      </w:r>
    </w:p>
    <w:p w:rsidRPr="00CB791A" w:rsidR="00B34B1B" w:rsidP="00CB791A" w:rsidRDefault="00B34B1B" w14:paraId="23FA0F09" w14:textId="77777777">
      <w:pPr>
        <w:pStyle w:val="JuQuot"/>
      </w:pPr>
      <w:bookmarkStart w:name="_Hlk36127545" w:id="49"/>
      <w:bookmarkEnd w:id="48"/>
      <w:r w:rsidRPr="00CB791A">
        <w:t>« Toute personne a droit à ce que sa cause soit entendue équitablement (...) par un tribunal (...) qui décidera (...) du bien-fondé de toute accusation en matière pénale dirigée contre elle. »</w:t>
      </w:r>
    </w:p>
    <w:bookmarkEnd w:id="49"/>
    <w:p w:rsidRPr="00CB791A" w:rsidR="00B34B1B" w:rsidP="00CB791A" w:rsidRDefault="00B34B1B" w14:paraId="4B1F8E22" w14:textId="69C248EF">
      <w:pPr>
        <w:pStyle w:val="JuHA"/>
      </w:pPr>
      <w:r w:rsidRPr="00CB791A">
        <w:t>Portée de l</w:t>
      </w:r>
      <w:r w:rsidRPr="00CB791A" w:rsidR="00CB791A">
        <w:t>’</w:t>
      </w:r>
      <w:r w:rsidRPr="00CB791A">
        <w:t>examen par la Cour</w:t>
      </w:r>
    </w:p>
    <w:p w:rsidRPr="00CB791A" w:rsidR="00B34B1B" w:rsidP="00CB791A" w:rsidRDefault="00B34B1B" w14:paraId="149C7B3B" w14:textId="0D29E830">
      <w:pPr>
        <w:pStyle w:val="JuPara"/>
      </w:pPr>
      <w:r w:rsidRPr="00CB791A">
        <w:fldChar w:fldCharType="begin"/>
      </w:r>
      <w:r w:rsidRPr="00CB791A">
        <w:instrText xml:space="preserve"> SEQ level0 \*arabic </w:instrText>
      </w:r>
      <w:r w:rsidRPr="00CB791A">
        <w:fldChar w:fldCharType="separate"/>
      </w:r>
      <w:r w:rsidRPr="00CB791A" w:rsidR="00CB791A">
        <w:rPr>
          <w:noProof/>
        </w:rPr>
        <w:t>68</w:t>
      </w:r>
      <w:r w:rsidRPr="00CB791A">
        <w:fldChar w:fldCharType="end"/>
      </w:r>
      <w:r w:rsidRPr="00CB791A">
        <w:t>.  La Cour rappelle que dans sa décision de radiation du 13</w:t>
      </w:r>
      <w:r w:rsidRPr="00CB791A" w:rsidR="007850E1">
        <w:t> </w:t>
      </w:r>
      <w:r w:rsidRPr="00CB791A">
        <w:t xml:space="preserve">mars 2018 (paragraphes </w:t>
      </w:r>
      <w:r w:rsidRPr="00CB791A">
        <w:fldChar w:fldCharType="begin"/>
      </w:r>
      <w:r w:rsidRPr="00CB791A">
        <w:instrText xml:space="preserve"> REF FaitsDec13032018RadiationStart \h  \* MERGEFORMAT </w:instrText>
      </w:r>
      <w:r w:rsidRPr="00CB791A">
        <w:fldChar w:fldCharType="separate"/>
      </w:r>
      <w:r w:rsidRPr="00CB791A" w:rsidR="00CB791A">
        <w:t>19</w:t>
      </w:r>
      <w:r w:rsidRPr="00CB791A">
        <w:fldChar w:fldCharType="end"/>
      </w:r>
      <w:r w:rsidRPr="00CB791A">
        <w:t>-</w:t>
      </w:r>
      <w:r w:rsidRPr="00CB791A">
        <w:fldChar w:fldCharType="begin"/>
      </w:r>
      <w:r w:rsidRPr="00CB791A">
        <w:instrText xml:space="preserve"> REF FaitsDec13032018RadiationEnd \h  \* MERGEFORMAT </w:instrText>
      </w:r>
      <w:r w:rsidRPr="00CB791A">
        <w:fldChar w:fldCharType="separate"/>
      </w:r>
      <w:r w:rsidRPr="00CB791A" w:rsidR="00CB791A">
        <w:rPr>
          <w:rFonts w:eastAsiaTheme="minorEastAsia"/>
          <w:szCs w:val="22"/>
        </w:rPr>
        <w:t>21</w:t>
      </w:r>
      <w:r w:rsidRPr="00CB791A">
        <w:fldChar w:fldCharType="end"/>
      </w:r>
      <w:r w:rsidRPr="00CB791A">
        <w:t xml:space="preserve"> ci-dessus), elle n</w:t>
      </w:r>
      <w:r w:rsidRPr="00CB791A" w:rsidR="00CB791A">
        <w:t>’</w:t>
      </w:r>
      <w:r w:rsidRPr="00CB791A">
        <w:t>a pas examiné la recevabilité ni le bien-fondé des griefs soulevés par les requêtes initiales. Elle n</w:t>
      </w:r>
      <w:r w:rsidRPr="00CB791A" w:rsidR="00CB791A">
        <w:t>’</w:t>
      </w:r>
      <w:r w:rsidRPr="00CB791A">
        <w:t>a donc pas épuisé sa juridiction à leur égard.</w:t>
      </w:r>
    </w:p>
    <w:p w:rsidRPr="00CB791A" w:rsidR="00B34B1B" w:rsidP="00CB791A" w:rsidRDefault="00B34B1B" w14:paraId="523047D8" w14:textId="43655F32">
      <w:pPr>
        <w:pStyle w:val="JuPara"/>
      </w:pPr>
      <w:r w:rsidRPr="00CB791A">
        <w:fldChar w:fldCharType="begin"/>
      </w:r>
      <w:r w:rsidRPr="00CB791A">
        <w:instrText xml:space="preserve"> SEQ level0 \*arabic </w:instrText>
      </w:r>
      <w:r w:rsidRPr="00CB791A">
        <w:fldChar w:fldCharType="separate"/>
      </w:r>
      <w:r w:rsidRPr="00CB791A" w:rsidR="00CB791A">
        <w:rPr>
          <w:noProof/>
        </w:rPr>
        <w:t>69</w:t>
      </w:r>
      <w:r w:rsidRPr="00CB791A">
        <w:fldChar w:fldCharType="end"/>
      </w:r>
      <w:r w:rsidRPr="00CB791A">
        <w:t>.  À la suite de la réinscription de ces requêtes au rôle (paragraphe</w:t>
      </w:r>
      <w:r w:rsidRPr="00CB791A" w:rsidR="007850E1">
        <w:t> </w:t>
      </w:r>
      <w:r w:rsidRPr="00CB791A">
        <w:fldChar w:fldCharType="begin"/>
      </w:r>
      <w:r w:rsidRPr="00CB791A">
        <w:instrText xml:space="preserve"> REF FaitsDec29052019Réinscription \h  \* MERGEFORMAT </w:instrText>
      </w:r>
      <w:r w:rsidRPr="00CB791A">
        <w:fldChar w:fldCharType="separate"/>
      </w:r>
      <w:r w:rsidRPr="00CB791A" w:rsidR="00CB791A">
        <w:t>27</w:t>
      </w:r>
      <w:r w:rsidRPr="00CB791A">
        <w:fldChar w:fldCharType="end"/>
      </w:r>
      <w:r w:rsidRPr="00CB791A">
        <w:t xml:space="preserve"> ci-dessus), la Cour est de nouveau saisie des griefs que les requérants ont formulés dans leurs requêtes initiales dans la mesure où ils n</w:t>
      </w:r>
      <w:r w:rsidRPr="00CB791A" w:rsidR="00CB791A">
        <w:t>’</w:t>
      </w:r>
      <w:r w:rsidRPr="00CB791A">
        <w:t>ont pas été déclarés irrecevables lors de la communication des requêtes au Gouvernement.</w:t>
      </w:r>
    </w:p>
    <w:bookmarkStart w:name="F" w:id="50"/>
    <w:p w:rsidRPr="00CB791A" w:rsidR="00B34B1B" w:rsidP="00CB791A" w:rsidRDefault="00B34B1B" w14:paraId="21411944" w14:textId="44125EE9">
      <w:pPr>
        <w:pStyle w:val="JuPara"/>
      </w:pPr>
      <w:r w:rsidRPr="00CB791A">
        <w:fldChar w:fldCharType="begin"/>
      </w:r>
      <w:r w:rsidRPr="00CB791A">
        <w:instrText xml:space="preserve"> SEQ level0 \*arabic </w:instrText>
      </w:r>
      <w:r w:rsidRPr="00CB791A">
        <w:fldChar w:fldCharType="separate"/>
      </w:r>
      <w:r w:rsidRPr="00CB791A" w:rsidR="00CB791A">
        <w:rPr>
          <w:noProof/>
        </w:rPr>
        <w:t>70</w:t>
      </w:r>
      <w:r w:rsidRPr="00CB791A">
        <w:fldChar w:fldCharType="end"/>
      </w:r>
      <w:bookmarkEnd w:id="50"/>
      <w:r w:rsidRPr="00CB791A">
        <w:t xml:space="preserve">.  La Cour rappelle (paragraphe </w:t>
      </w:r>
      <w:r w:rsidRPr="00CB791A">
        <w:fldChar w:fldCharType="begin"/>
      </w:r>
      <w:r w:rsidRPr="00CB791A">
        <w:instrText xml:space="preserve"> REF O \h </w:instrText>
      </w:r>
      <w:r w:rsidRPr="00CB791A">
        <w:fldChar w:fldCharType="separate"/>
      </w:r>
      <w:r w:rsidRPr="00CB791A" w:rsidR="00CB791A">
        <w:rPr>
          <w:noProof/>
        </w:rPr>
        <w:t>66</w:t>
      </w:r>
      <w:r w:rsidRPr="00CB791A">
        <w:fldChar w:fldCharType="end"/>
      </w:r>
      <w:r w:rsidRPr="00CB791A">
        <w:t xml:space="preserve"> ci-dessus) qu</w:t>
      </w:r>
      <w:r w:rsidRPr="00CB791A" w:rsidR="00CB791A">
        <w:t>’</w:t>
      </w:r>
      <w:r w:rsidRPr="00CB791A">
        <w:t>elle examinera lesdits griefs, dirigés contre l</w:t>
      </w:r>
      <w:r w:rsidRPr="00CB791A" w:rsidR="00CB791A">
        <w:t>’</w:t>
      </w:r>
      <w:r w:rsidRPr="00CB791A">
        <w:t>arrêt de la Cour de cassation du 1</w:t>
      </w:r>
      <w:r w:rsidRPr="00CB791A">
        <w:rPr>
          <w:vertAlign w:val="superscript"/>
        </w:rPr>
        <w:t>er</w:t>
      </w:r>
      <w:r w:rsidRPr="00CB791A">
        <w:t xml:space="preserve"> juin 2016 (paragraphe</w:t>
      </w:r>
      <w:r w:rsidRPr="00CB791A" w:rsidR="007850E1">
        <w:t> </w:t>
      </w:r>
      <w:r w:rsidRPr="00CB791A">
        <w:fldChar w:fldCharType="begin"/>
      </w:r>
      <w:r w:rsidRPr="00CB791A">
        <w:instrText xml:space="preserve"> REF FaitsCass01062016 \h  \* MERGEFORMAT </w:instrText>
      </w:r>
      <w:r w:rsidRPr="00CB791A">
        <w:fldChar w:fldCharType="separate"/>
      </w:r>
      <w:r w:rsidRPr="00CB791A" w:rsidR="00CB791A">
        <w:t>11</w:t>
      </w:r>
      <w:r w:rsidRPr="00CB791A">
        <w:fldChar w:fldCharType="end"/>
      </w:r>
      <w:r w:rsidRPr="00CB791A">
        <w:t xml:space="preserve"> ci-dessus), tels qu</w:t>
      </w:r>
      <w:r w:rsidRPr="00CB791A" w:rsidR="00CB791A">
        <w:t>’</w:t>
      </w:r>
      <w:r w:rsidRPr="00CB791A">
        <w:t xml:space="preserve">ils étaient formulés dans les requêtes initiales, mais en tenant compte des motifs donnés par la Cour de cassation dans son arrêt du 7 novembre 2018 (paragraphes </w:t>
      </w:r>
      <w:r w:rsidRPr="00CB791A">
        <w:rPr>
          <w:rFonts w:eastAsiaTheme="minorEastAsia"/>
          <w:szCs w:val="22"/>
        </w:rPr>
        <w:fldChar w:fldCharType="begin"/>
      </w:r>
      <w:r w:rsidRPr="00CB791A">
        <w:rPr>
          <w:rFonts w:eastAsiaTheme="minorEastAsia"/>
        </w:rPr>
        <w:instrText xml:space="preserve"> REF B \h </w:instrText>
      </w:r>
      <w:r w:rsidRPr="00CB791A">
        <w:rPr>
          <w:rFonts w:eastAsiaTheme="minorEastAsia"/>
          <w:szCs w:val="22"/>
        </w:rPr>
        <w:instrText xml:space="preserve"> \* MERGEFORMAT </w:instrText>
      </w:r>
      <w:r w:rsidRPr="00CB791A">
        <w:rPr>
          <w:rFonts w:eastAsiaTheme="minorEastAsia"/>
          <w:szCs w:val="22"/>
        </w:rPr>
      </w:r>
      <w:r w:rsidRPr="00CB791A">
        <w:rPr>
          <w:rFonts w:eastAsiaTheme="minorEastAsia"/>
          <w:szCs w:val="22"/>
        </w:rPr>
        <w:fldChar w:fldCharType="separate"/>
      </w:r>
      <w:r w:rsidRPr="00CB791A" w:rsidR="00CB791A">
        <w:rPr>
          <w:rFonts w:eastAsiaTheme="minorEastAsia"/>
        </w:rPr>
        <w:t>24</w:t>
      </w:r>
      <w:r w:rsidRPr="00CB791A">
        <w:rPr>
          <w:rFonts w:eastAsiaTheme="minorEastAsia"/>
          <w:szCs w:val="22"/>
        </w:rPr>
        <w:fldChar w:fldCharType="end"/>
      </w:r>
      <w:r w:rsidRPr="00CB791A">
        <w:rPr>
          <w:rFonts w:eastAsiaTheme="minorEastAsia"/>
        </w:rPr>
        <w:t>-</w:t>
      </w:r>
      <w:r w:rsidRPr="00CB791A">
        <w:rPr>
          <w:rFonts w:eastAsiaTheme="minorEastAsia"/>
        </w:rPr>
        <w:fldChar w:fldCharType="begin"/>
      </w:r>
      <w:r w:rsidRPr="00CB791A">
        <w:rPr>
          <w:rFonts w:eastAsiaTheme="minorEastAsia"/>
        </w:rPr>
        <w:instrText xml:space="preserve"> REF M \h  \* MERGEFORMAT </w:instrText>
      </w:r>
      <w:r w:rsidRPr="00CB791A">
        <w:rPr>
          <w:rFonts w:eastAsiaTheme="minorEastAsia"/>
        </w:rPr>
      </w:r>
      <w:r w:rsidRPr="00CB791A">
        <w:rPr>
          <w:rFonts w:eastAsiaTheme="minorEastAsia"/>
        </w:rPr>
        <w:fldChar w:fldCharType="separate"/>
      </w:r>
      <w:r w:rsidRPr="00CB791A" w:rsidR="00CB791A">
        <w:t>26</w:t>
      </w:r>
      <w:r w:rsidRPr="00CB791A">
        <w:rPr>
          <w:rFonts w:eastAsiaTheme="minorEastAsia"/>
        </w:rPr>
        <w:fldChar w:fldCharType="end"/>
      </w:r>
      <w:r w:rsidRPr="00CB791A">
        <w:t xml:space="preserve"> ci-dessus).</w:t>
      </w:r>
    </w:p>
    <w:p w:rsidRPr="00CB791A" w:rsidR="00B34B1B" w:rsidP="00CB791A" w:rsidRDefault="00B34B1B" w14:paraId="5972F97A" w14:textId="055841CF">
      <w:pPr>
        <w:pStyle w:val="JuHA"/>
      </w:pPr>
      <w:r w:rsidRPr="00CB791A">
        <w:t>Sur la recevabilité</w:t>
      </w:r>
    </w:p>
    <w:p w:rsidRPr="00CB791A" w:rsidR="00B34B1B" w:rsidP="00CB791A" w:rsidRDefault="00B34B1B" w14:paraId="2AD9AADE" w14:textId="3C96C9E7">
      <w:pPr>
        <w:pStyle w:val="JuPara"/>
      </w:pPr>
      <w:r w:rsidRPr="00CB791A">
        <w:fldChar w:fldCharType="begin"/>
      </w:r>
      <w:r w:rsidRPr="00CB791A">
        <w:instrText xml:space="preserve"> SEQ level0 \*arabic </w:instrText>
      </w:r>
      <w:r w:rsidRPr="00CB791A">
        <w:fldChar w:fldCharType="separate"/>
      </w:r>
      <w:r w:rsidRPr="00CB791A" w:rsidR="00CB791A">
        <w:rPr>
          <w:noProof/>
        </w:rPr>
        <w:t>71</w:t>
      </w:r>
      <w:r w:rsidRPr="00CB791A">
        <w:fldChar w:fldCharType="end"/>
      </w:r>
      <w:r w:rsidRPr="00CB791A">
        <w:t>.  </w:t>
      </w:r>
      <w:bookmarkStart w:name="_Hlk36127606" w:id="51"/>
      <w:r w:rsidRPr="00CB791A">
        <w:t>Constatant que le grief n</w:t>
      </w:r>
      <w:r w:rsidRPr="00CB791A" w:rsidR="00CB791A">
        <w:t>’</w:t>
      </w:r>
      <w:r w:rsidRPr="00CB791A">
        <w:t>est pas manifestement mal fondé ni irrecevable pour un autre motif visé à l</w:t>
      </w:r>
      <w:r w:rsidRPr="00CB791A" w:rsidR="00CB791A">
        <w:t>’</w:t>
      </w:r>
      <w:r w:rsidRPr="00CB791A">
        <w:t>article 35 de la Convention, la Cour le déclare recevable.</w:t>
      </w:r>
      <w:bookmarkEnd w:id="51"/>
    </w:p>
    <w:p w:rsidRPr="00CB791A" w:rsidR="00B34B1B" w:rsidP="00CB791A" w:rsidRDefault="00B34B1B" w14:paraId="7B7CCF8D" w14:textId="4924A9A5">
      <w:pPr>
        <w:pStyle w:val="JuHA"/>
        <w:tabs>
          <w:tab w:val="left" w:pos="2127"/>
        </w:tabs>
      </w:pPr>
      <w:bookmarkStart w:name="_Hlk36127650" w:id="52"/>
      <w:r w:rsidRPr="00CB791A">
        <w:t>Sur le fond</w:t>
      </w:r>
      <w:bookmarkEnd w:id="52"/>
    </w:p>
    <w:p w:rsidRPr="00CB791A" w:rsidR="00B34B1B" w:rsidP="00CB791A" w:rsidRDefault="00B34B1B" w14:paraId="7E334A4E" w14:textId="77777777">
      <w:pPr>
        <w:pStyle w:val="JuH1"/>
      </w:pPr>
      <w:r w:rsidRPr="00CB791A">
        <w:t>Thèses des parties</w:t>
      </w:r>
    </w:p>
    <w:p w:rsidRPr="00CB791A" w:rsidR="00B34B1B" w:rsidP="00CB791A" w:rsidRDefault="00B34B1B" w14:paraId="10B69CBB" w14:textId="21F3AC2D">
      <w:pPr>
        <w:pStyle w:val="JuPara"/>
      </w:pPr>
      <w:r w:rsidRPr="00CB791A">
        <w:fldChar w:fldCharType="begin"/>
      </w:r>
      <w:r w:rsidRPr="00CB791A">
        <w:instrText xml:space="preserve"> SEQ level0 \*arabic </w:instrText>
      </w:r>
      <w:r w:rsidRPr="00CB791A">
        <w:fldChar w:fldCharType="separate"/>
      </w:r>
      <w:r w:rsidRPr="00CB791A" w:rsidR="00CB791A">
        <w:rPr>
          <w:noProof/>
        </w:rPr>
        <w:t>72</w:t>
      </w:r>
      <w:r w:rsidRPr="00CB791A">
        <w:fldChar w:fldCharType="end"/>
      </w:r>
      <w:r w:rsidRPr="00CB791A">
        <w:t>.  Les requérants se plaignent que le rejet, par la Cour de cassation, de leurs pourvois au seul motif que l</w:t>
      </w:r>
      <w:r w:rsidRPr="00CB791A" w:rsidR="00CB791A">
        <w:t>’</w:t>
      </w:r>
      <w:r w:rsidRPr="00CB791A">
        <w:t>avocat signataire n</w:t>
      </w:r>
      <w:r w:rsidRPr="00CB791A" w:rsidR="00CB791A">
        <w:t>’</w:t>
      </w:r>
      <w:r w:rsidRPr="00CB791A">
        <w:t>avait pas mentionné qu</w:t>
      </w:r>
      <w:r w:rsidRPr="00CB791A" w:rsidR="00CB791A">
        <w:t>’</w:t>
      </w:r>
      <w:r w:rsidRPr="00CB791A">
        <w:t>il était titulaire de la formation requise par la loi n</w:t>
      </w:r>
      <w:r w:rsidRPr="00CB791A" w:rsidR="00CB791A">
        <w:t>’</w:t>
      </w:r>
      <w:r w:rsidRPr="00CB791A">
        <w:t>était pas prévisible. Ni les dispositions légales ni le règlement de la formation ne prévoient que le signataire d</w:t>
      </w:r>
      <w:r w:rsidRPr="00CB791A" w:rsidR="00CB791A">
        <w:t>’</w:t>
      </w:r>
      <w:r w:rsidRPr="00CB791A">
        <w:t>un mémoire en cassation doit en plus mentionner qu</w:t>
      </w:r>
      <w:r w:rsidRPr="00CB791A" w:rsidR="00CB791A">
        <w:t>’</w:t>
      </w:r>
      <w:r w:rsidRPr="00CB791A">
        <w:t>il est titulaire de la formation en cause. De plus, à la date à laquelle le pourvoi a été formé, et pendant les deux mois qui ont suivi, aucune décision ou publication n</w:t>
      </w:r>
      <w:r w:rsidRPr="00CB791A" w:rsidR="00CB791A">
        <w:t>’</w:t>
      </w:r>
      <w:r w:rsidRPr="00CB791A">
        <w:t>est venue faire état de cette exigence procédurale supplémentaire. Il n</w:t>
      </w:r>
      <w:r w:rsidRPr="00CB791A" w:rsidR="00CB791A">
        <w:t>’</w:t>
      </w:r>
      <w:r w:rsidRPr="00CB791A">
        <w:t>était donc nullement déraisonnable de penser que la Cour de cassation s</w:t>
      </w:r>
      <w:r w:rsidRPr="00CB791A" w:rsidR="00CB791A">
        <w:t>’</w:t>
      </w:r>
      <w:r w:rsidRPr="00CB791A">
        <w:t xml:space="preserve">était </w:t>
      </w:r>
      <w:proofErr w:type="gramStart"/>
      <w:r w:rsidRPr="00CB791A">
        <w:t>vue</w:t>
      </w:r>
      <w:proofErr w:type="gramEnd"/>
      <w:r w:rsidRPr="00CB791A">
        <w:t xml:space="preserve"> communiquer par la commission de formation une liste des avocats auxquels l</w:t>
      </w:r>
      <w:r w:rsidRPr="00CB791A" w:rsidR="00CB791A">
        <w:t>’</w:t>
      </w:r>
      <w:r w:rsidRPr="00CB791A">
        <w:t>attestation avait été délivrée. L</w:t>
      </w:r>
      <w:r w:rsidRPr="00CB791A" w:rsidR="00CB791A">
        <w:t>’</w:t>
      </w:r>
      <w:r w:rsidRPr="00CB791A">
        <w:t>argument de la Cour de cassation déduit du risque d</w:t>
      </w:r>
      <w:r w:rsidRPr="00CB791A" w:rsidR="00CB791A">
        <w:t>’</w:t>
      </w:r>
      <w:r w:rsidRPr="00CB791A">
        <w:t>imprécision de la liste n</w:t>
      </w:r>
      <w:r w:rsidRPr="00CB791A" w:rsidR="00CB791A">
        <w:t>’</w:t>
      </w:r>
      <w:r w:rsidRPr="00CB791A">
        <w:t>est pas pertinent puisqu</w:t>
      </w:r>
      <w:r w:rsidRPr="00CB791A" w:rsidR="00CB791A">
        <w:t>’</w:t>
      </w:r>
      <w:r w:rsidRPr="00CB791A">
        <w:t>en pareille circonstance une erreur pourrait donner lieu à une rétractation de l</w:t>
      </w:r>
      <w:r w:rsidRPr="00CB791A" w:rsidR="00CB791A">
        <w:t>’</w:t>
      </w:r>
      <w:r w:rsidRPr="00CB791A">
        <w:t>arrêt d</w:t>
      </w:r>
      <w:r w:rsidRPr="00CB791A" w:rsidR="00CB791A">
        <w:t>’</w:t>
      </w:r>
      <w:r w:rsidRPr="00CB791A">
        <w:t>irrecevabilité.</w:t>
      </w:r>
    </w:p>
    <w:p w:rsidRPr="00CB791A" w:rsidR="00B34B1B" w:rsidP="00CB791A" w:rsidRDefault="00B34B1B" w14:paraId="48A7784B" w14:textId="37E8B6F6">
      <w:pPr>
        <w:pStyle w:val="JuPara"/>
      </w:pPr>
      <w:r w:rsidRPr="00CB791A">
        <w:fldChar w:fldCharType="begin"/>
      </w:r>
      <w:r w:rsidRPr="00CB791A">
        <w:instrText xml:space="preserve"> SEQ level0 \*arabic </w:instrText>
      </w:r>
      <w:r w:rsidRPr="00CB791A">
        <w:fldChar w:fldCharType="separate"/>
      </w:r>
      <w:r w:rsidRPr="00CB791A" w:rsidR="00CB791A">
        <w:rPr>
          <w:noProof/>
        </w:rPr>
        <w:t>73</w:t>
      </w:r>
      <w:r w:rsidRPr="00CB791A">
        <w:fldChar w:fldCharType="end"/>
      </w:r>
      <w:r w:rsidRPr="00CB791A">
        <w:t>.  Les requérants estiment en outre que la sanction d</w:t>
      </w:r>
      <w:r w:rsidRPr="00CB791A" w:rsidR="00CB791A">
        <w:t>’</w:t>
      </w:r>
      <w:r w:rsidRPr="00CB791A">
        <w:t>irrecevabilité retenue par la Cour de cassation était manifestement hors de proportion avec les buts visés de sécurité juridique et de bonne administration de la justice.</w:t>
      </w:r>
    </w:p>
    <w:p w:rsidRPr="00CB791A" w:rsidR="00B34B1B" w:rsidP="00CB791A" w:rsidRDefault="00B34B1B" w14:paraId="5BBE9E3A" w14:textId="6F0DA14F">
      <w:pPr>
        <w:pStyle w:val="JuPara"/>
      </w:pPr>
      <w:r w:rsidRPr="00CB791A">
        <w:fldChar w:fldCharType="begin"/>
      </w:r>
      <w:r w:rsidRPr="00CB791A">
        <w:instrText xml:space="preserve"> SEQ level0 \*arabic </w:instrText>
      </w:r>
      <w:r w:rsidRPr="00CB791A">
        <w:fldChar w:fldCharType="separate"/>
      </w:r>
      <w:r w:rsidRPr="00CB791A" w:rsidR="00CB791A">
        <w:rPr>
          <w:noProof/>
        </w:rPr>
        <w:t>74</w:t>
      </w:r>
      <w:r w:rsidRPr="00CB791A">
        <w:fldChar w:fldCharType="end"/>
      </w:r>
      <w:r w:rsidRPr="00CB791A">
        <w:t>.  Le Gouvernement renvoie, pour expliquer l</w:t>
      </w:r>
      <w:r w:rsidRPr="00CB791A" w:rsidR="00CB791A">
        <w:t>’</w:t>
      </w:r>
      <w:r w:rsidRPr="00CB791A">
        <w:t>obligation pour l</w:t>
      </w:r>
      <w:r w:rsidRPr="00CB791A" w:rsidR="00CB791A">
        <w:t>’</w:t>
      </w:r>
      <w:r w:rsidRPr="00CB791A">
        <w:t>avocat intervenant lors d</w:t>
      </w:r>
      <w:r w:rsidRPr="00CB791A" w:rsidR="00CB791A">
        <w:t>’</w:t>
      </w:r>
      <w:r w:rsidRPr="00CB791A">
        <w:t>un pourvoi en matière répressive d</w:t>
      </w:r>
      <w:r w:rsidRPr="00CB791A" w:rsidR="00CB791A">
        <w:t>’</w:t>
      </w:r>
      <w:r w:rsidRPr="00CB791A">
        <w:t>être titulaire d</w:t>
      </w:r>
      <w:r w:rsidRPr="00CB791A" w:rsidR="00CB791A">
        <w:t>’</w:t>
      </w:r>
      <w:r w:rsidRPr="00CB791A">
        <w:t xml:space="preserve">une attestation de formation en procédure en cassation, au contenu du rapport annuel de 2016 de la Cour de cassation (paragraphe </w:t>
      </w:r>
      <w:r w:rsidRPr="00CB791A">
        <w:fldChar w:fldCharType="begin"/>
      </w:r>
      <w:r w:rsidRPr="00CB791A">
        <w:instrText xml:space="preserve"> REF DroitInterneRappAnnCass \h </w:instrText>
      </w:r>
      <w:r w:rsidRPr="00CB791A">
        <w:fldChar w:fldCharType="separate"/>
      </w:r>
      <w:r w:rsidRPr="00CB791A" w:rsidR="00CB791A">
        <w:rPr>
          <w:rFonts w:eastAsiaTheme="minorEastAsia"/>
          <w:noProof/>
        </w:rPr>
        <w:t>34</w:t>
      </w:r>
      <w:r w:rsidRPr="00CB791A">
        <w:fldChar w:fldCharType="end"/>
      </w:r>
      <w:r w:rsidRPr="00CB791A">
        <w:t xml:space="preserve"> ci-dessus), ainsi qu</w:t>
      </w:r>
      <w:r w:rsidRPr="00CB791A" w:rsidR="00CB791A">
        <w:t>’</w:t>
      </w:r>
      <w:r w:rsidRPr="00CB791A">
        <w:t>à l</w:t>
      </w:r>
      <w:r w:rsidRPr="00CB791A" w:rsidR="00CB791A">
        <w:t>’</w:t>
      </w:r>
      <w:r w:rsidRPr="00CB791A">
        <w:t xml:space="preserve">analyse faite par la Cour de cassation dans son arrêt du 7 novembre 2018 (paragraphes </w:t>
      </w:r>
      <w:r w:rsidRPr="00CB791A">
        <w:fldChar w:fldCharType="begin"/>
      </w:r>
      <w:r w:rsidRPr="00CB791A">
        <w:instrText xml:space="preserve"> REF B \h </w:instrText>
      </w:r>
      <w:r w:rsidRPr="00CB791A">
        <w:fldChar w:fldCharType="separate"/>
      </w:r>
      <w:r w:rsidRPr="00CB791A" w:rsidR="00CB791A">
        <w:rPr>
          <w:rFonts w:eastAsiaTheme="minorEastAsia"/>
          <w:noProof/>
        </w:rPr>
        <w:t>24</w:t>
      </w:r>
      <w:r w:rsidRPr="00CB791A">
        <w:fldChar w:fldCharType="end"/>
      </w:r>
      <w:r w:rsidRPr="00CB791A">
        <w:t>-</w:t>
      </w:r>
      <w:r w:rsidRPr="00CB791A">
        <w:fldChar w:fldCharType="begin"/>
      </w:r>
      <w:r w:rsidRPr="00CB791A">
        <w:instrText xml:space="preserve"> REF FaitsCass07112018End \h  \* MERGEFORMAT </w:instrText>
      </w:r>
      <w:r w:rsidRPr="00CB791A">
        <w:fldChar w:fldCharType="separate"/>
      </w:r>
      <w:r w:rsidRPr="00CB791A" w:rsidR="00CB791A">
        <w:t>26</w:t>
      </w:r>
      <w:r w:rsidRPr="00CB791A">
        <w:fldChar w:fldCharType="end"/>
      </w:r>
      <w:r w:rsidRPr="00CB791A">
        <w:t xml:space="preserve"> ci-dessus).</w:t>
      </w:r>
    </w:p>
    <w:p w:rsidRPr="00CB791A" w:rsidR="00B34B1B" w:rsidP="00CB791A" w:rsidRDefault="00B34B1B" w14:paraId="3AC8EDC3" w14:textId="6B9EA305">
      <w:pPr>
        <w:pStyle w:val="JuPara"/>
      </w:pPr>
      <w:r w:rsidRPr="00CB791A">
        <w:fldChar w:fldCharType="begin"/>
      </w:r>
      <w:r w:rsidRPr="00CB791A">
        <w:instrText xml:space="preserve"> SEQ level0 \*arabic </w:instrText>
      </w:r>
      <w:r w:rsidRPr="00CB791A">
        <w:fldChar w:fldCharType="separate"/>
      </w:r>
      <w:r w:rsidRPr="00CB791A" w:rsidR="00CB791A">
        <w:rPr>
          <w:noProof/>
        </w:rPr>
        <w:t>75</w:t>
      </w:r>
      <w:r w:rsidRPr="00CB791A">
        <w:fldChar w:fldCharType="end"/>
      </w:r>
      <w:r w:rsidRPr="00CB791A">
        <w:t>.  Le Gouvernement fait en particulier valoir que l</w:t>
      </w:r>
      <w:r w:rsidRPr="00CB791A" w:rsidR="00CB791A">
        <w:t>’</w:t>
      </w:r>
      <w:r w:rsidRPr="00CB791A">
        <w:t>exigence de la Cour de cassation selon laquelle la qualité d</w:t>
      </w:r>
      <w:r w:rsidRPr="00CB791A" w:rsidR="00CB791A">
        <w:t>’</w:t>
      </w:r>
      <w:r w:rsidRPr="00CB791A">
        <w:t>avocat attesté doit être mentionnée dans les pièces auxquelles elle peut avoir égard repose sur les motifs suivants : cette qualité doit pouvoir être vérifiée ou au moins apparaître dans les pièces de la procédure sous peine de priver de toute portée l</w:t>
      </w:r>
      <w:r w:rsidRPr="00CB791A" w:rsidR="00CB791A">
        <w:t>’</w:t>
      </w:r>
      <w:r w:rsidRPr="00CB791A">
        <w:t>exigence légale d</w:t>
      </w:r>
      <w:r w:rsidRPr="00CB791A" w:rsidR="00CB791A">
        <w:t>’</w:t>
      </w:r>
      <w:r w:rsidRPr="00CB791A">
        <w:t>une attestation; la Cour de cassation est sans pouvoir pour vérifier les éléments de fait, et ne peut pas se fier aux listes établies par les ordres des barreaux car elles sont évolutives et non exemptes d</w:t>
      </w:r>
      <w:r w:rsidRPr="00CB791A" w:rsidR="00CB791A">
        <w:t>’</w:t>
      </w:r>
      <w:r w:rsidRPr="00CB791A">
        <w:t>erreur, et peuvent être source de confusion en cas d</w:t>
      </w:r>
      <w:r w:rsidRPr="00CB791A" w:rsidR="00CB791A">
        <w:t>’</w:t>
      </w:r>
      <w:r w:rsidRPr="00CB791A">
        <w:t>homonymes ; il s</w:t>
      </w:r>
      <w:r w:rsidRPr="00CB791A" w:rsidR="00CB791A">
        <w:t>’</w:t>
      </w:r>
      <w:r w:rsidRPr="00CB791A">
        <w:t>agit d</w:t>
      </w:r>
      <w:r w:rsidRPr="00CB791A" w:rsidR="00CB791A">
        <w:t>’</w:t>
      </w:r>
      <w:r w:rsidRPr="00CB791A">
        <w:t>une règle de base qui est portée à la connaissance des avocats au cours de la formation ; l</w:t>
      </w:r>
      <w:r w:rsidRPr="00CB791A" w:rsidR="00CB791A">
        <w:t>’</w:t>
      </w:r>
      <w:r w:rsidRPr="00CB791A">
        <w:t>exigence est peu rigoureuse, la Cour de cassation se contentant de la mention de l</w:t>
      </w:r>
      <w:r w:rsidRPr="00CB791A" w:rsidR="00CB791A">
        <w:t>’</w:t>
      </w:r>
      <w:r w:rsidRPr="00CB791A">
        <w:t>attestation, que ce soit dans une pièce ou dans le mémoire, sans en exiger la preuve. Eu égard à la jurisprudence de la Cour, une exigence si minimaliste ne saurait passer pour un formalisme excessif ayant privé les requérants de leur droit d</w:t>
      </w:r>
      <w:r w:rsidRPr="00CB791A" w:rsidR="00CB791A">
        <w:t>’</w:t>
      </w:r>
      <w:r w:rsidRPr="00CB791A">
        <w:t>accès à un tribunal.</w:t>
      </w:r>
    </w:p>
    <w:p w:rsidRPr="00CB791A" w:rsidR="00B34B1B" w:rsidP="00CB791A" w:rsidRDefault="00B34B1B" w14:paraId="495631BF" w14:textId="77777777">
      <w:pPr>
        <w:pStyle w:val="JuH1"/>
      </w:pPr>
      <w:r w:rsidRPr="00CB791A">
        <w:t>Appréciation de la Cour</w:t>
      </w:r>
    </w:p>
    <w:p w:rsidRPr="00CB791A" w:rsidR="00B34B1B" w:rsidP="00CB791A" w:rsidRDefault="00B34B1B" w14:paraId="0ABF5969" w14:textId="77777777">
      <w:pPr>
        <w:pStyle w:val="JuHa0"/>
      </w:pPr>
      <w:r w:rsidRPr="00CB791A">
        <w:t>Principes généraux</w:t>
      </w:r>
    </w:p>
    <w:p w:rsidRPr="00CB791A" w:rsidR="00B34B1B" w:rsidP="00CB791A" w:rsidRDefault="00B34B1B" w14:paraId="69D5CFA2" w14:textId="32B0E0BD">
      <w:pPr>
        <w:pStyle w:val="JuPara"/>
      </w:pPr>
      <w:r w:rsidRPr="00CB791A">
        <w:fldChar w:fldCharType="begin"/>
      </w:r>
      <w:r w:rsidRPr="00CB791A">
        <w:instrText xml:space="preserve"> SEQ level0 \*arabic </w:instrText>
      </w:r>
      <w:r w:rsidRPr="00CB791A">
        <w:fldChar w:fldCharType="separate"/>
      </w:r>
      <w:r w:rsidRPr="00CB791A" w:rsidR="00CB791A">
        <w:rPr>
          <w:noProof/>
        </w:rPr>
        <w:t>76</w:t>
      </w:r>
      <w:r w:rsidRPr="00CB791A">
        <w:fldChar w:fldCharType="end"/>
      </w:r>
      <w:r w:rsidRPr="00CB791A">
        <w:t>.  La Cour rappelle les principes généraux relatifs au droit d</w:t>
      </w:r>
      <w:r w:rsidRPr="00CB791A" w:rsidR="00CB791A">
        <w:t>’</w:t>
      </w:r>
      <w:r w:rsidRPr="00CB791A">
        <w:t>accès à un tribunal en matière civile (</w:t>
      </w:r>
      <w:proofErr w:type="spellStart"/>
      <w:r w:rsidRPr="00CB791A">
        <w:rPr>
          <w:i/>
          <w:iCs/>
        </w:rPr>
        <w:t>Naït</w:t>
      </w:r>
      <w:proofErr w:type="spellEnd"/>
      <w:r w:rsidRPr="00CB791A">
        <w:rPr>
          <w:i/>
          <w:iCs/>
        </w:rPr>
        <w:t>-Liman c. Suisse</w:t>
      </w:r>
      <w:r w:rsidRPr="00CB791A">
        <w:t xml:space="preserve"> [GC], n</w:t>
      </w:r>
      <w:r w:rsidRPr="00CB791A">
        <w:rPr>
          <w:vertAlign w:val="superscript"/>
        </w:rPr>
        <w:t>o</w:t>
      </w:r>
      <w:r w:rsidRPr="00CB791A" w:rsidR="007850E1">
        <w:t> </w:t>
      </w:r>
      <w:r w:rsidRPr="00CB791A">
        <w:t>51357/07, §§</w:t>
      </w:r>
      <w:r w:rsidRPr="00CB791A" w:rsidR="007850E1">
        <w:t> </w:t>
      </w:r>
      <w:r w:rsidRPr="00CB791A">
        <w:t>112</w:t>
      </w:r>
      <w:r w:rsidRPr="00CB791A" w:rsidR="009A171A">
        <w:noBreakHyphen/>
      </w:r>
      <w:r w:rsidRPr="00CB791A">
        <w:t xml:space="preserve">116, 15 mars 2018, et </w:t>
      </w:r>
      <w:proofErr w:type="spellStart"/>
      <w:r w:rsidRPr="00CB791A">
        <w:rPr>
          <w:i/>
          <w:iCs/>
        </w:rPr>
        <w:t>Zubac</w:t>
      </w:r>
      <w:proofErr w:type="spellEnd"/>
      <w:r w:rsidRPr="00CB791A">
        <w:rPr>
          <w:i/>
          <w:iCs/>
        </w:rPr>
        <w:t xml:space="preserve"> c. Croatie</w:t>
      </w:r>
      <w:r w:rsidRPr="00CB791A">
        <w:t xml:space="preserve"> [GC], n</w:t>
      </w:r>
      <w:r w:rsidRPr="00CB791A">
        <w:rPr>
          <w:vertAlign w:val="superscript"/>
        </w:rPr>
        <w:t>o</w:t>
      </w:r>
      <w:r w:rsidRPr="00CB791A" w:rsidR="009A171A">
        <w:t> </w:t>
      </w:r>
      <w:r w:rsidRPr="00CB791A">
        <w:t>40160/12, §§</w:t>
      </w:r>
      <w:r w:rsidRPr="00CB791A" w:rsidR="007850E1">
        <w:t> </w:t>
      </w:r>
      <w:r w:rsidRPr="00CB791A">
        <w:t>76</w:t>
      </w:r>
      <w:r w:rsidRPr="00CB791A" w:rsidR="007850E1">
        <w:noBreakHyphen/>
      </w:r>
      <w:r w:rsidRPr="00CB791A">
        <w:t xml:space="preserve">79, 5 avril 2018 ; voir aussi </w:t>
      </w:r>
      <w:proofErr w:type="spellStart"/>
      <w:r w:rsidRPr="00CB791A">
        <w:rPr>
          <w:i/>
        </w:rPr>
        <w:t>Nejdet</w:t>
      </w:r>
      <w:proofErr w:type="spellEnd"/>
      <w:r w:rsidRPr="00CB791A">
        <w:rPr>
          <w:i/>
        </w:rPr>
        <w:t xml:space="preserve"> </w:t>
      </w:r>
      <w:proofErr w:type="spellStart"/>
      <w:r w:rsidRPr="00CB791A">
        <w:rPr>
          <w:i/>
        </w:rPr>
        <w:t>Şahin</w:t>
      </w:r>
      <w:proofErr w:type="spellEnd"/>
      <w:r w:rsidRPr="00CB791A">
        <w:rPr>
          <w:i/>
        </w:rPr>
        <w:t xml:space="preserve"> et </w:t>
      </w:r>
      <w:proofErr w:type="spellStart"/>
      <w:r w:rsidRPr="00CB791A">
        <w:rPr>
          <w:i/>
        </w:rPr>
        <w:t>Perihan</w:t>
      </w:r>
      <w:proofErr w:type="spellEnd"/>
      <w:r w:rsidRPr="00CB791A">
        <w:rPr>
          <w:i/>
        </w:rPr>
        <w:t xml:space="preserve"> </w:t>
      </w:r>
      <w:proofErr w:type="spellStart"/>
      <w:r w:rsidRPr="00CB791A">
        <w:rPr>
          <w:i/>
        </w:rPr>
        <w:t>Şahin</w:t>
      </w:r>
      <w:proofErr w:type="spellEnd"/>
      <w:r w:rsidRPr="00CB791A">
        <w:rPr>
          <w:i/>
        </w:rPr>
        <w:t xml:space="preserve"> c.</w:t>
      </w:r>
      <w:r w:rsidRPr="00CB791A" w:rsidR="007850E1">
        <w:rPr>
          <w:i/>
        </w:rPr>
        <w:t> </w:t>
      </w:r>
      <w:r w:rsidRPr="00CB791A">
        <w:rPr>
          <w:i/>
        </w:rPr>
        <w:t>Turquie</w:t>
      </w:r>
      <w:r w:rsidRPr="00CB791A">
        <w:t xml:space="preserve"> [GC], n</w:t>
      </w:r>
      <w:r w:rsidRPr="00CB791A">
        <w:rPr>
          <w:vertAlign w:val="superscript"/>
        </w:rPr>
        <w:t>o</w:t>
      </w:r>
      <w:r w:rsidRPr="00CB791A" w:rsidR="009A171A">
        <w:t> </w:t>
      </w:r>
      <w:r w:rsidRPr="00CB791A">
        <w:t>13279/05</w:t>
      </w:r>
      <w:r w:rsidRPr="00CB791A">
        <w:rPr>
          <w:snapToGrid w:val="0"/>
        </w:rPr>
        <w:t xml:space="preserve">, §§ 49-58, </w:t>
      </w:r>
      <w:r w:rsidRPr="00CB791A">
        <w:t>20</w:t>
      </w:r>
      <w:r w:rsidRPr="00CB791A">
        <w:rPr>
          <w:snapToGrid w:val="0"/>
        </w:rPr>
        <w:t> </w:t>
      </w:r>
      <w:r w:rsidRPr="00CB791A">
        <w:t>octobre</w:t>
      </w:r>
      <w:r w:rsidRPr="00CB791A">
        <w:rPr>
          <w:snapToGrid w:val="0"/>
        </w:rPr>
        <w:t xml:space="preserve"> 2011, et </w:t>
      </w:r>
      <w:r w:rsidRPr="00CB791A">
        <w:rPr>
          <w:i/>
        </w:rPr>
        <w:t>Paroisse gréco-catholique Lupeni et autres c Roumanie</w:t>
      </w:r>
      <w:r w:rsidRPr="00CB791A">
        <w:t xml:space="preserve"> [GC], n</w:t>
      </w:r>
      <w:r w:rsidRPr="00CB791A">
        <w:rPr>
          <w:vertAlign w:val="superscript"/>
        </w:rPr>
        <w:t>o</w:t>
      </w:r>
      <w:r w:rsidRPr="00CB791A">
        <w:t> 76943/11, §§</w:t>
      </w:r>
      <w:r w:rsidRPr="00CB791A" w:rsidR="007850E1">
        <w:t> </w:t>
      </w:r>
      <w:r w:rsidRPr="00CB791A">
        <w:t>84</w:t>
      </w:r>
      <w:r w:rsidRPr="00CB791A" w:rsidR="007850E1">
        <w:noBreakHyphen/>
      </w:r>
      <w:r w:rsidRPr="00CB791A">
        <w:t>90 et 116, 29</w:t>
      </w:r>
      <w:r w:rsidRPr="00CB791A" w:rsidR="00E3589B">
        <w:t> </w:t>
      </w:r>
      <w:r w:rsidRPr="00CB791A">
        <w:t>novembre 2016).</w:t>
      </w:r>
    </w:p>
    <w:p w:rsidRPr="00CB791A" w:rsidR="00B34B1B" w:rsidP="00CB791A" w:rsidRDefault="00B34B1B" w14:paraId="4A8B666C" w14:textId="2D8C6196">
      <w:pPr>
        <w:pStyle w:val="JuPara"/>
      </w:pPr>
      <w:r w:rsidRPr="00CB791A">
        <w:fldChar w:fldCharType="begin"/>
      </w:r>
      <w:r w:rsidRPr="00CB791A">
        <w:instrText xml:space="preserve"> SEQ level0 \*arabic </w:instrText>
      </w:r>
      <w:r w:rsidRPr="00CB791A">
        <w:fldChar w:fldCharType="separate"/>
      </w:r>
      <w:r w:rsidRPr="00CB791A" w:rsidR="00CB791A">
        <w:rPr>
          <w:noProof/>
        </w:rPr>
        <w:t>77</w:t>
      </w:r>
      <w:r w:rsidRPr="00CB791A">
        <w:fldChar w:fldCharType="end"/>
      </w:r>
      <w:r w:rsidRPr="00CB791A">
        <w:t>.  En particulier, la Cour rappelle que le droit d</w:t>
      </w:r>
      <w:r w:rsidRPr="00CB791A" w:rsidR="00CB791A">
        <w:t>’</w:t>
      </w:r>
      <w:r w:rsidRPr="00CB791A">
        <w:t>accès à un tribunal doit être concret et effectif et non pas théorique et illusoire. L</w:t>
      </w:r>
      <w:r w:rsidRPr="00CB791A" w:rsidR="00CB791A">
        <w:t>’</w:t>
      </w:r>
      <w:r w:rsidRPr="00CB791A">
        <w:t>effectivité de l</w:t>
      </w:r>
      <w:r w:rsidRPr="00CB791A" w:rsidR="00CB791A">
        <w:t>’</w:t>
      </w:r>
      <w:r w:rsidRPr="00CB791A">
        <w:t>accès au juge suppose qu</w:t>
      </w:r>
      <w:r w:rsidRPr="00CB791A" w:rsidR="00CB791A">
        <w:t>’</w:t>
      </w:r>
      <w:r w:rsidRPr="00CB791A">
        <w:t>un individu jouisse d</w:t>
      </w:r>
      <w:r w:rsidRPr="00CB791A" w:rsidR="00CB791A">
        <w:t>’</w:t>
      </w:r>
      <w:r w:rsidRPr="00CB791A">
        <w:t>une possibilité claire et concrète de contester un acte constituant une ingérence dans ses droits (</w:t>
      </w:r>
      <w:r w:rsidRPr="00CB791A">
        <w:rPr>
          <w:i/>
          <w:iCs/>
        </w:rPr>
        <w:t>Paroisse gréco</w:t>
      </w:r>
      <w:r w:rsidRPr="00CB791A">
        <w:rPr>
          <w:i/>
          <w:iCs/>
        </w:rPr>
        <w:noBreakHyphen/>
        <w:t>catholique Lupeni et autres</w:t>
      </w:r>
      <w:r w:rsidRPr="00CB791A">
        <w:t>, précité, § 86).</w:t>
      </w:r>
    </w:p>
    <w:p w:rsidRPr="00CB791A" w:rsidR="00B34B1B" w:rsidP="00CB791A" w:rsidRDefault="00B34B1B" w14:paraId="60E51EA4" w14:textId="45E262F6">
      <w:pPr>
        <w:pStyle w:val="JuPara"/>
        <w:rPr>
          <w:i/>
        </w:rPr>
      </w:pPr>
      <w:r w:rsidRPr="00CB791A">
        <w:fldChar w:fldCharType="begin"/>
      </w:r>
      <w:r w:rsidRPr="00CB791A">
        <w:instrText xml:space="preserve"> SEQ level0 \*arabic </w:instrText>
      </w:r>
      <w:r w:rsidRPr="00CB791A">
        <w:fldChar w:fldCharType="separate"/>
      </w:r>
      <w:r w:rsidRPr="00CB791A" w:rsidR="00CB791A">
        <w:rPr>
          <w:noProof/>
        </w:rPr>
        <w:t>78</w:t>
      </w:r>
      <w:r w:rsidRPr="00CB791A">
        <w:fldChar w:fldCharType="end"/>
      </w:r>
      <w:r w:rsidRPr="00CB791A">
        <w:t>.  La Cour rappelle qu</w:t>
      </w:r>
      <w:r w:rsidRPr="00CB791A" w:rsidR="00CB791A">
        <w:t>’</w:t>
      </w:r>
      <w:r w:rsidRPr="00CB791A">
        <w:t xml:space="preserve">elle accorde une </w:t>
      </w:r>
      <w:r w:rsidRPr="00CB791A">
        <w:rPr>
          <w:rFonts w:cstheme="minorHAnsi"/>
        </w:rPr>
        <w:t xml:space="preserve">importance particulière </w:t>
      </w:r>
      <w:r w:rsidRPr="00CB791A">
        <w:rPr>
          <w:rFonts w:cstheme="minorHAnsi"/>
          <w:color w:val="000000"/>
        </w:rPr>
        <w:t>au point de savoir si les règles portant restriction de l</w:t>
      </w:r>
      <w:r w:rsidRPr="00CB791A" w:rsidR="00CB791A">
        <w:rPr>
          <w:rFonts w:cstheme="minorHAnsi"/>
          <w:color w:val="000000"/>
        </w:rPr>
        <w:t>’</w:t>
      </w:r>
      <w:r w:rsidRPr="00CB791A">
        <w:rPr>
          <w:rFonts w:cstheme="minorHAnsi"/>
          <w:color w:val="000000"/>
        </w:rPr>
        <w:t>accès à un tribunal et, en particulier, les modalités d</w:t>
      </w:r>
      <w:r w:rsidRPr="00CB791A" w:rsidR="00CB791A">
        <w:rPr>
          <w:rFonts w:cstheme="minorHAnsi"/>
          <w:color w:val="000000"/>
        </w:rPr>
        <w:t>’</w:t>
      </w:r>
      <w:r w:rsidRPr="00CB791A">
        <w:rPr>
          <w:rFonts w:cstheme="minorHAnsi"/>
          <w:color w:val="000000"/>
        </w:rPr>
        <w:t>exercice d</w:t>
      </w:r>
      <w:r w:rsidRPr="00CB791A" w:rsidR="00CB791A">
        <w:rPr>
          <w:rFonts w:cstheme="minorHAnsi"/>
          <w:color w:val="000000"/>
        </w:rPr>
        <w:t>’</w:t>
      </w:r>
      <w:r w:rsidRPr="00CB791A">
        <w:rPr>
          <w:rFonts w:cstheme="minorHAnsi"/>
          <w:color w:val="000000"/>
        </w:rPr>
        <w:t>un recours sont prévisibles aux yeux du justiciable (</w:t>
      </w:r>
      <w:r w:rsidRPr="00CB791A" w:rsidR="00637C5F">
        <w:rPr>
          <w:rFonts w:cstheme="minorHAnsi"/>
          <w:color w:val="000000"/>
        </w:rPr>
        <w:t xml:space="preserve">voir, </w:t>
      </w:r>
      <w:r w:rsidRPr="00CB791A">
        <w:rPr>
          <w:rFonts w:cstheme="minorHAnsi"/>
          <w:i/>
          <w:iCs/>
          <w:color w:val="000000"/>
        </w:rPr>
        <w:t>mutatis mutandis</w:t>
      </w:r>
      <w:r w:rsidRPr="00CB791A">
        <w:rPr>
          <w:rFonts w:cstheme="minorHAnsi"/>
          <w:color w:val="000000"/>
        </w:rPr>
        <w:t xml:space="preserve">, </w:t>
      </w:r>
      <w:proofErr w:type="spellStart"/>
      <w:r w:rsidRPr="00CB791A">
        <w:rPr>
          <w:rFonts w:cstheme="minorHAnsi"/>
          <w:i/>
          <w:iCs/>
          <w:color w:val="000000"/>
        </w:rPr>
        <w:t>Zubac</w:t>
      </w:r>
      <w:proofErr w:type="spellEnd"/>
      <w:r w:rsidRPr="00CB791A">
        <w:rPr>
          <w:rFonts w:cstheme="minorHAnsi"/>
          <w:color w:val="000000"/>
        </w:rPr>
        <w:t xml:space="preserve">, précité, § 87, et, dans le même sens, </w:t>
      </w:r>
      <w:proofErr w:type="spellStart"/>
      <w:r w:rsidRPr="00CB791A">
        <w:rPr>
          <w:i/>
          <w:iCs/>
        </w:rPr>
        <w:t>Arrozpide</w:t>
      </w:r>
      <w:proofErr w:type="spellEnd"/>
      <w:r w:rsidRPr="00CB791A">
        <w:rPr>
          <w:i/>
          <w:iCs/>
        </w:rPr>
        <w:t xml:space="preserve"> </w:t>
      </w:r>
      <w:proofErr w:type="spellStart"/>
      <w:r w:rsidRPr="00CB791A">
        <w:rPr>
          <w:i/>
          <w:iCs/>
        </w:rPr>
        <w:t>Sarasola</w:t>
      </w:r>
      <w:proofErr w:type="spellEnd"/>
      <w:r w:rsidRPr="00CB791A">
        <w:rPr>
          <w:i/>
          <w:iCs/>
        </w:rPr>
        <w:t xml:space="preserve"> et autres c. Espagne</w:t>
      </w:r>
      <w:r w:rsidRPr="00CB791A">
        <w:rPr>
          <w:lang w:eastAsia="en-GB"/>
        </w:rPr>
        <w:t>, n</w:t>
      </w:r>
      <w:r w:rsidRPr="00CB791A">
        <w:rPr>
          <w:vertAlign w:val="superscript"/>
          <w:lang w:eastAsia="en-GB"/>
        </w:rPr>
        <w:t>os</w:t>
      </w:r>
      <w:r w:rsidRPr="00CB791A">
        <w:rPr>
          <w:lang w:eastAsia="en-GB"/>
        </w:rPr>
        <w:t> </w:t>
      </w:r>
      <w:r w:rsidRPr="00CB791A">
        <w:t>65101/16 et 2</w:t>
      </w:r>
      <w:r w:rsidRPr="00CB791A" w:rsidR="007850E1">
        <w:t> </w:t>
      </w:r>
      <w:r w:rsidRPr="00CB791A">
        <w:t>autres</w:t>
      </w:r>
      <w:r w:rsidRPr="00CB791A">
        <w:rPr>
          <w:lang w:eastAsia="en-GB"/>
        </w:rPr>
        <w:t xml:space="preserve">, </w:t>
      </w:r>
      <w:r w:rsidRPr="00CB791A">
        <w:t xml:space="preserve">§ 106, 23 octobre 2018, et </w:t>
      </w:r>
      <w:r w:rsidRPr="00CB791A">
        <w:rPr>
          <w:i/>
        </w:rPr>
        <w:t>Vermeersch c. Belgique</w:t>
      </w:r>
      <w:r w:rsidRPr="00CB791A">
        <w:rPr>
          <w:iCs/>
        </w:rPr>
        <w:t xml:space="preserve">, </w:t>
      </w:r>
      <w:r w:rsidRPr="00CB791A">
        <w:t>n</w:t>
      </w:r>
      <w:r w:rsidRPr="00CB791A">
        <w:rPr>
          <w:vertAlign w:val="superscript"/>
        </w:rPr>
        <w:t>o</w:t>
      </w:r>
      <w:r w:rsidRPr="00CB791A">
        <w:t xml:space="preserve"> </w:t>
      </w:r>
      <w:r w:rsidRPr="00CB791A">
        <w:rPr>
          <w:iCs/>
        </w:rPr>
        <w:t>49652/10, §</w:t>
      </w:r>
      <w:r w:rsidRPr="00CB791A" w:rsidR="007850E1">
        <w:rPr>
          <w:iCs/>
        </w:rPr>
        <w:t> </w:t>
      </w:r>
      <w:r w:rsidRPr="00CB791A">
        <w:rPr>
          <w:iCs/>
        </w:rPr>
        <w:t>58, 16 février 2021</w:t>
      </w:r>
      <w:r w:rsidRPr="00CB791A">
        <w:rPr>
          <w:rFonts w:cstheme="minorHAnsi"/>
          <w:color w:val="000000"/>
        </w:rPr>
        <w:t>).</w:t>
      </w:r>
    </w:p>
    <w:p w:rsidRPr="00CB791A" w:rsidR="00B34B1B" w:rsidP="00CB791A" w:rsidRDefault="00B34B1B" w14:paraId="50D55883" w14:textId="3484D9A2">
      <w:pPr>
        <w:pStyle w:val="JuPara"/>
      </w:pPr>
      <w:r w:rsidRPr="00CB791A">
        <w:fldChar w:fldCharType="begin"/>
      </w:r>
      <w:r w:rsidRPr="00CB791A">
        <w:instrText xml:space="preserve"> SEQ level0 \*arabic </w:instrText>
      </w:r>
      <w:r w:rsidRPr="00CB791A">
        <w:fldChar w:fldCharType="separate"/>
      </w:r>
      <w:r w:rsidRPr="00CB791A" w:rsidR="00CB791A">
        <w:rPr>
          <w:noProof/>
        </w:rPr>
        <w:t>79</w:t>
      </w:r>
      <w:r w:rsidRPr="00CB791A">
        <w:fldChar w:fldCharType="end"/>
      </w:r>
      <w:r w:rsidRPr="00CB791A">
        <w:t>.  Le droit d</w:t>
      </w:r>
      <w:r w:rsidRPr="00CB791A" w:rsidR="00CB791A">
        <w:t>’</w:t>
      </w:r>
      <w:r w:rsidRPr="00CB791A">
        <w:t>accès aux tribunaux n</w:t>
      </w:r>
      <w:r w:rsidRPr="00CB791A" w:rsidR="00CB791A">
        <w:t>’</w:t>
      </w:r>
      <w:r w:rsidRPr="00CB791A">
        <w:t xml:space="preserve">étant toutefois pas absolu, il peut donner lieu à des limitations implicitement admises car il appelle </w:t>
      </w:r>
      <w:proofErr w:type="gramStart"/>
      <w:r w:rsidRPr="00CB791A">
        <w:t>de par</w:t>
      </w:r>
      <w:proofErr w:type="gramEnd"/>
      <w:r w:rsidRPr="00CB791A">
        <w:t xml:space="preserve"> sa nature même une réglementation par l</w:t>
      </w:r>
      <w:r w:rsidRPr="00CB791A" w:rsidR="00CB791A">
        <w:t>’</w:t>
      </w:r>
      <w:r w:rsidRPr="00CB791A">
        <w:t>État, réglementation qui peut varier dans le temps et dans l</w:t>
      </w:r>
      <w:r w:rsidRPr="00CB791A" w:rsidR="00CB791A">
        <w:t>’</w:t>
      </w:r>
      <w:r w:rsidRPr="00CB791A">
        <w:t>espace en fonction des besoins et des ressources de la communauté et des individus. En élaborant pareille réglementation, les États contractants jouissent d</w:t>
      </w:r>
      <w:r w:rsidRPr="00CB791A" w:rsidR="00CB791A">
        <w:t>’</w:t>
      </w:r>
      <w:r w:rsidRPr="00CB791A">
        <w:t>une certaine marge d</w:t>
      </w:r>
      <w:r w:rsidRPr="00CB791A" w:rsidR="00CB791A">
        <w:t>’</w:t>
      </w:r>
      <w:r w:rsidRPr="00CB791A">
        <w:t>appréciation. S</w:t>
      </w:r>
      <w:r w:rsidRPr="00CB791A" w:rsidR="00CB791A">
        <w:t>’</w:t>
      </w:r>
      <w:r w:rsidRPr="00CB791A">
        <w:t>il appartient à la Cour de statuer en dernier ressort sur le respect des exigences de la Convention, elle n</w:t>
      </w:r>
      <w:r w:rsidRPr="00CB791A" w:rsidR="00CB791A">
        <w:t>’</w:t>
      </w:r>
      <w:r w:rsidRPr="00CB791A">
        <w:t>a pas qualité pour substituer à l</w:t>
      </w:r>
      <w:r w:rsidRPr="00CB791A" w:rsidR="00CB791A">
        <w:t>’</w:t>
      </w:r>
      <w:r w:rsidRPr="00CB791A">
        <w:t>appréciation des autorités nationales une autre appréciation de ce que pourrait être la meilleure politique en la matière. Cependant, les limitations appliquées ne doivent pas restreindre l</w:t>
      </w:r>
      <w:r w:rsidRPr="00CB791A" w:rsidR="00CB791A">
        <w:t>’</w:t>
      </w:r>
      <w:r w:rsidRPr="00CB791A">
        <w:t>accès ouvert à l</w:t>
      </w:r>
      <w:r w:rsidRPr="00CB791A" w:rsidR="00CB791A">
        <w:t>’</w:t>
      </w:r>
      <w:r w:rsidRPr="00CB791A">
        <w:t>individu d</w:t>
      </w:r>
      <w:r w:rsidRPr="00CB791A" w:rsidR="00CB791A">
        <w:t>’</w:t>
      </w:r>
      <w:r w:rsidRPr="00CB791A">
        <w:t>une manière ou à un point tels que le droit s</w:t>
      </w:r>
      <w:r w:rsidRPr="00CB791A" w:rsidR="00CB791A">
        <w:t>’</w:t>
      </w:r>
      <w:r w:rsidRPr="00CB791A">
        <w:t>en trouve atteint dans sa substance même. En outre, elles ne se concilient avec l</w:t>
      </w:r>
      <w:r w:rsidRPr="00CB791A" w:rsidR="00CB791A">
        <w:t>’</w:t>
      </w:r>
      <w:r w:rsidRPr="00CB791A">
        <w:t>article 6 § 1 que si elles poursuivent un but légitime et s</w:t>
      </w:r>
      <w:r w:rsidRPr="00CB791A" w:rsidR="00CB791A">
        <w:t>’</w:t>
      </w:r>
      <w:r w:rsidRPr="00CB791A">
        <w:t>il existe un rapport raisonnable de proportionnalité entre les moyens employés et le but visé (</w:t>
      </w:r>
      <w:r w:rsidRPr="00CB791A">
        <w:rPr>
          <w:i/>
        </w:rPr>
        <w:t>Paroisse gréco</w:t>
      </w:r>
      <w:r w:rsidRPr="00CB791A" w:rsidR="007850E1">
        <w:rPr>
          <w:i/>
        </w:rPr>
        <w:noBreakHyphen/>
      </w:r>
      <w:r w:rsidRPr="00CB791A">
        <w:rPr>
          <w:i/>
        </w:rPr>
        <w:t>catholique Lupeni et autres</w:t>
      </w:r>
      <w:r w:rsidRPr="00CB791A">
        <w:t xml:space="preserve">, précité, § 89, </w:t>
      </w:r>
      <w:proofErr w:type="spellStart"/>
      <w:r w:rsidRPr="00CB791A">
        <w:rPr>
          <w:i/>
        </w:rPr>
        <w:t>Naït</w:t>
      </w:r>
      <w:proofErr w:type="spellEnd"/>
      <w:r w:rsidRPr="00CB791A">
        <w:rPr>
          <w:i/>
        </w:rPr>
        <w:t>-Liman c.</w:t>
      </w:r>
      <w:r w:rsidRPr="00CB791A" w:rsidR="007850E1">
        <w:rPr>
          <w:i/>
        </w:rPr>
        <w:t> </w:t>
      </w:r>
      <w:r w:rsidRPr="00CB791A">
        <w:rPr>
          <w:i/>
        </w:rPr>
        <w:t>Suisse</w:t>
      </w:r>
      <w:r w:rsidRPr="00CB791A">
        <w:t xml:space="preserve"> [GC], n</w:t>
      </w:r>
      <w:r w:rsidRPr="00CB791A">
        <w:rPr>
          <w:vertAlign w:val="superscript"/>
        </w:rPr>
        <w:t>o</w:t>
      </w:r>
      <w:r w:rsidRPr="00CB791A">
        <w:t> 51357/07, §</w:t>
      </w:r>
      <w:r w:rsidRPr="00CB791A" w:rsidR="009A171A">
        <w:t> </w:t>
      </w:r>
      <w:r w:rsidRPr="00CB791A">
        <w:t xml:space="preserve">115, 15 mars 2018, </w:t>
      </w:r>
      <w:proofErr w:type="spellStart"/>
      <w:r w:rsidRPr="00CB791A">
        <w:rPr>
          <w:i/>
        </w:rPr>
        <w:t>Zubac</w:t>
      </w:r>
      <w:proofErr w:type="spellEnd"/>
      <w:r w:rsidRPr="00CB791A">
        <w:t xml:space="preserve">, précité, § 78, et </w:t>
      </w:r>
      <w:r w:rsidRPr="00CB791A">
        <w:rPr>
          <w:i/>
        </w:rPr>
        <w:t xml:space="preserve">Nicolae </w:t>
      </w:r>
      <w:proofErr w:type="spellStart"/>
      <w:r w:rsidRPr="00CB791A">
        <w:rPr>
          <w:i/>
        </w:rPr>
        <w:t>Virgiliu</w:t>
      </w:r>
      <w:proofErr w:type="spellEnd"/>
      <w:r w:rsidRPr="00CB791A">
        <w:rPr>
          <w:i/>
        </w:rPr>
        <w:t xml:space="preserve"> </w:t>
      </w:r>
      <w:proofErr w:type="spellStart"/>
      <w:r w:rsidRPr="00CB791A">
        <w:rPr>
          <w:i/>
        </w:rPr>
        <w:t>Tănase</w:t>
      </w:r>
      <w:proofErr w:type="spellEnd"/>
      <w:r w:rsidRPr="00CB791A">
        <w:rPr>
          <w:i/>
        </w:rPr>
        <w:t xml:space="preserve"> c.</w:t>
      </w:r>
      <w:r w:rsidRPr="00CB791A" w:rsidR="009A171A">
        <w:rPr>
          <w:i/>
        </w:rPr>
        <w:t> </w:t>
      </w:r>
      <w:r w:rsidRPr="00CB791A">
        <w:rPr>
          <w:i/>
        </w:rPr>
        <w:t>Roumanie</w:t>
      </w:r>
      <w:r w:rsidRPr="00CB791A">
        <w:t xml:space="preserve"> [GC], n</w:t>
      </w:r>
      <w:r w:rsidRPr="00CB791A">
        <w:rPr>
          <w:vertAlign w:val="superscript"/>
        </w:rPr>
        <w:t>o</w:t>
      </w:r>
      <w:r w:rsidRPr="00CB791A">
        <w:t xml:space="preserve"> 41720/13, § 195, 25 juin 2019).</w:t>
      </w:r>
    </w:p>
    <w:p w:rsidRPr="00CB791A" w:rsidR="00B34B1B" w:rsidP="00CB791A" w:rsidRDefault="00B34B1B" w14:paraId="23B178C0" w14:textId="7C6E2434">
      <w:pPr>
        <w:pStyle w:val="JuPara"/>
      </w:pPr>
      <w:r w:rsidRPr="00CB791A">
        <w:rPr>
          <w:lang w:val="en-GB"/>
        </w:rPr>
        <w:fldChar w:fldCharType="begin"/>
      </w:r>
      <w:r w:rsidRPr="00CB791A">
        <w:instrText xml:space="preserve"> SEQ level0 \*arabic </w:instrText>
      </w:r>
      <w:r w:rsidRPr="00CB791A">
        <w:rPr>
          <w:lang w:val="en-GB"/>
        </w:rPr>
        <w:fldChar w:fldCharType="separate"/>
      </w:r>
      <w:r w:rsidRPr="00CB791A" w:rsidR="00CB791A">
        <w:rPr>
          <w:noProof/>
        </w:rPr>
        <w:t>80</w:t>
      </w:r>
      <w:r w:rsidRPr="00CB791A">
        <w:rPr>
          <w:lang w:val="en-GB"/>
        </w:rPr>
        <w:fldChar w:fldCharType="end"/>
      </w:r>
      <w:r w:rsidRPr="00CB791A">
        <w:t>.  En ce qui concerne l</w:t>
      </w:r>
      <w:r w:rsidRPr="00CB791A" w:rsidR="00CB791A">
        <w:t>’</w:t>
      </w:r>
      <w:r w:rsidRPr="00CB791A">
        <w:t>accès à une juridiction supérieure, la Cour rappelle que l</w:t>
      </w:r>
      <w:r w:rsidRPr="00CB791A" w:rsidR="00CB791A">
        <w:t>’</w:t>
      </w:r>
      <w:r w:rsidRPr="00CB791A">
        <w:t>article 6 de la Convention n</w:t>
      </w:r>
      <w:r w:rsidRPr="00CB791A" w:rsidR="00CB791A">
        <w:t>’</w:t>
      </w:r>
      <w:r w:rsidRPr="00CB791A">
        <w:t>astreint pas les États à créer des cours d</w:t>
      </w:r>
      <w:r w:rsidRPr="00CB791A" w:rsidR="00CB791A">
        <w:t>’</w:t>
      </w:r>
      <w:r w:rsidRPr="00CB791A">
        <w:t>appel ou de cassation. Néanmoins, un État qui se dote de juridictions de cette nature a l</w:t>
      </w:r>
      <w:r w:rsidRPr="00CB791A" w:rsidR="00CB791A">
        <w:t>’</w:t>
      </w:r>
      <w:r w:rsidRPr="00CB791A">
        <w:t>obligation de veiller à ce que les justiciables jouissent auprès d</w:t>
      </w:r>
      <w:r w:rsidRPr="00CB791A" w:rsidR="00CB791A">
        <w:t>’</w:t>
      </w:r>
      <w:r w:rsidRPr="00CB791A">
        <w:t>elles des garanties fondamentales de l</w:t>
      </w:r>
      <w:r w:rsidRPr="00CB791A" w:rsidR="00CB791A">
        <w:t>’</w:t>
      </w:r>
      <w:r w:rsidRPr="00CB791A">
        <w:t xml:space="preserve">article 6. </w:t>
      </w:r>
      <w:r w:rsidRPr="00CB791A">
        <w:rPr>
          <w:rFonts w:cstheme="minorHAnsi"/>
        </w:rPr>
        <w:t>À cet égard, pour déterminer la proportionnalité de restrictions légales appliquées à l</w:t>
      </w:r>
      <w:r w:rsidRPr="00CB791A" w:rsidR="00CB791A">
        <w:rPr>
          <w:rFonts w:cstheme="minorHAnsi"/>
        </w:rPr>
        <w:t>’</w:t>
      </w:r>
      <w:r w:rsidRPr="00CB791A">
        <w:rPr>
          <w:rFonts w:cstheme="minorHAnsi"/>
        </w:rPr>
        <w:t>accès aux juridictions supérieures, l</w:t>
      </w:r>
      <w:r w:rsidR="00E068C6">
        <w:rPr>
          <w:rFonts w:cstheme="minorHAnsi"/>
        </w:rPr>
        <w:t>a</w:t>
      </w:r>
      <w:r w:rsidRPr="00CB791A">
        <w:rPr>
          <w:rFonts w:cstheme="minorHAnsi"/>
        </w:rPr>
        <w:t xml:space="preserve"> Cour se montre particulièrement attentive à trois critères, à savoir i) la prévisibilité des modalités d</w:t>
      </w:r>
      <w:r w:rsidRPr="00CB791A" w:rsidR="00CB791A">
        <w:rPr>
          <w:rFonts w:cstheme="minorHAnsi"/>
        </w:rPr>
        <w:t>’</w:t>
      </w:r>
      <w:r w:rsidRPr="00CB791A">
        <w:rPr>
          <w:rFonts w:cstheme="minorHAnsi"/>
        </w:rPr>
        <w:t>exercice du pourvoi, ii) le point de savoir qui doit supporter les conséquences négatives des erreurs commises au cours de la procédure et iii) la question de savoir si les restrictions en question peuvent passer pour révéler un « formalisme excessif » (</w:t>
      </w:r>
      <w:proofErr w:type="spellStart"/>
      <w:r w:rsidRPr="00CB791A">
        <w:rPr>
          <w:rFonts w:cstheme="minorHAnsi"/>
          <w:i/>
        </w:rPr>
        <w:t>Zubac</w:t>
      </w:r>
      <w:proofErr w:type="spellEnd"/>
      <w:r w:rsidRPr="00CB791A">
        <w:rPr>
          <w:rFonts w:cstheme="minorHAnsi"/>
        </w:rPr>
        <w:t>, précité, §§ 85 et 109).</w:t>
      </w:r>
    </w:p>
    <w:p w:rsidRPr="00CB791A" w:rsidR="00B34B1B" w:rsidP="00CB791A" w:rsidRDefault="00B34B1B" w14:paraId="6A722B73" w14:textId="18957FD2">
      <w:pPr>
        <w:pStyle w:val="JuHa0"/>
      </w:pPr>
      <w:r w:rsidRPr="00CB791A">
        <w:t>Application des principes au cas d</w:t>
      </w:r>
      <w:r w:rsidRPr="00CB791A" w:rsidR="00CB791A">
        <w:t>’</w:t>
      </w:r>
      <w:r w:rsidRPr="00CB791A">
        <w:t>espèce</w:t>
      </w:r>
    </w:p>
    <w:bookmarkStart w:name="CourEnDroitAccèsTribBis" w:id="53"/>
    <w:p w:rsidRPr="00CB791A" w:rsidR="00B34B1B" w:rsidP="00CB791A" w:rsidRDefault="00B34B1B" w14:paraId="38F9C27B" w14:textId="37509D94">
      <w:pPr>
        <w:pStyle w:val="JuPara"/>
      </w:pPr>
      <w:r w:rsidRPr="00CB791A">
        <w:rPr>
          <w:rStyle w:val="JuParaChar"/>
          <w:rFonts w:cstheme="minorHAnsi"/>
        </w:rPr>
        <w:fldChar w:fldCharType="begin"/>
      </w:r>
      <w:r w:rsidRPr="00CB791A">
        <w:rPr>
          <w:rStyle w:val="JuParaChar"/>
          <w:rFonts w:cstheme="minorHAnsi"/>
        </w:rPr>
        <w:instrText xml:space="preserve"> SEQ level0 \*arabic </w:instrText>
      </w:r>
      <w:r w:rsidRPr="00CB791A">
        <w:rPr>
          <w:rStyle w:val="JuParaChar"/>
          <w:rFonts w:cstheme="minorHAnsi"/>
        </w:rPr>
        <w:fldChar w:fldCharType="separate"/>
      </w:r>
      <w:r w:rsidRPr="00CB791A" w:rsidR="00CB791A">
        <w:rPr>
          <w:rStyle w:val="JuParaChar"/>
          <w:rFonts w:cstheme="minorHAnsi"/>
          <w:noProof/>
        </w:rPr>
        <w:t>81</w:t>
      </w:r>
      <w:r w:rsidRPr="00CB791A">
        <w:rPr>
          <w:rStyle w:val="JuParaChar"/>
          <w:rFonts w:cstheme="minorHAnsi"/>
        </w:rPr>
        <w:fldChar w:fldCharType="end"/>
      </w:r>
      <w:bookmarkEnd w:id="53"/>
      <w:r w:rsidRPr="00CB791A">
        <w:rPr>
          <w:rStyle w:val="JuParaChar"/>
          <w:rFonts w:cstheme="minorHAnsi"/>
        </w:rPr>
        <w:t>.  En l</w:t>
      </w:r>
      <w:r w:rsidRPr="00CB791A" w:rsidR="00CB791A">
        <w:rPr>
          <w:rStyle w:val="JuParaChar"/>
          <w:rFonts w:cstheme="minorHAnsi"/>
        </w:rPr>
        <w:t>’</w:t>
      </w:r>
      <w:r w:rsidRPr="00CB791A">
        <w:rPr>
          <w:rStyle w:val="JuParaChar"/>
          <w:rFonts w:cstheme="minorHAnsi"/>
        </w:rPr>
        <w:t>espèce, par son arrêt du 1</w:t>
      </w:r>
      <w:r w:rsidRPr="00CB791A">
        <w:rPr>
          <w:rStyle w:val="JuParaChar"/>
          <w:rFonts w:cstheme="minorHAnsi"/>
          <w:vertAlign w:val="superscript"/>
        </w:rPr>
        <w:t>er</w:t>
      </w:r>
      <w:r w:rsidRPr="00CB791A">
        <w:rPr>
          <w:rStyle w:val="JuParaChar"/>
          <w:rFonts w:cstheme="minorHAnsi"/>
        </w:rPr>
        <w:t xml:space="preserve"> juin 2016, la Cour de cassation a déclaré irrecevables les pourvois introduits par les requérants contre l</w:t>
      </w:r>
      <w:r w:rsidRPr="00CB791A" w:rsidR="00CB791A">
        <w:rPr>
          <w:rStyle w:val="JuParaChar"/>
          <w:rFonts w:cstheme="minorHAnsi"/>
        </w:rPr>
        <w:t>’</w:t>
      </w:r>
      <w:r w:rsidRPr="00CB791A">
        <w:rPr>
          <w:rStyle w:val="JuParaChar"/>
          <w:rFonts w:cstheme="minorHAnsi"/>
        </w:rPr>
        <w:t>arrêt</w:t>
      </w:r>
      <w:r w:rsidRPr="00CB791A">
        <w:t xml:space="preserve"> de la cour d</w:t>
      </w:r>
      <w:r w:rsidRPr="00CB791A" w:rsidR="00CB791A">
        <w:t>’</w:t>
      </w:r>
      <w:r w:rsidRPr="00CB791A">
        <w:t>appel de Liège qui les avait déclarés coupables de plusieurs infractions pénales et leur avait infligé des peines de confiscation à ce titre. Le motif de cette décision tenait à ce qu</w:t>
      </w:r>
      <w:r w:rsidRPr="00CB791A" w:rsidR="00CB791A">
        <w:t>’</w:t>
      </w:r>
      <w:r w:rsidRPr="00CB791A">
        <w:t>il n</w:t>
      </w:r>
      <w:r w:rsidRPr="00CB791A" w:rsidR="00CB791A">
        <w:t>’</w:t>
      </w:r>
      <w:r w:rsidRPr="00CB791A">
        <w:t>apparaissait pas des pièces déposées par les requérants à l</w:t>
      </w:r>
      <w:r w:rsidRPr="00CB791A" w:rsidR="00CB791A">
        <w:t>’</w:t>
      </w:r>
      <w:r w:rsidRPr="00CB791A">
        <w:t>appui de leurs pourvois que leur représentant était titulaire de l</w:t>
      </w:r>
      <w:r w:rsidRPr="00CB791A" w:rsidR="00CB791A">
        <w:t>’</w:t>
      </w:r>
      <w:r w:rsidRPr="00CB791A">
        <w:t>attestation de formation en cassation visée à l</w:t>
      </w:r>
      <w:r w:rsidRPr="00CB791A" w:rsidR="00CB791A">
        <w:t>’</w:t>
      </w:r>
      <w:r w:rsidRPr="00CB791A">
        <w:t>article 425</w:t>
      </w:r>
      <w:r w:rsidRPr="00CB791A" w:rsidR="00CB791A">
        <w:t xml:space="preserve"> </w:t>
      </w:r>
      <w:r w:rsidRPr="00CB791A">
        <w:t>§ 1</w:t>
      </w:r>
      <w:r w:rsidRPr="00CB791A">
        <w:rPr>
          <w:vertAlign w:val="superscript"/>
        </w:rPr>
        <w:t>er</w:t>
      </w:r>
      <w:r w:rsidRPr="00CB791A">
        <w:t xml:space="preserve"> alinéa 2 du CIC. Pour le même motif, la Cour de cassation n</w:t>
      </w:r>
      <w:r w:rsidRPr="00CB791A" w:rsidR="00CB791A">
        <w:t>’</w:t>
      </w:r>
      <w:r w:rsidRPr="00CB791A">
        <w:t>a pas examiné les mémoires déposés par le même avocat (paragraphe</w:t>
      </w:r>
      <w:r w:rsidRPr="00CB791A" w:rsidR="009A171A">
        <w:t> </w:t>
      </w:r>
      <w:r w:rsidRPr="00CB791A">
        <w:fldChar w:fldCharType="begin"/>
      </w:r>
      <w:r w:rsidRPr="00CB791A">
        <w:instrText xml:space="preserve"> REF FaitsCass01062016 \h  \* MERGEFORMAT </w:instrText>
      </w:r>
      <w:r w:rsidRPr="00CB791A">
        <w:fldChar w:fldCharType="separate"/>
      </w:r>
      <w:r w:rsidRPr="00CB791A" w:rsidR="00CB791A">
        <w:t>11</w:t>
      </w:r>
      <w:r w:rsidRPr="00CB791A">
        <w:fldChar w:fldCharType="end"/>
      </w:r>
      <w:r w:rsidRPr="00CB791A">
        <w:t xml:space="preserve"> ci-dessus).</w:t>
      </w:r>
    </w:p>
    <w:p w:rsidRPr="00CB791A" w:rsidR="00B34B1B" w:rsidP="00CB791A" w:rsidRDefault="00B34B1B" w14:paraId="60A6AB25" w14:textId="6448F46D">
      <w:pPr>
        <w:pStyle w:val="JuPara"/>
      </w:pPr>
      <w:r w:rsidRPr="00CB791A">
        <w:fldChar w:fldCharType="begin"/>
      </w:r>
      <w:r w:rsidRPr="00CB791A">
        <w:instrText xml:space="preserve"> SEQ level0 \*arabic </w:instrText>
      </w:r>
      <w:r w:rsidRPr="00CB791A">
        <w:fldChar w:fldCharType="separate"/>
      </w:r>
      <w:r w:rsidRPr="00CB791A" w:rsidR="00CB791A">
        <w:rPr>
          <w:noProof/>
        </w:rPr>
        <w:t>82</w:t>
      </w:r>
      <w:r w:rsidRPr="00CB791A">
        <w:fldChar w:fldCharType="end"/>
      </w:r>
      <w:r w:rsidRPr="00CB791A">
        <w:t>.  Invitée à la suite de la décision de radiation de la Cour du 13 mars 2018 à rouvrir la procédure pénale dont se plaignaient les requérants, la Cour de cassation a considéré, dans son arrêt du 7 novembre 2018, qu</w:t>
      </w:r>
      <w:r w:rsidRPr="00CB791A" w:rsidR="00CB791A">
        <w:t>’</w:t>
      </w:r>
      <w:r w:rsidRPr="00CB791A">
        <w:t>exiger que la qualité d</w:t>
      </w:r>
      <w:r w:rsidRPr="00CB791A" w:rsidR="00CB791A">
        <w:t>’</w:t>
      </w:r>
      <w:r w:rsidRPr="00CB791A">
        <w:t>avocat attesté soit ainsi prouvée ne posait pas de problème en termes de droit d</w:t>
      </w:r>
      <w:r w:rsidRPr="00CB791A" w:rsidR="00CB791A">
        <w:t>’</w:t>
      </w:r>
      <w:r w:rsidRPr="00CB791A">
        <w:t>accès à un tribunal. Selon la Cour de cassation, cette exigence vise à éviter l</w:t>
      </w:r>
      <w:r w:rsidRPr="00CB791A" w:rsidR="00CB791A">
        <w:t>’</w:t>
      </w:r>
      <w:r w:rsidRPr="00CB791A">
        <w:t xml:space="preserve">encombrement de son rôle par des pourvois irrecevables ou manifestement mal fondés, ainsi que des recherches en fait qui la distrairaient du jugement des affaires régulièrement déférées à sa juridiction. Rendre ainsi tributaire la recevabilité du recours de la seule affirmation </w:t>
      </w:r>
      <w:r w:rsidRPr="00CB791A">
        <w:rPr>
          <w:rFonts w:eastAsiaTheme="minorEastAsia"/>
        </w:rPr>
        <w:t>dans l</w:t>
      </w:r>
      <w:r w:rsidRPr="00CB791A" w:rsidR="00CB791A">
        <w:rPr>
          <w:rFonts w:eastAsiaTheme="minorEastAsia"/>
        </w:rPr>
        <w:t>’</w:t>
      </w:r>
      <w:r w:rsidRPr="00CB791A">
        <w:rPr>
          <w:rFonts w:eastAsiaTheme="minorEastAsia"/>
        </w:rPr>
        <w:t xml:space="preserve">acte de pourvoi ou dans le mémoire </w:t>
      </w:r>
      <w:r w:rsidRPr="00CB791A">
        <w:t>de l</w:t>
      </w:r>
      <w:r w:rsidRPr="00CB791A">
        <w:rPr>
          <w:rFonts w:eastAsiaTheme="minorEastAsia"/>
        </w:rPr>
        <w:t>a possession de l</w:t>
      </w:r>
      <w:r w:rsidRPr="00CB791A" w:rsidR="00CB791A">
        <w:rPr>
          <w:rFonts w:eastAsiaTheme="minorEastAsia"/>
        </w:rPr>
        <w:t>’</w:t>
      </w:r>
      <w:r w:rsidRPr="00CB791A">
        <w:rPr>
          <w:rFonts w:eastAsiaTheme="minorEastAsia"/>
        </w:rPr>
        <w:t>attestation doit être regardé, de l</w:t>
      </w:r>
      <w:r w:rsidRPr="00CB791A" w:rsidR="00CB791A">
        <w:rPr>
          <w:rFonts w:eastAsiaTheme="minorEastAsia"/>
        </w:rPr>
        <w:t>’</w:t>
      </w:r>
      <w:r w:rsidRPr="00CB791A">
        <w:rPr>
          <w:rFonts w:eastAsiaTheme="minorEastAsia"/>
        </w:rPr>
        <w:t xml:space="preserve">avis de la haute juridiction, comme un formalisme minimal </w:t>
      </w:r>
      <w:r w:rsidRPr="00CB791A">
        <w:t>proportionné à cet objectif. L</w:t>
      </w:r>
      <w:r w:rsidRPr="00CB791A" w:rsidR="00CB791A">
        <w:t>’</w:t>
      </w:r>
      <w:r w:rsidRPr="00CB791A">
        <w:t>arrêt du 1</w:t>
      </w:r>
      <w:r w:rsidRPr="00CB791A">
        <w:rPr>
          <w:vertAlign w:val="superscript"/>
        </w:rPr>
        <w:t>er </w:t>
      </w:r>
      <w:r w:rsidRPr="00CB791A">
        <w:t xml:space="preserve">juin 2016 était donc conforme, selon la Cour de cassation, aux exigences de la Convention (paragraphes </w:t>
      </w:r>
      <w:r w:rsidRPr="00CB791A">
        <w:fldChar w:fldCharType="begin"/>
      </w:r>
      <w:r w:rsidRPr="00CB791A">
        <w:instrText xml:space="preserve"> REF B \h </w:instrText>
      </w:r>
      <w:r w:rsidRPr="00CB791A">
        <w:fldChar w:fldCharType="separate"/>
      </w:r>
      <w:r w:rsidRPr="00CB791A" w:rsidR="00CB791A">
        <w:rPr>
          <w:rFonts w:eastAsiaTheme="minorEastAsia"/>
          <w:noProof/>
        </w:rPr>
        <w:t>24</w:t>
      </w:r>
      <w:r w:rsidRPr="00CB791A">
        <w:fldChar w:fldCharType="end"/>
      </w:r>
      <w:r w:rsidRPr="00CB791A">
        <w:t>-</w:t>
      </w:r>
      <w:r w:rsidRPr="00CB791A">
        <w:fldChar w:fldCharType="begin"/>
      </w:r>
      <w:r w:rsidRPr="00CB791A">
        <w:instrText xml:space="preserve"> REF FaitsCass07112018End \h  \* MERGEFORMAT </w:instrText>
      </w:r>
      <w:r w:rsidRPr="00CB791A">
        <w:fldChar w:fldCharType="separate"/>
      </w:r>
      <w:r w:rsidRPr="00CB791A" w:rsidR="00CB791A">
        <w:t>26</w:t>
      </w:r>
      <w:r w:rsidRPr="00CB791A">
        <w:fldChar w:fldCharType="end"/>
      </w:r>
      <w:r w:rsidRPr="00CB791A">
        <w:t xml:space="preserve"> ci-dessus).</w:t>
      </w:r>
    </w:p>
    <w:p w:rsidRPr="00CB791A" w:rsidR="00B34B1B" w:rsidP="00CB791A" w:rsidRDefault="00B34B1B" w14:paraId="750088B3" w14:textId="62E14F4F">
      <w:pPr>
        <w:pStyle w:val="JuPara"/>
      </w:pPr>
      <w:r w:rsidRPr="00CB791A">
        <w:fldChar w:fldCharType="begin"/>
      </w:r>
      <w:r w:rsidRPr="00CB791A">
        <w:instrText xml:space="preserve"> SEQ level0 \*arabic </w:instrText>
      </w:r>
      <w:r w:rsidRPr="00CB791A">
        <w:fldChar w:fldCharType="separate"/>
      </w:r>
      <w:r w:rsidRPr="00CB791A" w:rsidR="00CB791A">
        <w:rPr>
          <w:noProof/>
        </w:rPr>
        <w:t>83</w:t>
      </w:r>
      <w:r w:rsidRPr="00CB791A">
        <w:fldChar w:fldCharType="end"/>
      </w:r>
      <w:r w:rsidRPr="00CB791A">
        <w:t>.  La Cour observe que le problème soulevé en l</w:t>
      </w:r>
      <w:r w:rsidRPr="00CB791A" w:rsidR="00CB791A">
        <w:t>’</w:t>
      </w:r>
      <w:r w:rsidRPr="00CB791A">
        <w:t>espèce concerne une condition de recevabilité des pourvois en cassation en matière pénale. Il n</w:t>
      </w:r>
      <w:r w:rsidRPr="00CB791A" w:rsidR="00CB791A">
        <w:t>’</w:t>
      </w:r>
      <w:r w:rsidRPr="00CB791A">
        <w:t>est pas contesté devant elle que la condition relative à la qualité de l</w:t>
      </w:r>
      <w:r w:rsidRPr="00CB791A" w:rsidR="00CB791A">
        <w:t>’</w:t>
      </w:r>
      <w:r w:rsidRPr="00CB791A">
        <w:t>avocat représentant un demandeur en cassation, qui s</w:t>
      </w:r>
      <w:r w:rsidRPr="00CB791A" w:rsidR="00CB791A">
        <w:t>’</w:t>
      </w:r>
      <w:r w:rsidRPr="00CB791A">
        <w:t>applique depuis le 1</w:t>
      </w:r>
      <w:r w:rsidRPr="00CB791A">
        <w:rPr>
          <w:vertAlign w:val="superscript"/>
        </w:rPr>
        <w:t>er</w:t>
      </w:r>
      <w:r w:rsidRPr="00CB791A">
        <w:t xml:space="preserve"> février 2016, date de l</w:t>
      </w:r>
      <w:r w:rsidRPr="00CB791A" w:rsidR="00CB791A">
        <w:t>’</w:t>
      </w:r>
      <w:r w:rsidRPr="00CB791A">
        <w:t>entrée en vigueur de la loi ayant modifié l</w:t>
      </w:r>
      <w:r w:rsidRPr="00CB791A" w:rsidR="00CB791A">
        <w:t>’</w:t>
      </w:r>
      <w:r w:rsidRPr="00CB791A">
        <w:t>article</w:t>
      </w:r>
      <w:r w:rsidRPr="00CB791A" w:rsidR="003461CA">
        <w:t> </w:t>
      </w:r>
      <w:r w:rsidRPr="00CB791A">
        <w:t>425 § 1</w:t>
      </w:r>
      <w:r w:rsidRPr="00CB791A">
        <w:rPr>
          <w:vertAlign w:val="superscript"/>
        </w:rPr>
        <w:t>er</w:t>
      </w:r>
      <w:r w:rsidRPr="00CB791A">
        <w:t xml:space="preserve"> alinéa 2, du CIC sur ce point, était remplie par l</w:t>
      </w:r>
      <w:r w:rsidRPr="00CB791A" w:rsidR="00CB791A">
        <w:t>’</w:t>
      </w:r>
      <w:r w:rsidRPr="00CB791A">
        <w:t>avocat des requérants. Celui-ci avait en effet suivi la formation à la procédure en cassation, s</w:t>
      </w:r>
      <w:r w:rsidRPr="00CB791A" w:rsidR="00CB791A">
        <w:t>’</w:t>
      </w:r>
      <w:r w:rsidRPr="00CB791A">
        <w:t>était vu délivrer l</w:t>
      </w:r>
      <w:r w:rsidRPr="00CB791A" w:rsidR="00CB791A">
        <w:t>’</w:t>
      </w:r>
      <w:r w:rsidRPr="00CB791A">
        <w:t>attestation le 22</w:t>
      </w:r>
      <w:r w:rsidRPr="00CB791A" w:rsidR="003461CA">
        <w:t> </w:t>
      </w:r>
      <w:r w:rsidRPr="00CB791A">
        <w:t>janvier 2016, et disposait de l</w:t>
      </w:r>
      <w:r w:rsidRPr="00CB791A" w:rsidR="00CB791A">
        <w:t>’</w:t>
      </w:r>
      <w:r w:rsidRPr="00CB791A">
        <w:t>attestation requise pour introduire des pourvois en cassation au moment où il avait formé ceux des requérants, le 10 février 2016.</w:t>
      </w:r>
    </w:p>
    <w:p w:rsidRPr="00CB791A" w:rsidR="00B34B1B" w:rsidP="00CB791A" w:rsidRDefault="00B34B1B" w14:paraId="30892833" w14:textId="52A1007A">
      <w:pPr>
        <w:pStyle w:val="JuPara"/>
      </w:pPr>
      <w:r w:rsidRPr="00CB791A">
        <w:fldChar w:fldCharType="begin"/>
      </w:r>
      <w:r w:rsidRPr="00CB791A">
        <w:instrText xml:space="preserve"> SEQ level0 \*arabic </w:instrText>
      </w:r>
      <w:r w:rsidRPr="00CB791A">
        <w:fldChar w:fldCharType="separate"/>
      </w:r>
      <w:r w:rsidRPr="00CB791A" w:rsidR="00CB791A">
        <w:rPr>
          <w:noProof/>
        </w:rPr>
        <w:t>84</w:t>
      </w:r>
      <w:r w:rsidRPr="00CB791A">
        <w:fldChar w:fldCharType="end"/>
      </w:r>
      <w:r w:rsidRPr="00CB791A">
        <w:t>.  La Cour constate qu</w:t>
      </w:r>
      <w:r w:rsidRPr="00CB791A" w:rsidR="00CB791A">
        <w:t>’</w:t>
      </w:r>
      <w:r w:rsidRPr="00CB791A">
        <w:t>il a été reproché aux requérants d</w:t>
      </w:r>
      <w:r w:rsidRPr="00CB791A" w:rsidR="00CB791A">
        <w:t>’</w:t>
      </w:r>
      <w:r w:rsidRPr="00CB791A">
        <w:t>avoir commis une erreur procédurale</w:t>
      </w:r>
      <w:r w:rsidRPr="00CB791A">
        <w:rPr>
          <w:rFonts w:eastAsiaTheme="minorEastAsia"/>
        </w:rPr>
        <w:t xml:space="preserve"> en ne prouvant pas la qualité d</w:t>
      </w:r>
      <w:r w:rsidRPr="00CB791A" w:rsidR="00CB791A">
        <w:rPr>
          <w:rFonts w:eastAsiaTheme="minorEastAsia"/>
        </w:rPr>
        <w:t>’</w:t>
      </w:r>
      <w:r w:rsidRPr="00CB791A">
        <w:rPr>
          <w:rFonts w:eastAsiaTheme="minorEastAsia"/>
        </w:rPr>
        <w:t>avocat attesté de leur représentant par la mention de sa possession dans les écrits auxquels la Cour de cassation pouvait avoir égard</w:t>
      </w:r>
      <w:r w:rsidRPr="00CB791A">
        <w:t>.</w:t>
      </w:r>
    </w:p>
    <w:p w:rsidRPr="00CB791A" w:rsidR="00B34B1B" w:rsidP="00CB791A" w:rsidRDefault="00B34B1B" w14:paraId="18D7F908" w14:textId="52BFCD73">
      <w:pPr>
        <w:pStyle w:val="JuPara"/>
      </w:pPr>
      <w:r w:rsidRPr="00CB791A">
        <w:fldChar w:fldCharType="begin"/>
      </w:r>
      <w:r w:rsidRPr="00CB791A">
        <w:instrText xml:space="preserve"> SEQ level0 \*arabic </w:instrText>
      </w:r>
      <w:r w:rsidRPr="00CB791A">
        <w:fldChar w:fldCharType="separate"/>
      </w:r>
      <w:r w:rsidRPr="00CB791A" w:rsidR="00CB791A">
        <w:rPr>
          <w:noProof/>
        </w:rPr>
        <w:t>85</w:t>
      </w:r>
      <w:r w:rsidRPr="00CB791A">
        <w:fldChar w:fldCharType="end"/>
      </w:r>
      <w:r w:rsidRPr="00CB791A">
        <w:t>.  Sans contester que l</w:t>
      </w:r>
      <w:r w:rsidRPr="00CB791A" w:rsidR="00CB791A">
        <w:t>’</w:t>
      </w:r>
      <w:r w:rsidRPr="00CB791A">
        <w:t>exigence d</w:t>
      </w:r>
      <w:r w:rsidRPr="00CB791A" w:rsidR="00CB791A">
        <w:t>’</w:t>
      </w:r>
      <w:r w:rsidRPr="00CB791A">
        <w:t>une attestation pour introduire une procédure en cassation poursuit en soi un objectif de bonne administration de la justice, les requérants se plaignent que l</w:t>
      </w:r>
      <w:r w:rsidRPr="00CB791A" w:rsidR="00CB791A">
        <w:t>’</w:t>
      </w:r>
      <w:r w:rsidRPr="00CB791A">
        <w:t>application de cette exigence en l</w:t>
      </w:r>
      <w:r w:rsidRPr="00CB791A" w:rsidR="00CB791A">
        <w:t>’</w:t>
      </w:r>
      <w:r w:rsidRPr="00CB791A">
        <w:t>espèce et l</w:t>
      </w:r>
      <w:r w:rsidRPr="00CB791A" w:rsidR="00CB791A">
        <w:t>’</w:t>
      </w:r>
      <w:r w:rsidRPr="00CB791A">
        <w:t>irrecevabilité de leurs pourvois qui en a résulté étaient imprévisibles et disproportionnées par rapport à l</w:t>
      </w:r>
      <w:r w:rsidRPr="00CB791A" w:rsidR="00CB791A">
        <w:t>’</w:t>
      </w:r>
      <w:r w:rsidRPr="00CB791A">
        <w:t>objectif poursuivi.</w:t>
      </w:r>
    </w:p>
    <w:p w:rsidRPr="00CB791A" w:rsidR="00B34B1B" w:rsidP="00CB791A" w:rsidRDefault="00B34B1B" w14:paraId="30796CD7" w14:textId="225D1921">
      <w:pPr>
        <w:pStyle w:val="JuPara"/>
      </w:pPr>
      <w:r w:rsidRPr="00CB791A">
        <w:fldChar w:fldCharType="begin"/>
      </w:r>
      <w:r w:rsidRPr="00CB791A">
        <w:instrText xml:space="preserve"> SEQ level0 \*arabic </w:instrText>
      </w:r>
      <w:r w:rsidRPr="00CB791A">
        <w:fldChar w:fldCharType="separate"/>
      </w:r>
      <w:r w:rsidRPr="00CB791A" w:rsidR="00CB791A">
        <w:rPr>
          <w:noProof/>
        </w:rPr>
        <w:t>86</w:t>
      </w:r>
      <w:r w:rsidRPr="00CB791A">
        <w:fldChar w:fldCharType="end"/>
      </w:r>
      <w:r w:rsidRPr="00CB791A">
        <w:t>.  La Cour note à cet égard que les termes de l</w:t>
      </w:r>
      <w:r w:rsidRPr="00CB791A" w:rsidR="00CB791A">
        <w:t>’</w:t>
      </w:r>
      <w:r w:rsidRPr="00CB791A">
        <w:t>article</w:t>
      </w:r>
      <w:r w:rsidRPr="00CB791A" w:rsidR="003461CA">
        <w:t> </w:t>
      </w:r>
      <w:r w:rsidRPr="00CB791A">
        <w:t>425 §</w:t>
      </w:r>
      <w:r w:rsidRPr="00CB791A" w:rsidR="003461CA">
        <w:t> </w:t>
      </w:r>
      <w:r w:rsidRPr="00CB791A">
        <w:t>1</w:t>
      </w:r>
      <w:r w:rsidRPr="00CB791A">
        <w:rPr>
          <w:vertAlign w:val="superscript"/>
        </w:rPr>
        <w:t>er</w:t>
      </w:r>
      <w:r w:rsidRPr="00CB791A">
        <w:t xml:space="preserve"> alinéa</w:t>
      </w:r>
      <w:r w:rsidRPr="00CB791A" w:rsidR="003461CA">
        <w:t> </w:t>
      </w:r>
      <w:r w:rsidRPr="00CB791A">
        <w:t>2 du CIC n</w:t>
      </w:r>
      <w:r w:rsidRPr="00CB791A" w:rsidR="00CB791A">
        <w:t>’</w:t>
      </w:r>
      <w:r w:rsidRPr="00CB791A">
        <w:t>imposent pas qu</w:t>
      </w:r>
      <w:r w:rsidRPr="00CB791A" w:rsidR="00CB791A">
        <w:t>’</w:t>
      </w:r>
      <w:r w:rsidRPr="00CB791A">
        <w:t>il apparaisse des pièces de la procédure que l</w:t>
      </w:r>
      <w:r w:rsidRPr="00CB791A" w:rsidR="00CB791A">
        <w:t>’</w:t>
      </w:r>
      <w:r w:rsidRPr="00CB791A">
        <w:t>avocat est titulaire de l</w:t>
      </w:r>
      <w:r w:rsidRPr="00CB791A" w:rsidR="00CB791A">
        <w:t>’</w:t>
      </w:r>
      <w:r w:rsidRPr="00CB791A">
        <w:t>attestation de la formation requise (paragraphe</w:t>
      </w:r>
      <w:r w:rsidRPr="00CB791A" w:rsidR="009A171A">
        <w:t> </w:t>
      </w:r>
      <w:r w:rsidRPr="00CB791A">
        <w:fldChar w:fldCharType="begin"/>
      </w:r>
      <w:r w:rsidRPr="00CB791A">
        <w:instrText xml:space="preserve"> REF DroitInterne425 \h  \* MERGEFORMAT </w:instrText>
      </w:r>
      <w:r w:rsidRPr="00CB791A">
        <w:fldChar w:fldCharType="separate"/>
      </w:r>
      <w:r w:rsidRPr="00CB791A" w:rsidR="00CB791A">
        <w:t>30</w:t>
      </w:r>
      <w:r w:rsidRPr="00CB791A">
        <w:fldChar w:fldCharType="end"/>
      </w:r>
      <w:r w:rsidRPr="00CB791A">
        <w:t xml:space="preserve"> ci-dessus). Elle constate en outre que ni le site internet de la Cour de cassation ni le règlement de la formation ne contient d</w:t>
      </w:r>
      <w:r w:rsidRPr="00CB791A" w:rsidR="00CB791A">
        <w:t>’</w:t>
      </w:r>
      <w:r w:rsidRPr="00CB791A">
        <w:t>information au sujet d</w:t>
      </w:r>
      <w:r w:rsidRPr="00CB791A" w:rsidR="00CB791A">
        <w:t>’</w:t>
      </w:r>
      <w:r w:rsidRPr="00CB791A">
        <w:t xml:space="preserve">une telle exigence (paragraphes </w:t>
      </w:r>
      <w:r w:rsidRPr="00CB791A">
        <w:fldChar w:fldCharType="begin"/>
      </w:r>
      <w:r w:rsidRPr="00CB791A">
        <w:instrText xml:space="preserve"> REF DroitInterneRèglFormation \h  \* MERGEFORMAT </w:instrText>
      </w:r>
      <w:r w:rsidRPr="00CB791A">
        <w:fldChar w:fldCharType="separate"/>
      </w:r>
      <w:r w:rsidRPr="00CB791A" w:rsidR="00CB791A">
        <w:rPr>
          <w:rFonts w:eastAsiaTheme="minorEastAsia"/>
          <w:szCs w:val="22"/>
        </w:rPr>
        <w:t>32</w:t>
      </w:r>
      <w:r w:rsidRPr="00CB791A">
        <w:fldChar w:fldCharType="end"/>
      </w:r>
      <w:r w:rsidRPr="00CB791A">
        <w:t>-</w:t>
      </w:r>
      <w:r w:rsidRPr="00CB791A">
        <w:fldChar w:fldCharType="begin"/>
      </w:r>
      <w:r w:rsidRPr="00CB791A">
        <w:instrText xml:space="preserve"> REF DroitInterneSiteCass \h  \* MERGEFORMAT </w:instrText>
      </w:r>
      <w:r w:rsidRPr="00CB791A">
        <w:fldChar w:fldCharType="separate"/>
      </w:r>
      <w:r w:rsidRPr="00CB791A" w:rsidR="00CB791A">
        <w:rPr>
          <w:rFonts w:eastAsiaTheme="minorEastAsia"/>
          <w:szCs w:val="22"/>
        </w:rPr>
        <w:t>33</w:t>
      </w:r>
      <w:r w:rsidRPr="00CB791A">
        <w:fldChar w:fldCharType="end"/>
      </w:r>
      <w:r w:rsidRPr="00CB791A">
        <w:t xml:space="preserve"> ci-dessus). De plus, les requérants font valoir, sans être contesté par le Gouvernement, qu</w:t>
      </w:r>
      <w:r w:rsidRPr="00CB791A" w:rsidR="00CB791A">
        <w:t>’</w:t>
      </w:r>
      <w:r w:rsidRPr="00CB791A">
        <w:t>au moment où leur avocat a formé les pourvois – soit dix jours après l</w:t>
      </w:r>
      <w:r w:rsidRPr="00CB791A" w:rsidR="00CB791A">
        <w:t>’</w:t>
      </w:r>
      <w:r w:rsidRPr="00CB791A">
        <w:t>entrée en vigueur des modifications apportées à l</w:t>
      </w:r>
      <w:r w:rsidRPr="00CB791A" w:rsidR="00CB791A">
        <w:t>’</w:t>
      </w:r>
      <w:r w:rsidRPr="00CB791A">
        <w:t>article 425 §</w:t>
      </w:r>
      <w:r w:rsidRPr="00CB791A" w:rsidR="003461CA">
        <w:t> </w:t>
      </w:r>
      <w:r w:rsidRPr="00CB791A">
        <w:t>1</w:t>
      </w:r>
      <w:r w:rsidRPr="00CB791A">
        <w:rPr>
          <w:vertAlign w:val="superscript"/>
        </w:rPr>
        <w:t>er</w:t>
      </w:r>
      <w:r w:rsidRPr="00CB791A">
        <w:t xml:space="preserve"> alinéa</w:t>
      </w:r>
      <w:r w:rsidRPr="00CB791A" w:rsidR="003461CA">
        <w:t> </w:t>
      </w:r>
      <w:r w:rsidRPr="00CB791A">
        <w:t>2 du CIC – et pendant les deux mois qui ont suivi, aucune autre décision n</w:t>
      </w:r>
      <w:r w:rsidRPr="00CB791A" w:rsidR="00CB791A">
        <w:t>’</w:t>
      </w:r>
      <w:r w:rsidRPr="00CB791A">
        <w:t>est intervenue qui leur aurait permis de prévoir la nécessité d</w:t>
      </w:r>
      <w:r w:rsidRPr="00CB791A" w:rsidR="00CB791A">
        <w:t>’</w:t>
      </w:r>
      <w:r w:rsidRPr="00CB791A">
        <w:t>indiquer que leur avocat était titulaire de l</w:t>
      </w:r>
      <w:r w:rsidRPr="00CB791A" w:rsidR="00CB791A">
        <w:t>’</w:t>
      </w:r>
      <w:r w:rsidRPr="00CB791A">
        <w:t>attestation.</w:t>
      </w:r>
    </w:p>
    <w:p w:rsidRPr="00CB791A" w:rsidR="00B34B1B" w:rsidP="00CB791A" w:rsidRDefault="00B34B1B" w14:paraId="3D515224" w14:textId="19883D5D">
      <w:pPr>
        <w:pStyle w:val="JuPara"/>
      </w:pPr>
      <w:r w:rsidRPr="00CB791A">
        <w:fldChar w:fldCharType="begin"/>
      </w:r>
      <w:r w:rsidRPr="00CB791A">
        <w:instrText xml:space="preserve"> SEQ level0 \*arabic </w:instrText>
      </w:r>
      <w:r w:rsidRPr="00CB791A">
        <w:fldChar w:fldCharType="separate"/>
      </w:r>
      <w:r w:rsidRPr="00CB791A" w:rsidR="00CB791A">
        <w:rPr>
          <w:noProof/>
        </w:rPr>
        <w:t>87</w:t>
      </w:r>
      <w:r w:rsidRPr="00CB791A">
        <w:fldChar w:fldCharType="end"/>
      </w:r>
      <w:r w:rsidRPr="00CB791A">
        <w:t>.  Cela étant dit, un élément qui pèse lourdement dans l</w:t>
      </w:r>
      <w:r w:rsidRPr="00CB791A" w:rsidR="00CB791A">
        <w:t>’</w:t>
      </w:r>
      <w:r w:rsidRPr="00CB791A">
        <w:t>appréciation de la proportionnalité de la sanction appliquée aux requérants pour non-respect de l</w:t>
      </w:r>
      <w:r w:rsidRPr="00CB791A" w:rsidR="00CB791A">
        <w:t>’</w:t>
      </w:r>
      <w:r w:rsidRPr="00CB791A">
        <w:t>exigence formelle précitée est que le site internet de la Cour de cassation explique que la liste des avocats titulaires de l</w:t>
      </w:r>
      <w:r w:rsidRPr="00CB791A" w:rsidR="00CB791A">
        <w:t>’</w:t>
      </w:r>
      <w:r w:rsidRPr="00CB791A">
        <w:t>attestation peut être consultée sur les sites internet respectifs des ordres des barreaux des avocats et contient un lien direct vers lesdits sites. En d</w:t>
      </w:r>
      <w:r w:rsidRPr="00CB791A" w:rsidR="00CB791A">
        <w:t>’</w:t>
      </w:r>
      <w:r w:rsidRPr="00CB791A">
        <w:t>autres termes, la Cour de cassation fournissait elle-même la possibilité de rechercher par une simple consultation via son propre site internet si la règle nouvellement introduite pour accéder à son office était respectée en l</w:t>
      </w:r>
      <w:r w:rsidRPr="00CB791A" w:rsidR="00CB791A">
        <w:t>’</w:t>
      </w:r>
      <w:r w:rsidRPr="00CB791A">
        <w:t>espèce.</w:t>
      </w:r>
    </w:p>
    <w:p w:rsidRPr="00CB791A" w:rsidR="00B34B1B" w:rsidP="00CB791A" w:rsidRDefault="00B34B1B" w14:paraId="73C90757" w14:textId="0CE05FDD">
      <w:pPr>
        <w:pStyle w:val="JuPara"/>
      </w:pPr>
      <w:r w:rsidRPr="00CB791A">
        <w:fldChar w:fldCharType="begin"/>
      </w:r>
      <w:r w:rsidRPr="00CB791A">
        <w:instrText xml:space="preserve"> SEQ level0 \*arabic </w:instrText>
      </w:r>
      <w:r w:rsidRPr="00CB791A">
        <w:fldChar w:fldCharType="separate"/>
      </w:r>
      <w:r w:rsidRPr="00CB791A" w:rsidR="00CB791A">
        <w:rPr>
          <w:noProof/>
        </w:rPr>
        <w:t>88</w:t>
      </w:r>
      <w:r w:rsidRPr="00CB791A">
        <w:fldChar w:fldCharType="end"/>
      </w:r>
      <w:r w:rsidRPr="00CB791A">
        <w:t>.  Dans ces circonstances, au vu des conséquences qu</w:t>
      </w:r>
      <w:r w:rsidRPr="00CB791A" w:rsidR="00CB791A">
        <w:t>’</w:t>
      </w:r>
      <w:r w:rsidRPr="00CB791A">
        <w:t>a entraînées l</w:t>
      </w:r>
      <w:r w:rsidRPr="00CB791A" w:rsidR="00CB791A">
        <w:t>’</w:t>
      </w:r>
      <w:r w:rsidRPr="00CB791A">
        <w:t>irrecevabilité des pourvois en cassation pour les requérants – lesquels n</w:t>
      </w:r>
      <w:r w:rsidRPr="00CB791A" w:rsidR="00CB791A">
        <w:t>’</w:t>
      </w:r>
      <w:r w:rsidRPr="00CB791A">
        <w:t>ont pas pu dans le contexte d</w:t>
      </w:r>
      <w:r w:rsidRPr="00CB791A" w:rsidR="00CB791A">
        <w:t>’</w:t>
      </w:r>
      <w:r w:rsidRPr="00CB791A">
        <w:t>un procès pénal faire entendre leurs moyens de cassation par la haute juridiction interne –, la Cour estime que lorsqu</w:t>
      </w:r>
      <w:r w:rsidRPr="00CB791A" w:rsidR="00CB791A">
        <w:t>’</w:t>
      </w:r>
      <w:r w:rsidRPr="00CB791A">
        <w:t>elle a ainsi sanctionné l</w:t>
      </w:r>
      <w:r w:rsidRPr="00CB791A" w:rsidR="00CB791A">
        <w:t>’</w:t>
      </w:r>
      <w:r w:rsidRPr="00CB791A">
        <w:t>erreur procédurale commise par eux, la Cour de cassation a rompu le juste équilibre entre, d</w:t>
      </w:r>
      <w:r w:rsidRPr="00CB791A" w:rsidR="00CB791A">
        <w:t>’</w:t>
      </w:r>
      <w:r w:rsidRPr="00CB791A">
        <w:t>une part, le souci légitime d</w:t>
      </w:r>
      <w:r w:rsidRPr="00CB791A" w:rsidR="00CB791A">
        <w:t>’</w:t>
      </w:r>
      <w:r w:rsidRPr="00CB791A">
        <w:t>assurer le respect des exigences procédurales entourant l</w:t>
      </w:r>
      <w:r w:rsidRPr="00CB791A" w:rsidR="00CB791A">
        <w:t>’</w:t>
      </w:r>
      <w:r w:rsidRPr="00CB791A">
        <w:t>introduction d</w:t>
      </w:r>
      <w:r w:rsidRPr="00CB791A" w:rsidR="00CB791A">
        <w:t>’</w:t>
      </w:r>
      <w:r w:rsidRPr="00CB791A">
        <w:t>un pourvoi en cassation et, d</w:t>
      </w:r>
      <w:r w:rsidRPr="00CB791A" w:rsidR="00CB791A">
        <w:t>’</w:t>
      </w:r>
      <w:r w:rsidRPr="00CB791A">
        <w:t>autre part, le droit d</w:t>
      </w:r>
      <w:r w:rsidRPr="00CB791A" w:rsidR="00CB791A">
        <w:t>’</w:t>
      </w:r>
      <w:r w:rsidRPr="00CB791A">
        <w:t xml:space="preserve">accès au juge (voir, </w:t>
      </w:r>
      <w:r w:rsidRPr="00CB791A">
        <w:rPr>
          <w:i/>
        </w:rPr>
        <w:t>mutatis mutandis</w:t>
      </w:r>
      <w:r w:rsidRPr="00CB791A">
        <w:t xml:space="preserve">, </w:t>
      </w:r>
      <w:proofErr w:type="spellStart"/>
      <w:r w:rsidRPr="00CB791A">
        <w:rPr>
          <w:i/>
        </w:rPr>
        <w:t>Walchli</w:t>
      </w:r>
      <w:proofErr w:type="spellEnd"/>
      <w:r w:rsidRPr="00CB791A">
        <w:rPr>
          <w:i/>
        </w:rPr>
        <w:t xml:space="preserve"> c. France</w:t>
      </w:r>
      <w:r w:rsidRPr="00CB791A">
        <w:t>, n</w:t>
      </w:r>
      <w:r w:rsidRPr="00CB791A">
        <w:rPr>
          <w:vertAlign w:val="superscript"/>
        </w:rPr>
        <w:t>o</w:t>
      </w:r>
      <w:r w:rsidRPr="00CB791A" w:rsidR="003461CA">
        <w:t> </w:t>
      </w:r>
      <w:r w:rsidRPr="00CB791A">
        <w:t>35787/03, §</w:t>
      </w:r>
      <w:r w:rsidRPr="00CB791A" w:rsidR="003461CA">
        <w:t> </w:t>
      </w:r>
      <w:r w:rsidRPr="00CB791A">
        <w:t>36, 26</w:t>
      </w:r>
      <w:r w:rsidRPr="00CB791A" w:rsidR="003461CA">
        <w:t> </w:t>
      </w:r>
      <w:r w:rsidRPr="00CB791A">
        <w:t xml:space="preserve">juillet 2007, et </w:t>
      </w:r>
      <w:proofErr w:type="spellStart"/>
      <w:r w:rsidRPr="00CB791A">
        <w:rPr>
          <w:i/>
        </w:rPr>
        <w:t>Evaggelou</w:t>
      </w:r>
      <w:proofErr w:type="spellEnd"/>
      <w:r w:rsidRPr="00CB791A">
        <w:rPr>
          <w:i/>
        </w:rPr>
        <w:t xml:space="preserve"> c.</w:t>
      </w:r>
      <w:r w:rsidRPr="00CB791A" w:rsidR="009A171A">
        <w:rPr>
          <w:i/>
        </w:rPr>
        <w:t> </w:t>
      </w:r>
      <w:r w:rsidRPr="00CB791A">
        <w:rPr>
          <w:i/>
        </w:rPr>
        <w:t>Grèce</w:t>
      </w:r>
      <w:r w:rsidRPr="00CB791A">
        <w:t>, n</w:t>
      </w:r>
      <w:r w:rsidRPr="00CB791A">
        <w:rPr>
          <w:vertAlign w:val="superscript"/>
        </w:rPr>
        <w:t>o</w:t>
      </w:r>
      <w:r w:rsidRPr="00CB791A">
        <w:t> 44078/07, §</w:t>
      </w:r>
      <w:r w:rsidRPr="00CB791A" w:rsidR="003461CA">
        <w:t> </w:t>
      </w:r>
      <w:r w:rsidRPr="00CB791A">
        <w:t>24, 13</w:t>
      </w:r>
      <w:r w:rsidRPr="00CB791A" w:rsidR="003461CA">
        <w:t> </w:t>
      </w:r>
      <w:r w:rsidRPr="00CB791A">
        <w:t>janvier 2011), faisant ainsi preuve d</w:t>
      </w:r>
      <w:r w:rsidRPr="00CB791A" w:rsidR="00CB791A">
        <w:t>’</w:t>
      </w:r>
      <w:r w:rsidRPr="00CB791A">
        <w:t>un formalisme excessif en ce qui concerne les exigences procédurales entourant la recevabilité des pourvois</w:t>
      </w:r>
      <w:r w:rsidRPr="00CB791A" w:rsidDel="00F60DCB">
        <w:t xml:space="preserve"> </w:t>
      </w:r>
      <w:r w:rsidRPr="00CB791A">
        <w:t xml:space="preserve">en cassation (voir, </w:t>
      </w:r>
      <w:r w:rsidRPr="00CB791A">
        <w:rPr>
          <w:i/>
        </w:rPr>
        <w:t>mutatis mutandis</w:t>
      </w:r>
      <w:r w:rsidRPr="00CB791A">
        <w:t xml:space="preserve">, </w:t>
      </w:r>
      <w:proofErr w:type="spellStart"/>
      <w:r w:rsidRPr="00CB791A">
        <w:rPr>
          <w:i/>
        </w:rPr>
        <w:t>Walchli</w:t>
      </w:r>
      <w:proofErr w:type="spellEnd"/>
      <w:r w:rsidRPr="00CB791A">
        <w:t>, précité, § 36).</w:t>
      </w:r>
    </w:p>
    <w:bookmarkStart w:name="CourEnDroitAccèsTribEnd" w:id="54"/>
    <w:bookmarkStart w:name="I" w:id="55"/>
    <w:bookmarkStart w:name="ConcProcedureInitiale" w:id="56"/>
    <w:p w:rsidRPr="00CB791A" w:rsidR="00B34B1B" w:rsidP="00CB791A" w:rsidRDefault="00B34B1B" w14:paraId="022B93C3" w14:textId="6E52E9C8">
      <w:pPr>
        <w:pStyle w:val="JuPara"/>
      </w:pPr>
      <w:r w:rsidRPr="00CB791A">
        <w:fldChar w:fldCharType="begin"/>
      </w:r>
      <w:r w:rsidRPr="00CB791A">
        <w:instrText xml:space="preserve"> SEQ level0 \*arabic </w:instrText>
      </w:r>
      <w:r w:rsidRPr="00CB791A">
        <w:fldChar w:fldCharType="separate"/>
      </w:r>
      <w:r w:rsidRPr="00CB791A" w:rsidR="00CB791A">
        <w:rPr>
          <w:noProof/>
        </w:rPr>
        <w:t>89</w:t>
      </w:r>
      <w:r w:rsidRPr="00CB791A">
        <w:fldChar w:fldCharType="end"/>
      </w:r>
      <w:bookmarkEnd w:id="54"/>
      <w:bookmarkEnd w:id="55"/>
      <w:bookmarkEnd w:id="56"/>
      <w:r w:rsidRPr="00CB791A">
        <w:t>.  Partant, il y a eu violation de l</w:t>
      </w:r>
      <w:r w:rsidRPr="00CB791A" w:rsidR="00CB791A">
        <w:t>’</w:t>
      </w:r>
      <w:r w:rsidRPr="00CB791A">
        <w:t>article 6 § 1 de la Convention.</w:t>
      </w:r>
    </w:p>
    <w:p w:rsidRPr="00CB791A" w:rsidR="00B34B1B" w:rsidP="00CB791A" w:rsidRDefault="00B34B1B" w14:paraId="7501C3D9" w14:textId="03BB3513">
      <w:pPr>
        <w:pStyle w:val="JuHIRoman"/>
        <w:rPr>
          <w:rFonts w:cstheme="minorHAnsi"/>
        </w:rPr>
      </w:pPr>
      <w:r w:rsidRPr="00CB791A">
        <w:rPr>
          <w:rFonts w:cstheme="minorHAnsi"/>
        </w:rPr>
        <w:t>SUR LA VIOLATION ALLÉGUÉE DE L</w:t>
      </w:r>
      <w:r w:rsidRPr="00CB791A" w:rsidR="00CB791A">
        <w:rPr>
          <w:rFonts w:cstheme="minorHAnsi"/>
        </w:rPr>
        <w:t>’</w:t>
      </w:r>
      <w:r w:rsidRPr="00CB791A">
        <w:rPr>
          <w:rFonts w:cstheme="minorHAnsi"/>
        </w:rPr>
        <w:t>ARTICLE 6 § 1 DE LA CONVENTION DANS LA PROCÉDURE EN RÉOUVERTURE DE LA PROCÉDURE INITIALE</w:t>
      </w:r>
    </w:p>
    <w:p w:rsidRPr="00CB791A" w:rsidR="00B34B1B" w:rsidP="00CB791A" w:rsidRDefault="00B34B1B" w14:paraId="40834BCE" w14:textId="02891F65">
      <w:pPr>
        <w:pStyle w:val="JuPara"/>
      </w:pPr>
      <w:r w:rsidRPr="00CB791A">
        <w:fldChar w:fldCharType="begin"/>
      </w:r>
      <w:r w:rsidRPr="00CB791A">
        <w:instrText xml:space="preserve"> SEQ level0 \*arabic </w:instrText>
      </w:r>
      <w:r w:rsidRPr="00CB791A">
        <w:fldChar w:fldCharType="separate"/>
      </w:r>
      <w:r w:rsidRPr="00CB791A" w:rsidR="00CB791A">
        <w:rPr>
          <w:noProof/>
        </w:rPr>
        <w:t>90</w:t>
      </w:r>
      <w:r w:rsidRPr="00CB791A">
        <w:fldChar w:fldCharType="end"/>
      </w:r>
      <w:r w:rsidRPr="00CB791A">
        <w:t>.  Les requérants se plaignent que l</w:t>
      </w:r>
      <w:r w:rsidRPr="00CB791A" w:rsidR="00CB791A">
        <w:t>’</w:t>
      </w:r>
      <w:r w:rsidRPr="00CB791A">
        <w:t>arrêt de la Cour de cassation du 7 novembre 2018 les a mis dans l</w:t>
      </w:r>
      <w:r w:rsidRPr="00CB791A" w:rsidR="00CB791A">
        <w:t>’</w:t>
      </w:r>
      <w:r w:rsidRPr="00CB791A">
        <w:t>impossibilité d</w:t>
      </w:r>
      <w:r w:rsidRPr="00CB791A" w:rsidR="00CB791A">
        <w:t>’</w:t>
      </w:r>
      <w:r w:rsidRPr="00CB791A">
        <w:t xml:space="preserve">obtenir la réouverture des procédures pénales dirigées contre eux et les a </w:t>
      </w:r>
      <w:proofErr w:type="gramStart"/>
      <w:r w:rsidRPr="00CB791A">
        <w:t>de la sorte privés</w:t>
      </w:r>
      <w:proofErr w:type="gramEnd"/>
      <w:r w:rsidRPr="00CB791A">
        <w:t xml:space="preserve"> de leur droit d</w:t>
      </w:r>
      <w:r w:rsidRPr="00CB791A" w:rsidR="00CB791A">
        <w:t>’</w:t>
      </w:r>
      <w:r w:rsidRPr="00CB791A">
        <w:t>accès à cette juridiction. Ils invoquent l</w:t>
      </w:r>
      <w:r w:rsidRPr="00CB791A" w:rsidR="00CB791A">
        <w:t>’</w:t>
      </w:r>
      <w:r w:rsidRPr="00CB791A">
        <w:t>article 6 § 1 de la Convention précité.</w:t>
      </w:r>
    </w:p>
    <w:p w:rsidRPr="00CB791A" w:rsidR="00B34B1B" w:rsidP="00CB791A" w:rsidRDefault="00B34B1B" w14:paraId="07FFF9B4" w14:textId="6E6A4CFC">
      <w:pPr>
        <w:pStyle w:val="JuPara"/>
        <w:rPr>
          <w:rFonts w:cstheme="minorHAnsi"/>
        </w:rPr>
      </w:pPr>
      <w:r w:rsidRPr="00CB791A">
        <w:fldChar w:fldCharType="begin"/>
      </w:r>
      <w:r w:rsidRPr="00CB791A">
        <w:instrText xml:space="preserve"> SEQ level0 \*arabic </w:instrText>
      </w:r>
      <w:r w:rsidRPr="00CB791A">
        <w:fldChar w:fldCharType="separate"/>
      </w:r>
      <w:r w:rsidRPr="00CB791A" w:rsidR="00CB791A">
        <w:rPr>
          <w:noProof/>
        </w:rPr>
        <w:t>91</w:t>
      </w:r>
      <w:r w:rsidRPr="00CB791A">
        <w:fldChar w:fldCharType="end"/>
      </w:r>
      <w:r w:rsidRPr="00CB791A">
        <w:t>.  Dans la mesure où les requérants se plaignent de l</w:t>
      </w:r>
      <w:r w:rsidRPr="00CB791A" w:rsidR="00CB791A">
        <w:t>’</w:t>
      </w:r>
      <w:r w:rsidRPr="00CB791A">
        <w:t>effet du refus de réexaminer les pourvois en cassation qu</w:t>
      </w:r>
      <w:r w:rsidRPr="00CB791A" w:rsidR="00CB791A">
        <w:t>’</w:t>
      </w:r>
      <w:r w:rsidRPr="00CB791A">
        <w:t>ils ont introduits en 2016, c</w:t>
      </w:r>
      <w:r w:rsidRPr="00CB791A" w:rsidR="00CB791A">
        <w:t>’</w:t>
      </w:r>
      <w:r w:rsidRPr="00CB791A">
        <w:t>est</w:t>
      </w:r>
      <w:r w:rsidRPr="00CB791A">
        <w:noBreakHyphen/>
        <w:t>à</w:t>
      </w:r>
      <w:r w:rsidRPr="00CB791A">
        <w:noBreakHyphen/>
        <w:t>dire le maintien de l</w:t>
      </w:r>
      <w:r w:rsidRPr="00CB791A" w:rsidR="00CB791A">
        <w:t>’</w:t>
      </w:r>
      <w:r w:rsidRPr="00CB791A">
        <w:t>arrêt de la Cour de cassation du 1</w:t>
      </w:r>
      <w:r w:rsidRPr="00CB791A">
        <w:rPr>
          <w:vertAlign w:val="superscript"/>
        </w:rPr>
        <w:t>er</w:t>
      </w:r>
      <w:r w:rsidRPr="00CB791A" w:rsidR="003461CA">
        <w:t> </w:t>
      </w:r>
      <w:r w:rsidRPr="00CB791A">
        <w:t>juin 2016, leur grief tiré d</w:t>
      </w:r>
      <w:r w:rsidRPr="00CB791A" w:rsidR="00CB791A">
        <w:t>’</w:t>
      </w:r>
      <w:r w:rsidRPr="00CB791A">
        <w:t>une violation de l</w:t>
      </w:r>
      <w:r w:rsidRPr="00CB791A" w:rsidR="00CB791A">
        <w:t>’</w:t>
      </w:r>
      <w:r w:rsidRPr="00CB791A">
        <w:t>article 6 § 1 coïncide en réalité avec le grief qu</w:t>
      </w:r>
      <w:r w:rsidRPr="00CB791A" w:rsidR="00CB791A">
        <w:t>’</w:t>
      </w:r>
      <w:r w:rsidRPr="00CB791A">
        <w:t>ils avaient déjà invoqué dans leurs requêtes initiales devant la Cour. Ce grief a été examiné ci-dessus (</w:t>
      </w:r>
      <w:r w:rsidRPr="00CB791A">
        <w:rPr>
          <w:rFonts w:cstheme="minorHAnsi"/>
        </w:rPr>
        <w:t>paragraphes</w:t>
      </w:r>
      <w:r w:rsidRPr="00CB791A" w:rsidR="003461CA">
        <w:rPr>
          <w:rFonts w:cstheme="minorHAnsi"/>
        </w:rPr>
        <w:t> </w:t>
      </w:r>
      <w:r w:rsidRPr="00CB791A">
        <w:rPr>
          <w:rFonts w:cstheme="minorHAnsi"/>
        </w:rPr>
        <w:fldChar w:fldCharType="begin"/>
      </w:r>
      <w:r w:rsidRPr="00CB791A">
        <w:rPr>
          <w:rFonts w:cstheme="minorHAnsi"/>
        </w:rPr>
        <w:instrText xml:space="preserve"> REF H \h  \* MERGEFORMAT </w:instrText>
      </w:r>
      <w:r w:rsidRPr="00CB791A">
        <w:rPr>
          <w:rFonts w:cstheme="minorHAnsi"/>
        </w:rPr>
      </w:r>
      <w:r w:rsidRPr="00CB791A">
        <w:rPr>
          <w:rFonts w:cstheme="minorHAnsi"/>
        </w:rPr>
        <w:fldChar w:fldCharType="separate"/>
      </w:r>
      <w:r w:rsidRPr="00CB791A" w:rsidR="00CB791A">
        <w:t>67</w:t>
      </w:r>
      <w:r w:rsidRPr="00CB791A">
        <w:rPr>
          <w:rFonts w:cstheme="minorHAnsi"/>
        </w:rPr>
        <w:fldChar w:fldCharType="end"/>
      </w:r>
      <w:r w:rsidRPr="00CB791A">
        <w:rPr>
          <w:rFonts w:cstheme="minorHAnsi"/>
        </w:rPr>
        <w:t>-</w:t>
      </w:r>
      <w:r w:rsidRPr="00CB791A">
        <w:rPr>
          <w:rFonts w:cstheme="minorHAnsi"/>
        </w:rPr>
        <w:fldChar w:fldCharType="begin"/>
      </w:r>
      <w:r w:rsidRPr="00CB791A">
        <w:rPr>
          <w:rFonts w:cstheme="minorHAnsi"/>
        </w:rPr>
        <w:instrText xml:space="preserve"> REF I \h  \* MERGEFORMAT </w:instrText>
      </w:r>
      <w:r w:rsidRPr="00CB791A">
        <w:rPr>
          <w:rFonts w:cstheme="minorHAnsi"/>
        </w:rPr>
      </w:r>
      <w:r w:rsidRPr="00CB791A">
        <w:rPr>
          <w:rFonts w:cstheme="minorHAnsi"/>
        </w:rPr>
        <w:fldChar w:fldCharType="separate"/>
      </w:r>
      <w:r w:rsidRPr="00CB791A" w:rsidR="00CB791A">
        <w:t>89</w:t>
      </w:r>
      <w:r w:rsidRPr="00CB791A">
        <w:rPr>
          <w:rFonts w:cstheme="minorHAnsi"/>
        </w:rPr>
        <w:fldChar w:fldCharType="end"/>
      </w:r>
      <w:r w:rsidRPr="00CB791A">
        <w:rPr>
          <w:rFonts w:cstheme="minorHAnsi"/>
        </w:rPr>
        <w:t xml:space="preserve"> ci-dessus).</w:t>
      </w:r>
    </w:p>
    <w:p w:rsidRPr="00CB791A" w:rsidR="00B34B1B" w:rsidP="00CB791A" w:rsidRDefault="00B34B1B" w14:paraId="021B1608" w14:textId="02C2DBFD">
      <w:pPr>
        <w:pStyle w:val="JuPara"/>
        <w:rPr>
          <w:rFonts w:cstheme="minorHAnsi"/>
        </w:rPr>
      </w:pPr>
      <w:r w:rsidRPr="00CB791A">
        <w:rPr>
          <w:rFonts w:cstheme="minorHAnsi"/>
        </w:rPr>
        <w:fldChar w:fldCharType="begin"/>
      </w:r>
      <w:r w:rsidRPr="00CB791A">
        <w:rPr>
          <w:rFonts w:cstheme="minorHAnsi"/>
        </w:rPr>
        <w:instrText xml:space="preserve"> SEQ level0 \*arabic \* MERGEFORMAT </w:instrText>
      </w:r>
      <w:r w:rsidRPr="00CB791A">
        <w:rPr>
          <w:rFonts w:cstheme="minorHAnsi"/>
        </w:rPr>
        <w:fldChar w:fldCharType="separate"/>
      </w:r>
      <w:r w:rsidRPr="00CB791A" w:rsidR="00CB791A">
        <w:rPr>
          <w:rFonts w:cstheme="minorHAnsi"/>
          <w:noProof/>
        </w:rPr>
        <w:t>92</w:t>
      </w:r>
      <w:r w:rsidRPr="00CB791A">
        <w:rPr>
          <w:rFonts w:cstheme="minorHAnsi"/>
        </w:rPr>
        <w:fldChar w:fldCharType="end"/>
      </w:r>
      <w:r w:rsidRPr="00CB791A">
        <w:rPr>
          <w:rFonts w:cstheme="minorHAnsi"/>
        </w:rPr>
        <w:t>.  Dans la mesure où les requérants se plaignent du refus même de la réouverture de la procédure, en alléguant une méconnaissance de la déclaration unilatérale du Gouvernement et de la décision de la Cour rayant les affaires initiales de son rôle, il s</w:t>
      </w:r>
      <w:r w:rsidRPr="00CB791A" w:rsidR="00CB791A">
        <w:rPr>
          <w:rFonts w:cstheme="minorHAnsi"/>
        </w:rPr>
        <w:t>’</w:t>
      </w:r>
      <w:r w:rsidRPr="00CB791A">
        <w:rPr>
          <w:rFonts w:cstheme="minorHAnsi"/>
        </w:rPr>
        <w:t>agit de griefs nouveaux et détachables de ceux qui ont été invoqués dans leurs requêtes initiales. Toutefois, eu égard à sa décision concernant la procédure initiale devant la Cour de cassation (paragraphe</w:t>
      </w:r>
      <w:r w:rsidRPr="00CB791A" w:rsidR="003461CA">
        <w:rPr>
          <w:rFonts w:cstheme="minorHAnsi"/>
        </w:rPr>
        <w:t> </w:t>
      </w:r>
      <w:r w:rsidRPr="00CB791A">
        <w:rPr>
          <w:rFonts w:cstheme="minorHAnsi"/>
        </w:rPr>
        <w:fldChar w:fldCharType="begin"/>
      </w:r>
      <w:r w:rsidRPr="00CB791A">
        <w:rPr>
          <w:rFonts w:cstheme="minorHAnsi"/>
        </w:rPr>
        <w:instrText xml:space="preserve"> REF ConcProcedureInitiale \h </w:instrText>
      </w:r>
      <w:r w:rsidRPr="00CB791A">
        <w:rPr>
          <w:rFonts w:cstheme="minorHAnsi"/>
        </w:rPr>
      </w:r>
      <w:r w:rsidRPr="00CB791A">
        <w:rPr>
          <w:rFonts w:cstheme="minorHAnsi"/>
        </w:rPr>
        <w:fldChar w:fldCharType="separate"/>
      </w:r>
      <w:r w:rsidRPr="00CB791A" w:rsidR="00CB791A">
        <w:rPr>
          <w:noProof/>
        </w:rPr>
        <w:t>89</w:t>
      </w:r>
      <w:r w:rsidRPr="00CB791A">
        <w:rPr>
          <w:rFonts w:cstheme="minorHAnsi"/>
        </w:rPr>
        <w:fldChar w:fldCharType="end"/>
      </w:r>
      <w:r w:rsidRPr="00CB791A">
        <w:rPr>
          <w:rFonts w:cstheme="minorHAnsi"/>
        </w:rPr>
        <w:t xml:space="preserve"> ci-dessus), la Cour estime qu</w:t>
      </w:r>
      <w:r w:rsidRPr="00CB791A" w:rsidR="00CB791A">
        <w:rPr>
          <w:rFonts w:cstheme="minorHAnsi"/>
        </w:rPr>
        <w:t>’</w:t>
      </w:r>
      <w:r w:rsidRPr="00CB791A">
        <w:rPr>
          <w:rFonts w:cstheme="minorHAnsi"/>
        </w:rPr>
        <w:t>il n</w:t>
      </w:r>
      <w:r w:rsidRPr="00CB791A" w:rsidR="00CB791A">
        <w:rPr>
          <w:rFonts w:cstheme="minorHAnsi"/>
        </w:rPr>
        <w:t>’</w:t>
      </w:r>
      <w:r w:rsidRPr="00CB791A">
        <w:rPr>
          <w:rFonts w:cstheme="minorHAnsi"/>
        </w:rPr>
        <w:t>est pas nécessaire d</w:t>
      </w:r>
      <w:r w:rsidRPr="00CB791A" w:rsidR="00CB791A">
        <w:rPr>
          <w:rFonts w:cstheme="minorHAnsi"/>
        </w:rPr>
        <w:t>’</w:t>
      </w:r>
      <w:r w:rsidRPr="00CB791A">
        <w:rPr>
          <w:rFonts w:cstheme="minorHAnsi"/>
        </w:rPr>
        <w:t>examiner la recevabilité ni le bien-fondé du grief dirigé contre les raisons sur lesquelles est fondé le refus de réouverture de la procédure initiale.</w:t>
      </w:r>
    </w:p>
    <w:bookmarkStart w:name="Z" w:id="57"/>
    <w:p w:rsidRPr="00CB791A" w:rsidR="00B34B1B" w:rsidP="00CB791A" w:rsidRDefault="00B34B1B" w14:paraId="632A8866" w14:textId="5BF1BDF5">
      <w:pPr>
        <w:pStyle w:val="JuPara"/>
        <w:rPr>
          <w:rFonts w:cstheme="minorHAnsi"/>
        </w:rPr>
      </w:pPr>
      <w:r w:rsidRPr="00CB791A">
        <w:rPr>
          <w:rFonts w:cstheme="minorHAnsi"/>
        </w:rPr>
        <w:fldChar w:fldCharType="begin"/>
      </w:r>
      <w:r w:rsidRPr="00CB791A">
        <w:rPr>
          <w:rFonts w:cstheme="minorHAnsi"/>
        </w:rPr>
        <w:instrText xml:space="preserve"> SEQ level0 \*arabic \* MERGEFORMAT </w:instrText>
      </w:r>
      <w:r w:rsidRPr="00CB791A">
        <w:rPr>
          <w:rFonts w:cstheme="minorHAnsi"/>
        </w:rPr>
        <w:fldChar w:fldCharType="separate"/>
      </w:r>
      <w:r w:rsidRPr="00CB791A" w:rsidR="00CB791A">
        <w:rPr>
          <w:rFonts w:cstheme="minorHAnsi"/>
          <w:noProof/>
        </w:rPr>
        <w:t>93</w:t>
      </w:r>
      <w:r w:rsidRPr="00CB791A">
        <w:rPr>
          <w:rFonts w:cstheme="minorHAnsi"/>
        </w:rPr>
        <w:fldChar w:fldCharType="end"/>
      </w:r>
      <w:bookmarkEnd w:id="57"/>
      <w:r w:rsidRPr="00CB791A">
        <w:rPr>
          <w:rFonts w:cstheme="minorHAnsi"/>
        </w:rPr>
        <w:t>.  Il s</w:t>
      </w:r>
      <w:r w:rsidRPr="00CB791A" w:rsidR="00CB791A">
        <w:rPr>
          <w:rFonts w:cstheme="minorHAnsi"/>
        </w:rPr>
        <w:t>’</w:t>
      </w:r>
      <w:r w:rsidRPr="00CB791A">
        <w:rPr>
          <w:rFonts w:cstheme="minorHAnsi"/>
        </w:rPr>
        <w:t>ensuit qu</w:t>
      </w:r>
      <w:r w:rsidRPr="00CB791A" w:rsidR="00CB791A">
        <w:rPr>
          <w:rFonts w:cstheme="minorHAnsi"/>
        </w:rPr>
        <w:t>’</w:t>
      </w:r>
      <w:r w:rsidRPr="00CB791A">
        <w:rPr>
          <w:rFonts w:cstheme="minorHAnsi"/>
        </w:rPr>
        <w:t>il n</w:t>
      </w:r>
      <w:r w:rsidRPr="00CB791A" w:rsidR="00CB791A">
        <w:rPr>
          <w:rFonts w:cstheme="minorHAnsi"/>
        </w:rPr>
        <w:t>’</w:t>
      </w:r>
      <w:r w:rsidRPr="00CB791A">
        <w:rPr>
          <w:rFonts w:cstheme="minorHAnsi"/>
        </w:rPr>
        <w:t>est pas nécessaire d</w:t>
      </w:r>
      <w:r w:rsidRPr="00CB791A" w:rsidR="00CB791A">
        <w:rPr>
          <w:rFonts w:cstheme="minorHAnsi"/>
        </w:rPr>
        <w:t>’</w:t>
      </w:r>
      <w:r w:rsidRPr="00CB791A">
        <w:rPr>
          <w:rFonts w:cstheme="minorHAnsi"/>
        </w:rPr>
        <w:t>examiner le grief dirigé contre le refus de réouverture de la procédure initiale.</w:t>
      </w:r>
    </w:p>
    <w:bookmarkEnd w:id="45"/>
    <w:p w:rsidRPr="00CB791A" w:rsidR="00B34B1B" w:rsidP="00CB791A" w:rsidRDefault="00B34B1B" w14:paraId="104FAF76" w14:textId="7DAF2DDA">
      <w:pPr>
        <w:pStyle w:val="JuHIRoman"/>
        <w:rPr>
          <w:rFonts w:cstheme="minorHAnsi"/>
        </w:rPr>
      </w:pPr>
      <w:r w:rsidRPr="00CB791A">
        <w:rPr>
          <w:rFonts w:cstheme="minorHAnsi"/>
          <w:caps w:val="0"/>
        </w:rPr>
        <w:t>SUR L</w:t>
      </w:r>
      <w:r w:rsidRPr="00CB791A" w:rsidR="00CB791A">
        <w:rPr>
          <w:rFonts w:cstheme="minorHAnsi"/>
          <w:caps w:val="0"/>
        </w:rPr>
        <w:t>’</w:t>
      </w:r>
      <w:r w:rsidRPr="00CB791A">
        <w:rPr>
          <w:rFonts w:cstheme="minorHAnsi"/>
          <w:caps w:val="0"/>
        </w:rPr>
        <w:t>APPLICATION DES ARTICLES 46 ET 41 DE LA CONVENTION</w:t>
      </w:r>
    </w:p>
    <w:p w:rsidRPr="00CB791A" w:rsidR="00B34B1B" w:rsidP="00CB791A" w:rsidRDefault="00E068C6" w14:paraId="5C0AEBE7" w14:textId="5928DF98">
      <w:pPr>
        <w:pStyle w:val="JuPara"/>
        <w:rPr>
          <w:sz w:val="17"/>
          <w:szCs w:val="17"/>
        </w:rPr>
      </w:pPr>
      <w:fldSimple w:instr=" SEQ level0 \*arabic \* MERGEFORMAT ">
        <w:r w:rsidRPr="00CB791A" w:rsidR="00CB791A">
          <w:rPr>
            <w:noProof/>
          </w:rPr>
          <w:t>94</w:t>
        </w:r>
      </w:fldSimple>
      <w:r w:rsidRPr="00CB791A" w:rsidR="00B34B1B">
        <w:t>.  L</w:t>
      </w:r>
      <w:r w:rsidRPr="00CB791A" w:rsidR="00CB791A">
        <w:t>’</w:t>
      </w:r>
      <w:r w:rsidRPr="00CB791A" w:rsidR="00B34B1B">
        <w:t>article 46 de la Convention est ainsi libellé :</w:t>
      </w:r>
    </w:p>
    <w:p w:rsidRPr="00CB791A" w:rsidR="00B34B1B" w:rsidP="00CB791A" w:rsidRDefault="00B34B1B" w14:paraId="2A08D2F0" w14:textId="520AA951">
      <w:pPr>
        <w:pStyle w:val="JuQuot"/>
        <w:rPr>
          <w:sz w:val="17"/>
          <w:szCs w:val="17"/>
        </w:rPr>
      </w:pPr>
      <w:r w:rsidRPr="00CB791A">
        <w:t>« 1.  Les Hautes Parties contractantes s</w:t>
      </w:r>
      <w:r w:rsidRPr="00CB791A" w:rsidR="00CB791A">
        <w:t>’</w:t>
      </w:r>
      <w:r w:rsidRPr="00CB791A">
        <w:t>engagent à se conformer aux arrêts définitifs de la Cour dans les litiges auxquels elles sont parties.</w:t>
      </w:r>
    </w:p>
    <w:p w:rsidRPr="00CB791A" w:rsidR="00B34B1B" w:rsidP="00CB791A" w:rsidRDefault="00B34B1B" w14:paraId="2F9108BF" w14:textId="01E3EBA7">
      <w:pPr>
        <w:pStyle w:val="JuQuot"/>
      </w:pPr>
      <w:r w:rsidRPr="00CB791A">
        <w:t>2.  L</w:t>
      </w:r>
      <w:r w:rsidRPr="00CB791A" w:rsidR="00CB791A">
        <w:t>’</w:t>
      </w:r>
      <w:r w:rsidRPr="00CB791A">
        <w:t>arrêt définitif de la Cour est transmis au Comité des Ministres qui en surveille l</w:t>
      </w:r>
      <w:r w:rsidRPr="00CB791A" w:rsidR="00CB791A">
        <w:t>’</w:t>
      </w:r>
      <w:r w:rsidRPr="00CB791A">
        <w:t>exécution.</w:t>
      </w:r>
    </w:p>
    <w:p w:rsidRPr="00CB791A" w:rsidR="00B34B1B" w:rsidP="00CB791A" w:rsidRDefault="00B34B1B" w14:paraId="6A094CC5" w14:textId="77777777">
      <w:pPr>
        <w:pStyle w:val="JuQuot"/>
        <w:rPr>
          <w:sz w:val="17"/>
          <w:szCs w:val="17"/>
        </w:rPr>
      </w:pPr>
      <w:r w:rsidRPr="00CB791A">
        <w:t>(....) »</w:t>
      </w:r>
    </w:p>
    <w:p w:rsidRPr="00CB791A" w:rsidR="00B34B1B" w:rsidP="00CB791A" w:rsidRDefault="00B34B1B" w14:paraId="01D3030D" w14:textId="2462CE50">
      <w:pPr>
        <w:pStyle w:val="JuPara"/>
      </w:pPr>
      <w:r w:rsidRPr="00CB791A">
        <w:fldChar w:fldCharType="begin"/>
      </w:r>
      <w:r w:rsidRPr="00CB791A">
        <w:instrText xml:space="preserve"> SEQ level0 \*arabic </w:instrText>
      </w:r>
      <w:r w:rsidRPr="00CB791A">
        <w:fldChar w:fldCharType="separate"/>
      </w:r>
      <w:r w:rsidRPr="00CB791A" w:rsidR="00CB791A">
        <w:rPr>
          <w:noProof/>
        </w:rPr>
        <w:t>95</w:t>
      </w:r>
      <w:r w:rsidRPr="00CB791A">
        <w:fldChar w:fldCharType="end"/>
      </w:r>
      <w:r w:rsidRPr="00CB791A">
        <w:t>.  </w:t>
      </w:r>
      <w:bookmarkStart w:name="_Hlk36128236" w:id="58"/>
      <w:r w:rsidRPr="00CB791A">
        <w:t>Aux termes de l</w:t>
      </w:r>
      <w:r w:rsidRPr="00CB791A" w:rsidR="00CB791A">
        <w:t>’</w:t>
      </w:r>
      <w:r w:rsidRPr="00CB791A">
        <w:t>article 41 de la Convention :</w:t>
      </w:r>
      <w:bookmarkEnd w:id="58"/>
    </w:p>
    <w:p w:rsidRPr="00CB791A" w:rsidR="00B34B1B" w:rsidP="00CB791A" w:rsidRDefault="00B34B1B" w14:paraId="1728C944" w14:textId="40EC2795">
      <w:pPr>
        <w:pStyle w:val="JuQuot"/>
        <w:rPr>
          <w:sz w:val="24"/>
        </w:rPr>
      </w:pPr>
      <w:bookmarkStart w:name="_Hlk36128242" w:id="59"/>
      <w:r w:rsidRPr="00CB791A">
        <w:t>« Si la Cour déclare qu</w:t>
      </w:r>
      <w:r w:rsidRPr="00CB791A" w:rsidR="00CB791A">
        <w:t>’</w:t>
      </w:r>
      <w:r w:rsidRPr="00CB791A">
        <w:t>il y a eu violation de la Convention ou de ses Protocoles, et si le droit interne de la Haute Partie contractante ne permet d</w:t>
      </w:r>
      <w:r w:rsidRPr="00CB791A" w:rsidR="00CB791A">
        <w:t>’</w:t>
      </w:r>
      <w:r w:rsidRPr="00CB791A">
        <w:t>effacer qu</w:t>
      </w:r>
      <w:r w:rsidRPr="00CB791A" w:rsidR="00CB791A">
        <w:t>’</w:t>
      </w:r>
      <w:r w:rsidRPr="00CB791A">
        <w:t>imparfaitement les conséquences de cette violation, la Cour accorde à la partie lésée, s</w:t>
      </w:r>
      <w:r w:rsidRPr="00CB791A" w:rsidR="00CB791A">
        <w:t>’</w:t>
      </w:r>
      <w:r w:rsidRPr="00CB791A">
        <w:t>il y a lieu, une satisfaction équitable. »</w:t>
      </w:r>
      <w:bookmarkEnd w:id="59"/>
    </w:p>
    <w:p w:rsidRPr="00CB791A" w:rsidR="00B34B1B" w:rsidP="00CB791A" w:rsidRDefault="00B34B1B" w14:paraId="12BDEA62" w14:textId="28083240">
      <w:pPr>
        <w:pStyle w:val="JuHA"/>
      </w:pPr>
      <w:r w:rsidRPr="00CB791A">
        <w:t>Réouverture de la procédure pénale interne</w:t>
      </w:r>
    </w:p>
    <w:p w:rsidRPr="00CB791A" w:rsidR="00B34B1B" w:rsidP="00CB791A" w:rsidRDefault="00B34B1B" w14:paraId="1AD57052" w14:textId="17AA0A23">
      <w:pPr>
        <w:pStyle w:val="JuPara"/>
      </w:pPr>
      <w:r w:rsidRPr="00CB791A">
        <w:fldChar w:fldCharType="begin"/>
      </w:r>
      <w:r w:rsidRPr="00CB791A">
        <w:instrText xml:space="preserve"> SEQ level0 \*arabic </w:instrText>
      </w:r>
      <w:r w:rsidRPr="00CB791A">
        <w:fldChar w:fldCharType="separate"/>
      </w:r>
      <w:r w:rsidRPr="00CB791A" w:rsidR="00CB791A">
        <w:rPr>
          <w:noProof/>
        </w:rPr>
        <w:t>96</w:t>
      </w:r>
      <w:r w:rsidRPr="00CB791A">
        <w:fldChar w:fldCharType="end"/>
      </w:r>
      <w:r w:rsidRPr="00CB791A">
        <w:t>.  En ce qui concerne la procédure initiale les requérants considèrent que le moyen le plus adéquat de procéder à la réparation de la violation de l</w:t>
      </w:r>
      <w:r w:rsidRPr="00CB791A" w:rsidR="00CB791A">
        <w:t>’</w:t>
      </w:r>
      <w:r w:rsidRPr="00CB791A">
        <w:t>article</w:t>
      </w:r>
      <w:r w:rsidRPr="00CB791A" w:rsidR="003461CA">
        <w:t> </w:t>
      </w:r>
      <w:r w:rsidRPr="00CB791A">
        <w:t>6 §</w:t>
      </w:r>
      <w:r w:rsidRPr="00CB791A" w:rsidR="003461CA">
        <w:t> </w:t>
      </w:r>
      <w:r w:rsidRPr="00CB791A">
        <w:t>1 serait qu</w:t>
      </w:r>
      <w:r w:rsidRPr="00CB791A" w:rsidR="00CB791A">
        <w:t>’</w:t>
      </w:r>
      <w:r w:rsidRPr="00CB791A">
        <w:t>un examen au fond de leurs pourvois initiaux puisse avoir lieu par le biais de la procédure de réouverture organisée par les articles 442</w:t>
      </w:r>
      <w:r w:rsidRPr="00CB791A">
        <w:rPr>
          <w:i/>
        </w:rPr>
        <w:t>bis</w:t>
      </w:r>
      <w:r w:rsidRPr="00CB791A">
        <w:t xml:space="preserve"> et suivants du CIC.</w:t>
      </w:r>
    </w:p>
    <w:p w:rsidRPr="00CB791A" w:rsidR="00B34B1B" w:rsidP="00CB791A" w:rsidRDefault="00B34B1B" w14:paraId="0942AE8B" w14:textId="6471F903">
      <w:pPr>
        <w:pStyle w:val="JuPara"/>
      </w:pPr>
      <w:r w:rsidRPr="00CB791A">
        <w:fldChar w:fldCharType="begin"/>
      </w:r>
      <w:r w:rsidRPr="00CB791A">
        <w:instrText xml:space="preserve"> SEQ level0 \*arabic </w:instrText>
      </w:r>
      <w:r w:rsidRPr="00CB791A">
        <w:fldChar w:fldCharType="separate"/>
      </w:r>
      <w:r w:rsidRPr="00CB791A" w:rsidR="00CB791A">
        <w:rPr>
          <w:noProof/>
        </w:rPr>
        <w:t>97</w:t>
      </w:r>
      <w:r w:rsidRPr="00CB791A">
        <w:fldChar w:fldCharType="end"/>
      </w:r>
      <w:r w:rsidRPr="00CB791A">
        <w:t>.  Le Gouvernement en convient.</w:t>
      </w:r>
    </w:p>
    <w:p w:rsidRPr="00CB791A" w:rsidR="00B34B1B" w:rsidP="00CB791A" w:rsidRDefault="00B34B1B" w14:paraId="5E2EB92D" w14:textId="10F5D009">
      <w:pPr>
        <w:pStyle w:val="JuPara"/>
        <w:rPr>
          <w:rFonts w:cstheme="minorHAnsi"/>
          <w:color w:val="000000"/>
        </w:rPr>
      </w:pPr>
      <w:r w:rsidRPr="00CB791A">
        <w:fldChar w:fldCharType="begin"/>
      </w:r>
      <w:r w:rsidRPr="00CB791A">
        <w:instrText xml:space="preserve"> SEQ level0 \*arabic </w:instrText>
      </w:r>
      <w:r w:rsidRPr="00CB791A">
        <w:fldChar w:fldCharType="separate"/>
      </w:r>
      <w:r w:rsidRPr="00CB791A" w:rsidR="00CB791A">
        <w:rPr>
          <w:noProof/>
        </w:rPr>
        <w:t>98</w:t>
      </w:r>
      <w:r w:rsidRPr="00CB791A">
        <w:fldChar w:fldCharType="end"/>
      </w:r>
      <w:r w:rsidRPr="00CB791A">
        <w:rPr>
          <w:rFonts w:cstheme="minorHAnsi"/>
        </w:rPr>
        <w:t xml:space="preserve">.  La Cour rappelle que </w:t>
      </w:r>
      <w:r w:rsidRPr="00CB791A">
        <w:rPr>
          <w:rFonts w:cstheme="minorHAnsi"/>
          <w:color w:val="000000"/>
        </w:rPr>
        <w:t>lorsqu</w:t>
      </w:r>
      <w:r w:rsidRPr="00CB791A" w:rsidR="00CB791A">
        <w:rPr>
          <w:rFonts w:cstheme="minorHAnsi"/>
          <w:color w:val="000000"/>
        </w:rPr>
        <w:t>’</w:t>
      </w:r>
      <w:r w:rsidRPr="00CB791A">
        <w:rPr>
          <w:rFonts w:cstheme="minorHAnsi"/>
          <w:color w:val="000000"/>
        </w:rPr>
        <w:t>un particulier a été condamné à l</w:t>
      </w:r>
      <w:r w:rsidRPr="00CB791A" w:rsidR="00CB791A">
        <w:rPr>
          <w:rFonts w:cstheme="minorHAnsi"/>
          <w:color w:val="000000"/>
        </w:rPr>
        <w:t>’</w:t>
      </w:r>
      <w:r w:rsidRPr="00CB791A">
        <w:rPr>
          <w:rFonts w:cstheme="minorHAnsi"/>
          <w:color w:val="000000"/>
        </w:rPr>
        <w:t>issue d</w:t>
      </w:r>
      <w:r w:rsidRPr="00CB791A" w:rsidR="00CB791A">
        <w:rPr>
          <w:rFonts w:cstheme="minorHAnsi"/>
          <w:color w:val="000000"/>
        </w:rPr>
        <w:t>’</w:t>
      </w:r>
      <w:r w:rsidRPr="00CB791A">
        <w:rPr>
          <w:rFonts w:cstheme="minorHAnsi"/>
          <w:color w:val="000000"/>
        </w:rPr>
        <w:t>une procédure entachée de manquements aux exigences de l</w:t>
      </w:r>
      <w:r w:rsidRPr="00CB791A" w:rsidR="00CB791A">
        <w:rPr>
          <w:rFonts w:cstheme="minorHAnsi"/>
          <w:color w:val="000000"/>
        </w:rPr>
        <w:t>’</w:t>
      </w:r>
      <w:r w:rsidRPr="00CB791A">
        <w:rPr>
          <w:rFonts w:cstheme="minorHAnsi"/>
          <w:color w:val="000000"/>
        </w:rPr>
        <w:t>article</w:t>
      </w:r>
      <w:r w:rsidRPr="00CB791A" w:rsidR="003461CA">
        <w:rPr>
          <w:rFonts w:cstheme="minorHAnsi"/>
          <w:color w:val="000000"/>
        </w:rPr>
        <w:t> </w:t>
      </w:r>
      <w:r w:rsidRPr="00CB791A">
        <w:rPr>
          <w:rFonts w:cstheme="minorHAnsi"/>
          <w:color w:val="000000"/>
        </w:rPr>
        <w:t>6 de la Convention, un nouveau procès ou une réouverture de la procédure à la demande de l</w:t>
      </w:r>
      <w:r w:rsidRPr="00CB791A" w:rsidR="00CB791A">
        <w:rPr>
          <w:rFonts w:cstheme="minorHAnsi"/>
          <w:color w:val="000000"/>
        </w:rPr>
        <w:t>’</w:t>
      </w:r>
      <w:r w:rsidRPr="00CB791A">
        <w:rPr>
          <w:rFonts w:cstheme="minorHAnsi"/>
          <w:color w:val="000000"/>
        </w:rPr>
        <w:t>intéressé représente en principe un moyen approprié de redresser la violation constatée (</w:t>
      </w:r>
      <w:r w:rsidRPr="00CB791A">
        <w:t>paragraphe</w:t>
      </w:r>
      <w:r w:rsidRPr="00CB791A" w:rsidR="003461CA">
        <w:t> </w:t>
      </w:r>
      <w:r w:rsidRPr="00CB791A">
        <w:fldChar w:fldCharType="begin"/>
      </w:r>
      <w:r w:rsidRPr="00CB791A">
        <w:instrText xml:space="preserve"> REF Q \h  \* MERGEFORMAT </w:instrText>
      </w:r>
      <w:r w:rsidRPr="00CB791A">
        <w:fldChar w:fldCharType="separate"/>
      </w:r>
      <w:r w:rsidRPr="00CB791A" w:rsidR="00CB791A">
        <w:rPr>
          <w:rFonts w:cstheme="minorHAnsi"/>
          <w:lang w:eastAsia="en-GB"/>
        </w:rPr>
        <w:t>63</w:t>
      </w:r>
      <w:r w:rsidRPr="00CB791A">
        <w:fldChar w:fldCharType="end"/>
      </w:r>
      <w:r w:rsidRPr="00CB791A">
        <w:t xml:space="preserve"> ci-dessus). </w:t>
      </w:r>
      <w:r w:rsidRPr="00CB791A">
        <w:rPr>
          <w:rFonts w:cstheme="minorHAnsi"/>
        </w:rPr>
        <w:t xml:space="preserve">Elle constate, pour autant encore que de besoin, que </w:t>
      </w:r>
      <w:r w:rsidRPr="00CB791A">
        <w:rPr>
          <w:rFonts w:cstheme="minorHAnsi"/>
          <w:color w:val="000000"/>
        </w:rPr>
        <w:t>l</w:t>
      </w:r>
      <w:r w:rsidRPr="00CB791A" w:rsidR="00CB791A">
        <w:rPr>
          <w:rFonts w:cstheme="minorHAnsi"/>
          <w:color w:val="000000"/>
        </w:rPr>
        <w:t>’</w:t>
      </w:r>
      <w:r w:rsidRPr="00CB791A">
        <w:rPr>
          <w:rFonts w:cstheme="minorHAnsi"/>
          <w:color w:val="000000"/>
        </w:rPr>
        <w:t>article 442</w:t>
      </w:r>
      <w:r w:rsidRPr="00CB791A">
        <w:rPr>
          <w:rFonts w:cstheme="minorHAnsi"/>
          <w:i/>
          <w:iCs/>
          <w:color w:val="000000"/>
        </w:rPr>
        <w:t>bis</w:t>
      </w:r>
      <w:r w:rsidRPr="00CB791A">
        <w:rPr>
          <w:rFonts w:cstheme="minorHAnsi"/>
          <w:color w:val="000000"/>
        </w:rPr>
        <w:t> du CIC ouvre la possibilité d</w:t>
      </w:r>
      <w:r w:rsidRPr="00CB791A" w:rsidR="00CB791A">
        <w:rPr>
          <w:rFonts w:cstheme="minorHAnsi"/>
          <w:color w:val="000000"/>
        </w:rPr>
        <w:t>’</w:t>
      </w:r>
      <w:r w:rsidRPr="00CB791A">
        <w:rPr>
          <w:rFonts w:cstheme="minorHAnsi"/>
          <w:color w:val="000000"/>
        </w:rPr>
        <w:t>une réouverture de la procédure menée contre un condamné, en ce qui concerne la seule action publique, s</w:t>
      </w:r>
      <w:r w:rsidRPr="00CB791A" w:rsidR="00CB791A">
        <w:rPr>
          <w:rFonts w:cstheme="minorHAnsi"/>
          <w:color w:val="000000"/>
        </w:rPr>
        <w:t>’</w:t>
      </w:r>
      <w:r w:rsidRPr="00CB791A">
        <w:rPr>
          <w:rFonts w:cstheme="minorHAnsi"/>
          <w:color w:val="000000"/>
        </w:rPr>
        <w:t>il a été établi par un arrêt définitif de la Cour que la Convention a été violée (paragraphe</w:t>
      </w:r>
      <w:r w:rsidRPr="00CB791A" w:rsidR="003461CA">
        <w:rPr>
          <w:rFonts w:cstheme="minorHAnsi"/>
          <w:color w:val="000000"/>
        </w:rPr>
        <w:t> </w:t>
      </w:r>
      <w:r w:rsidRPr="00CB791A">
        <w:rPr>
          <w:rFonts w:cstheme="minorHAnsi"/>
          <w:color w:val="000000"/>
        </w:rPr>
        <w:fldChar w:fldCharType="begin"/>
      </w:r>
      <w:r w:rsidRPr="00CB791A">
        <w:rPr>
          <w:rFonts w:cstheme="minorHAnsi"/>
          <w:color w:val="000000"/>
        </w:rPr>
        <w:instrText xml:space="preserve"> REF P \h  \* MERGEFORMAT </w:instrText>
      </w:r>
      <w:r w:rsidRPr="00CB791A">
        <w:rPr>
          <w:rFonts w:cstheme="minorHAnsi"/>
          <w:color w:val="000000"/>
        </w:rPr>
      </w:r>
      <w:r w:rsidRPr="00CB791A">
        <w:rPr>
          <w:rFonts w:cstheme="minorHAnsi"/>
          <w:color w:val="000000"/>
        </w:rPr>
        <w:fldChar w:fldCharType="separate"/>
      </w:r>
      <w:r w:rsidRPr="00CB791A" w:rsidR="00CB791A">
        <w:rPr>
          <w:rFonts w:eastAsiaTheme="minorEastAsia"/>
        </w:rPr>
        <w:t>37</w:t>
      </w:r>
      <w:r w:rsidRPr="00CB791A">
        <w:rPr>
          <w:rFonts w:cstheme="minorHAnsi"/>
          <w:color w:val="000000"/>
        </w:rPr>
        <w:fldChar w:fldCharType="end"/>
      </w:r>
      <w:r w:rsidRPr="00CB791A">
        <w:rPr>
          <w:rFonts w:cstheme="minorHAnsi"/>
          <w:color w:val="000000"/>
        </w:rPr>
        <w:t xml:space="preserve"> ci</w:t>
      </w:r>
      <w:r w:rsidRPr="00CB791A">
        <w:rPr>
          <w:rFonts w:cstheme="minorHAnsi"/>
          <w:color w:val="000000"/>
        </w:rPr>
        <w:noBreakHyphen/>
        <w:t>dessus).</w:t>
      </w:r>
    </w:p>
    <w:p w:rsidRPr="00CB791A" w:rsidR="00B34B1B" w:rsidP="00CB791A" w:rsidRDefault="00B34B1B" w14:paraId="4182D368" w14:textId="00B8DBC5">
      <w:pPr>
        <w:pStyle w:val="JuPara"/>
      </w:pPr>
      <w:r w:rsidRPr="00CB791A">
        <w:fldChar w:fldCharType="begin"/>
      </w:r>
      <w:r w:rsidRPr="00CB791A">
        <w:instrText xml:space="preserve"> SEQ level0 \*arabic </w:instrText>
      </w:r>
      <w:r w:rsidRPr="00CB791A">
        <w:fldChar w:fldCharType="separate"/>
      </w:r>
      <w:r w:rsidRPr="00CB791A" w:rsidR="00CB791A">
        <w:rPr>
          <w:noProof/>
        </w:rPr>
        <w:t>99</w:t>
      </w:r>
      <w:r w:rsidRPr="00CB791A">
        <w:fldChar w:fldCharType="end"/>
      </w:r>
      <w:r w:rsidRPr="00CB791A">
        <w:rPr>
          <w:rFonts w:cstheme="minorHAnsi"/>
        </w:rPr>
        <w:t>.  </w:t>
      </w:r>
      <w:r w:rsidRPr="00CB791A">
        <w:rPr>
          <w:rFonts w:cstheme="minorHAnsi"/>
          <w:color w:val="000000"/>
        </w:rPr>
        <w:t>La mise en œuvre de cette possibilité en l</w:t>
      </w:r>
      <w:r w:rsidRPr="00CB791A" w:rsidR="00CB791A">
        <w:rPr>
          <w:rFonts w:cstheme="minorHAnsi"/>
          <w:color w:val="000000"/>
        </w:rPr>
        <w:t>’</w:t>
      </w:r>
      <w:r w:rsidRPr="00CB791A">
        <w:rPr>
          <w:rFonts w:cstheme="minorHAnsi"/>
          <w:color w:val="000000"/>
        </w:rPr>
        <w:t>espèce sera examinée, le cas échéant, par la Cour de cassation au regard du droit national et des circonstances particulières de la présente affaire (</w:t>
      </w:r>
      <w:r w:rsidRPr="00CB791A">
        <w:rPr>
          <w:i/>
        </w:rPr>
        <w:t>Beuze c. Belgique</w:t>
      </w:r>
      <w:r w:rsidRPr="00CB791A">
        <w:t xml:space="preserve"> [GC], n</w:t>
      </w:r>
      <w:r w:rsidRPr="00CB791A">
        <w:rPr>
          <w:vertAlign w:val="superscript"/>
        </w:rPr>
        <w:t>o </w:t>
      </w:r>
      <w:r w:rsidRPr="00CB791A">
        <w:t>71409/10, § 200, 9 novembre 2018).</w:t>
      </w:r>
    </w:p>
    <w:p w:rsidRPr="00CB791A" w:rsidR="00B34B1B" w:rsidP="00CB791A" w:rsidRDefault="00B34B1B" w14:paraId="52F51160" w14:textId="0799ED55">
      <w:pPr>
        <w:pStyle w:val="JuHA"/>
      </w:pPr>
      <w:r w:rsidRPr="00CB791A">
        <w:t>Dommage et frais et dépens</w:t>
      </w:r>
    </w:p>
    <w:p w:rsidRPr="00CB791A" w:rsidR="00B34B1B" w:rsidP="00CB791A" w:rsidRDefault="00B34B1B" w14:paraId="1EA86C7D" w14:textId="2A43BF1C">
      <w:pPr>
        <w:pStyle w:val="JuPara"/>
      </w:pPr>
      <w:r w:rsidRPr="00CB791A">
        <w:fldChar w:fldCharType="begin"/>
      </w:r>
      <w:r w:rsidRPr="00CB791A">
        <w:instrText xml:space="preserve"> SEQ level0 \*arabic </w:instrText>
      </w:r>
      <w:r w:rsidRPr="00CB791A">
        <w:fldChar w:fldCharType="separate"/>
      </w:r>
      <w:r w:rsidRPr="00CB791A" w:rsidR="00CB791A">
        <w:rPr>
          <w:noProof/>
        </w:rPr>
        <w:t>100</w:t>
      </w:r>
      <w:r w:rsidRPr="00CB791A">
        <w:fldChar w:fldCharType="end"/>
      </w:r>
      <w:r w:rsidRPr="00CB791A">
        <w:t>.  Les requérants demandent en outre 10 000 euros (EUR) pour chacun d</w:t>
      </w:r>
      <w:r w:rsidRPr="00CB791A" w:rsidR="00CB791A">
        <w:t>’</w:t>
      </w:r>
      <w:r w:rsidRPr="00CB791A">
        <w:t>eux au titre du dommage « essentiellement matériel » qu</w:t>
      </w:r>
      <w:r w:rsidRPr="00CB791A" w:rsidR="00CB791A">
        <w:t>’</w:t>
      </w:r>
      <w:r w:rsidRPr="00CB791A">
        <w:t>ils estiment avoir subi et qui est lié à la nécessité pour eux de faire valoir leurs droits tant devant la Cour de cassation que devant la Cour.</w:t>
      </w:r>
    </w:p>
    <w:p w:rsidRPr="00CB791A" w:rsidR="00B34B1B" w:rsidP="00CB791A" w:rsidRDefault="00B34B1B" w14:paraId="3E56BE5E" w14:textId="45BB4629">
      <w:pPr>
        <w:pStyle w:val="JuPara"/>
      </w:pPr>
      <w:r w:rsidRPr="00CB791A">
        <w:fldChar w:fldCharType="begin"/>
      </w:r>
      <w:r w:rsidRPr="00CB791A">
        <w:instrText xml:space="preserve"> SEQ level0 \*arabic </w:instrText>
      </w:r>
      <w:r w:rsidRPr="00CB791A">
        <w:fldChar w:fldCharType="separate"/>
      </w:r>
      <w:r w:rsidRPr="00CB791A" w:rsidR="00CB791A">
        <w:rPr>
          <w:noProof/>
        </w:rPr>
        <w:t>101</w:t>
      </w:r>
      <w:r w:rsidRPr="00CB791A">
        <w:fldChar w:fldCharType="end"/>
      </w:r>
      <w:r w:rsidRPr="00CB791A">
        <w:t>.  Le Gouvernement fait valoir que les requérants sont en défaut d</w:t>
      </w:r>
      <w:r w:rsidRPr="00CB791A" w:rsidR="00CB791A">
        <w:t>’</w:t>
      </w:r>
      <w:r w:rsidRPr="00CB791A">
        <w:t>établir l</w:t>
      </w:r>
      <w:r w:rsidRPr="00CB791A" w:rsidR="00CB791A">
        <w:t>’</w:t>
      </w:r>
      <w:r w:rsidRPr="00CB791A">
        <w:t>existence du préjudice matériel et de le spécifier. À supposer que la somme demandée est destinée à couvrir les frais et dépens, il fait observer que la réalité des frais doit être établie au moyen de justificatifs, ce qui exclut l</w:t>
      </w:r>
      <w:r w:rsidRPr="00CB791A" w:rsidR="00CB791A">
        <w:t>’</w:t>
      </w:r>
      <w:r w:rsidRPr="00CB791A">
        <w:t>allocation d</w:t>
      </w:r>
      <w:r w:rsidRPr="00CB791A" w:rsidR="00CB791A">
        <w:t>’</w:t>
      </w:r>
      <w:r w:rsidRPr="00CB791A">
        <w:t>une somme forfaitaire. En tout cas, la somme demandée est manifestement excessive, étant donné qu</w:t>
      </w:r>
      <w:r w:rsidRPr="00CB791A" w:rsidR="00CB791A">
        <w:t>’</w:t>
      </w:r>
      <w:r w:rsidRPr="00CB791A">
        <w:t>elle ne saurait concerner en interne que la procédure devant la Cour de cassation, et que la défense devant la Cour ne présentait pas de véritable complexité. De plus, une somme de 8 000 EUR a déjà été versée à chacune des parties requérantes en exécution de la décision de radiation du 13</w:t>
      </w:r>
      <w:r w:rsidRPr="00CB791A" w:rsidR="009A171A">
        <w:t> </w:t>
      </w:r>
      <w:r w:rsidRPr="00CB791A">
        <w:t>mars 2018 (</w:t>
      </w:r>
      <w:r w:rsidRPr="00CB791A">
        <w:rPr>
          <w:rFonts w:cstheme="minorHAnsi"/>
          <w:color w:val="000000"/>
        </w:rPr>
        <w:t>paragraphe</w:t>
      </w:r>
      <w:r w:rsidRPr="00CB791A" w:rsidR="009A171A">
        <w:rPr>
          <w:rFonts w:cstheme="minorHAnsi"/>
          <w:color w:val="000000"/>
        </w:rPr>
        <w:t> </w:t>
      </w:r>
      <w:r w:rsidRPr="00CB791A">
        <w:rPr>
          <w:rFonts w:cstheme="minorHAnsi"/>
          <w:color w:val="000000"/>
        </w:rPr>
        <w:fldChar w:fldCharType="begin"/>
      </w:r>
      <w:r w:rsidRPr="00CB791A">
        <w:rPr>
          <w:rFonts w:cstheme="minorHAnsi"/>
          <w:color w:val="000000"/>
        </w:rPr>
        <w:instrText xml:space="preserve"> REF R \h  \* MERGEFORMAT </w:instrText>
      </w:r>
      <w:r w:rsidRPr="00CB791A">
        <w:rPr>
          <w:rFonts w:cstheme="minorHAnsi"/>
          <w:color w:val="000000"/>
        </w:rPr>
      </w:r>
      <w:r w:rsidRPr="00CB791A">
        <w:rPr>
          <w:rFonts w:cstheme="minorHAnsi"/>
          <w:color w:val="000000"/>
        </w:rPr>
        <w:fldChar w:fldCharType="separate"/>
      </w:r>
      <w:r w:rsidRPr="00CB791A" w:rsidR="00CB791A">
        <w:t>23</w:t>
      </w:r>
      <w:r w:rsidRPr="00CB791A">
        <w:rPr>
          <w:rFonts w:cstheme="minorHAnsi"/>
          <w:color w:val="000000"/>
        </w:rPr>
        <w:fldChar w:fldCharType="end"/>
      </w:r>
      <w:r w:rsidRPr="00CB791A">
        <w:rPr>
          <w:rFonts w:cstheme="minorHAnsi"/>
          <w:color w:val="000000"/>
        </w:rPr>
        <w:t xml:space="preserve"> ci-dessus</w:t>
      </w:r>
      <w:r w:rsidRPr="00CB791A">
        <w:t>).</w:t>
      </w:r>
    </w:p>
    <w:p w:rsidRPr="00CB791A" w:rsidR="00B34B1B" w:rsidP="00CB791A" w:rsidRDefault="00B34B1B" w14:paraId="20D1F684" w14:textId="2B0D1DD4">
      <w:pPr>
        <w:pStyle w:val="JuPara"/>
      </w:pPr>
      <w:r w:rsidRPr="00CB791A">
        <w:fldChar w:fldCharType="begin"/>
      </w:r>
      <w:r w:rsidRPr="00CB791A">
        <w:instrText xml:space="preserve"> SEQ level0 \*arabic </w:instrText>
      </w:r>
      <w:r w:rsidRPr="00CB791A">
        <w:fldChar w:fldCharType="separate"/>
      </w:r>
      <w:r w:rsidRPr="00CB791A" w:rsidR="00CB791A">
        <w:rPr>
          <w:noProof/>
        </w:rPr>
        <w:t>102</w:t>
      </w:r>
      <w:r w:rsidRPr="00CB791A">
        <w:fldChar w:fldCharType="end"/>
      </w:r>
      <w:r w:rsidRPr="00CB791A">
        <w:t>.  À supposer que la demande des requérants comprenne une partie relative à un dommage matériel à distinguer des frais et dépens, elle ne comprend aucun détail quant à la nature et à l</w:t>
      </w:r>
      <w:r w:rsidRPr="00CB791A" w:rsidR="00CB791A">
        <w:t>’</w:t>
      </w:r>
      <w:r w:rsidRPr="00CB791A">
        <w:t>étendue d</w:t>
      </w:r>
      <w:r w:rsidRPr="00CB791A" w:rsidR="00CB791A">
        <w:t>’</w:t>
      </w:r>
      <w:r w:rsidRPr="00CB791A">
        <w:t>un tel dommage. La Cour rejette donc la demande formulée à ce titre.</w:t>
      </w:r>
    </w:p>
    <w:p w:rsidRPr="00CB791A" w:rsidR="00B34B1B" w:rsidP="00CB791A" w:rsidRDefault="00B34B1B" w14:paraId="31EADBAE" w14:textId="32C3F711">
      <w:pPr>
        <w:pStyle w:val="JuPara"/>
        <w:rPr>
          <w:rFonts w:cstheme="minorHAnsi"/>
          <w:color w:val="000000"/>
        </w:rPr>
      </w:pPr>
      <w:r w:rsidRPr="00CB791A">
        <w:fldChar w:fldCharType="begin"/>
      </w:r>
      <w:r w:rsidRPr="00CB791A">
        <w:instrText xml:space="preserve"> SEQ level0 \*arabic </w:instrText>
      </w:r>
      <w:r w:rsidRPr="00CB791A">
        <w:fldChar w:fldCharType="separate"/>
      </w:r>
      <w:r w:rsidRPr="00CB791A" w:rsidR="00CB791A">
        <w:rPr>
          <w:noProof/>
        </w:rPr>
        <w:t>103</w:t>
      </w:r>
      <w:r w:rsidRPr="00CB791A">
        <w:fldChar w:fldCharType="end"/>
      </w:r>
      <w:r w:rsidRPr="00CB791A">
        <w:t>.  </w:t>
      </w:r>
      <w:r w:rsidRPr="00CB791A">
        <w:rPr>
          <w:rFonts w:cstheme="minorHAnsi"/>
        </w:rPr>
        <w:t xml:space="preserve">La Cour constate que les requérants ne demandent pas de réparation pour dommage moral. </w:t>
      </w:r>
      <w:r w:rsidRPr="00CB791A">
        <w:rPr>
          <w:rFonts w:cstheme="minorHAnsi"/>
          <w:color w:val="000000"/>
        </w:rPr>
        <w:t>Partant, elle estime qu</w:t>
      </w:r>
      <w:r w:rsidRPr="00CB791A" w:rsidR="00CB791A">
        <w:rPr>
          <w:rFonts w:cstheme="minorHAnsi"/>
          <w:color w:val="000000"/>
        </w:rPr>
        <w:t>’</w:t>
      </w:r>
      <w:r w:rsidRPr="00CB791A">
        <w:rPr>
          <w:rFonts w:cstheme="minorHAnsi"/>
          <w:color w:val="000000"/>
        </w:rPr>
        <w:t>il n</w:t>
      </w:r>
      <w:r w:rsidRPr="00CB791A" w:rsidR="00CB791A">
        <w:rPr>
          <w:rFonts w:cstheme="minorHAnsi"/>
          <w:color w:val="000000"/>
        </w:rPr>
        <w:t>’</w:t>
      </w:r>
      <w:r w:rsidRPr="00CB791A">
        <w:rPr>
          <w:rFonts w:cstheme="minorHAnsi"/>
          <w:color w:val="000000"/>
        </w:rPr>
        <w:t>y a pas lieu de leur octroyer de somme à ce titre. Elle constate par ailleurs que les requérants ont chacun reçu une somme de 8 000 EUR en exécution de l</w:t>
      </w:r>
      <w:r w:rsidRPr="00CB791A" w:rsidR="00CB791A">
        <w:rPr>
          <w:rFonts w:cstheme="minorHAnsi"/>
          <w:color w:val="000000"/>
        </w:rPr>
        <w:t>’</w:t>
      </w:r>
      <w:r w:rsidRPr="00CB791A">
        <w:rPr>
          <w:rFonts w:cstheme="minorHAnsi"/>
          <w:color w:val="000000"/>
        </w:rPr>
        <w:t>engagement du Gouvernement dans sa déclaration unilatérale au sujet des requêtes initiales et que cette somme était destinée à couvrir le préjudice moral ainsi que les frais et dépens jusqu</w:t>
      </w:r>
      <w:r w:rsidRPr="00CB791A" w:rsidR="00CB791A">
        <w:rPr>
          <w:rFonts w:cstheme="minorHAnsi"/>
          <w:color w:val="000000"/>
        </w:rPr>
        <w:t>’</w:t>
      </w:r>
      <w:r w:rsidRPr="00CB791A">
        <w:rPr>
          <w:rFonts w:cstheme="minorHAnsi"/>
          <w:color w:val="000000"/>
        </w:rPr>
        <w:t xml:space="preserve">à ce stade de la procédure (paragraphe </w:t>
      </w:r>
      <w:r w:rsidRPr="00CB791A">
        <w:rPr>
          <w:rFonts w:cstheme="minorHAnsi"/>
          <w:color w:val="000000"/>
        </w:rPr>
        <w:fldChar w:fldCharType="begin"/>
      </w:r>
      <w:r w:rsidRPr="00CB791A">
        <w:rPr>
          <w:rFonts w:cstheme="minorHAnsi"/>
          <w:color w:val="000000"/>
        </w:rPr>
        <w:instrText xml:space="preserve"> REF FaitsDU1 \h  \* MERGEFORMAT </w:instrText>
      </w:r>
      <w:r w:rsidRPr="00CB791A">
        <w:rPr>
          <w:rFonts w:cstheme="minorHAnsi"/>
          <w:color w:val="000000"/>
        </w:rPr>
      </w:r>
      <w:r w:rsidRPr="00CB791A">
        <w:rPr>
          <w:rFonts w:cstheme="minorHAnsi"/>
          <w:color w:val="000000"/>
        </w:rPr>
        <w:fldChar w:fldCharType="separate"/>
      </w:r>
      <w:r w:rsidRPr="00CB791A" w:rsidR="00CB791A">
        <w:rPr>
          <w:color w:val="000000"/>
        </w:rPr>
        <w:t>15</w:t>
      </w:r>
      <w:r w:rsidRPr="00CB791A">
        <w:rPr>
          <w:rFonts w:cstheme="minorHAnsi"/>
          <w:color w:val="000000"/>
        </w:rPr>
        <w:fldChar w:fldCharType="end"/>
      </w:r>
      <w:r w:rsidRPr="00CB791A">
        <w:rPr>
          <w:rFonts w:cstheme="minorHAnsi"/>
          <w:color w:val="000000"/>
        </w:rPr>
        <w:t xml:space="preserve"> ci</w:t>
      </w:r>
      <w:r w:rsidRPr="00CB791A">
        <w:rPr>
          <w:rFonts w:cstheme="minorHAnsi"/>
          <w:color w:val="000000"/>
        </w:rPr>
        <w:noBreakHyphen/>
        <w:t>dessus).</w:t>
      </w:r>
    </w:p>
    <w:p w:rsidRPr="00CB791A" w:rsidR="00B34B1B" w:rsidP="00CB791A" w:rsidRDefault="00B34B1B" w14:paraId="19FA5EC1" w14:textId="0AF028E8">
      <w:pPr>
        <w:pStyle w:val="JuPara"/>
        <w:rPr>
          <w:rFonts w:cstheme="minorHAnsi"/>
        </w:rPr>
      </w:pPr>
      <w:r w:rsidRPr="00CB791A">
        <w:fldChar w:fldCharType="begin"/>
      </w:r>
      <w:r w:rsidRPr="00CB791A">
        <w:instrText xml:space="preserve"> SEQ level0 \*arabic </w:instrText>
      </w:r>
      <w:r w:rsidRPr="00CB791A">
        <w:fldChar w:fldCharType="separate"/>
      </w:r>
      <w:r w:rsidRPr="00CB791A" w:rsidR="00CB791A">
        <w:rPr>
          <w:noProof/>
        </w:rPr>
        <w:t>104</w:t>
      </w:r>
      <w:r w:rsidRPr="00CB791A">
        <w:fldChar w:fldCharType="end"/>
      </w:r>
      <w:r w:rsidRPr="00CB791A">
        <w:t xml:space="preserve">.  En ce qui concerne les frais et dépens, un requérant ne peut en obtenir le remboursement que dans la mesure où se trouvent établis leur réalité, leur nécessité et le caractère raisonnable de leur taux. En </w:t>
      </w:r>
      <w:r w:rsidRPr="00CB791A">
        <w:rPr>
          <w:rFonts w:cstheme="minorHAnsi"/>
        </w:rPr>
        <w:t>l</w:t>
      </w:r>
      <w:r w:rsidRPr="00CB791A" w:rsidR="00CB791A">
        <w:rPr>
          <w:rFonts w:cstheme="minorHAnsi"/>
        </w:rPr>
        <w:t>’</w:t>
      </w:r>
      <w:r w:rsidRPr="00CB791A">
        <w:rPr>
          <w:rFonts w:cstheme="minorHAnsi"/>
        </w:rPr>
        <w:t xml:space="preserve">espèce, </w:t>
      </w:r>
      <w:r w:rsidRPr="00CB791A">
        <w:rPr>
          <w:rFonts w:cstheme="minorHAnsi"/>
          <w:color w:val="000000"/>
        </w:rPr>
        <w:t>la Cour rejette la demande relative aux frais et dépens, faute pour les requérants de fournir des justificatifs à cet égard.</w:t>
      </w:r>
    </w:p>
    <w:p w:rsidRPr="00CB791A" w:rsidR="00B34B1B" w:rsidP="00CB791A" w:rsidRDefault="00B34B1B" w14:paraId="3511E2F6" w14:textId="410D1F76">
      <w:pPr>
        <w:pStyle w:val="JuHHead"/>
      </w:pPr>
      <w:r w:rsidRPr="00CB791A">
        <w:t xml:space="preserve">PAR CES MOTIFS, LA COUR, </w:t>
      </w:r>
      <w:r w:rsidRPr="00CB791A">
        <w:rPr>
          <w:caps w:val="0"/>
        </w:rPr>
        <w:t>À L</w:t>
      </w:r>
      <w:r w:rsidRPr="00CB791A" w:rsidR="00CB791A">
        <w:rPr>
          <w:caps w:val="0"/>
        </w:rPr>
        <w:t>’</w:t>
      </w:r>
      <w:r w:rsidRPr="00CB791A">
        <w:rPr>
          <w:caps w:val="0"/>
        </w:rPr>
        <w:t>UNANIMITÉ</w:t>
      </w:r>
      <w:r w:rsidRPr="00CB791A">
        <w:t>,</w:t>
      </w:r>
    </w:p>
    <w:p w:rsidRPr="00CB791A" w:rsidR="00B34B1B" w:rsidP="00CB791A" w:rsidRDefault="00B34B1B" w14:paraId="0A3CD0D6" w14:textId="77777777">
      <w:pPr>
        <w:pStyle w:val="JuList"/>
      </w:pPr>
      <w:r w:rsidRPr="00CB791A">
        <w:rPr>
          <w:i/>
          <w:iCs/>
        </w:rPr>
        <w:t>Décide</w:t>
      </w:r>
      <w:r w:rsidRPr="00CB791A">
        <w:t xml:space="preserve"> de joindre les requêtes ;</w:t>
      </w:r>
    </w:p>
    <w:p w:rsidRPr="00CB791A" w:rsidR="00B34B1B" w:rsidP="00CB791A" w:rsidRDefault="00B34B1B" w14:paraId="5A245092" w14:textId="77777777">
      <w:pPr>
        <w:pStyle w:val="JuList"/>
      </w:pPr>
      <w:r w:rsidRPr="00CB791A">
        <w:rPr>
          <w:i/>
          <w:iCs/>
        </w:rPr>
        <w:t>Déclare</w:t>
      </w:r>
      <w:r w:rsidRPr="00CB791A">
        <w:t xml:space="preserve"> le grief relatif à la procédure initiale recevable ;</w:t>
      </w:r>
    </w:p>
    <w:p w:rsidRPr="00CB791A" w:rsidR="00B34B1B" w:rsidP="00CB791A" w:rsidRDefault="00B34B1B" w14:paraId="3E33DF09" w14:textId="5AF71132">
      <w:pPr>
        <w:pStyle w:val="JuList"/>
      </w:pPr>
      <w:r w:rsidRPr="00CB791A">
        <w:rPr>
          <w:i/>
          <w:iCs/>
        </w:rPr>
        <w:t>Dit</w:t>
      </w:r>
      <w:r w:rsidRPr="00CB791A">
        <w:t xml:space="preserve"> qu</w:t>
      </w:r>
      <w:r w:rsidRPr="00CB791A" w:rsidR="00CB791A">
        <w:t>’</w:t>
      </w:r>
      <w:r w:rsidRPr="00CB791A">
        <w:t>il y a eu violation de l</w:t>
      </w:r>
      <w:r w:rsidRPr="00CB791A" w:rsidR="00CB791A">
        <w:t>’</w:t>
      </w:r>
      <w:r w:rsidRPr="00CB791A">
        <w:t>article 6 § 1 de la Convention en ce qui concerne la procédure initiale ;</w:t>
      </w:r>
    </w:p>
    <w:p w:rsidRPr="00CB791A" w:rsidR="00B34B1B" w:rsidP="00CB791A" w:rsidRDefault="00B34B1B" w14:paraId="61E5A0BA" w14:textId="6586A281">
      <w:pPr>
        <w:pStyle w:val="JuList"/>
      </w:pPr>
      <w:r w:rsidRPr="00CB791A">
        <w:rPr>
          <w:i/>
          <w:iCs/>
        </w:rPr>
        <w:t>Décide</w:t>
      </w:r>
      <w:r w:rsidRPr="00CB791A">
        <w:t xml:space="preserve"> qu</w:t>
      </w:r>
      <w:r w:rsidRPr="00CB791A" w:rsidR="00CB791A">
        <w:t>’</w:t>
      </w:r>
      <w:r w:rsidRPr="00CB791A">
        <w:t>il n</w:t>
      </w:r>
      <w:r w:rsidRPr="00CB791A" w:rsidR="00CB791A">
        <w:t>’</w:t>
      </w:r>
      <w:r w:rsidRPr="00CB791A">
        <w:t>est pas nécessaire d</w:t>
      </w:r>
      <w:r w:rsidRPr="00CB791A" w:rsidR="00CB791A">
        <w:t>’</w:t>
      </w:r>
      <w:r w:rsidRPr="00CB791A">
        <w:t>examiner la recevabilité ni le bien-fondé du grief relatif à la procédure en réouverture de la procédure initiale ;</w:t>
      </w:r>
    </w:p>
    <w:p w:rsidRPr="00CB791A" w:rsidR="00876F03" w:rsidP="00CB791A" w:rsidRDefault="00B34B1B" w14:paraId="0C233920" w14:textId="43B06A2A">
      <w:pPr>
        <w:pStyle w:val="JuList"/>
      </w:pPr>
      <w:r w:rsidRPr="00CB791A">
        <w:rPr>
          <w:i/>
          <w:iCs/>
        </w:rPr>
        <w:t xml:space="preserve">Rejette </w:t>
      </w:r>
      <w:r w:rsidRPr="00CB791A">
        <w:t>la demande de satisfaction équitable.</w:t>
      </w:r>
    </w:p>
    <w:p w:rsidRPr="00CB791A" w:rsidR="00893F30" w:rsidP="00CB791A" w:rsidRDefault="00893F30" w14:paraId="3E53408A" w14:textId="3809E6E8">
      <w:pPr>
        <w:pStyle w:val="JuParaLast"/>
      </w:pPr>
      <w:r w:rsidRPr="00CB791A">
        <w:t xml:space="preserve">Fait en français, puis communiqué par écrit le </w:t>
      </w:r>
      <w:r w:rsidRPr="00CB791A" w:rsidR="00B34B1B">
        <w:t>21 septembre 2021</w:t>
      </w:r>
      <w:r w:rsidRPr="00CB791A">
        <w:t>, en application de l</w:t>
      </w:r>
      <w:r w:rsidRPr="00CB791A" w:rsidR="00CB791A">
        <w:t>’</w:t>
      </w:r>
      <w:r w:rsidRPr="00CB791A">
        <w:t>article 77 §§ 2 et 3 du règlement.</w:t>
      </w:r>
    </w:p>
    <w:p w:rsidRPr="00CB791A" w:rsidR="00876F03" w:rsidP="00CB791A" w:rsidRDefault="00B34B1B" w14:paraId="15AE5124" w14:textId="4153E6BF">
      <w:pPr>
        <w:pStyle w:val="JuSigned"/>
      </w:pPr>
      <w:r w:rsidRPr="00CB791A">
        <w:tab/>
        <w:t xml:space="preserve">Milan </w:t>
      </w:r>
      <w:proofErr w:type="spellStart"/>
      <w:r w:rsidRPr="00CB791A">
        <w:t>Blaško</w:t>
      </w:r>
      <w:proofErr w:type="spellEnd"/>
      <w:r w:rsidRPr="00CB791A" w:rsidR="004344E6">
        <w:tab/>
      </w:r>
      <w:proofErr w:type="spellStart"/>
      <w:r w:rsidRPr="00CB791A">
        <w:t>Georgios</w:t>
      </w:r>
      <w:proofErr w:type="spellEnd"/>
      <w:r w:rsidRPr="00CB791A">
        <w:t xml:space="preserve"> A. </w:t>
      </w:r>
      <w:proofErr w:type="spellStart"/>
      <w:r w:rsidRPr="00CB791A">
        <w:t>Serghides</w:t>
      </w:r>
      <w:proofErr w:type="spellEnd"/>
      <w:r w:rsidRPr="00CB791A" w:rsidR="004344E6">
        <w:br/>
      </w:r>
      <w:r w:rsidRPr="00CB791A" w:rsidR="004344E6">
        <w:tab/>
      </w:r>
      <w:r w:rsidRPr="00CB791A">
        <w:t>Greffier</w:t>
      </w:r>
      <w:r w:rsidRPr="00CB791A" w:rsidR="004344E6">
        <w:tab/>
      </w:r>
      <w:r w:rsidRPr="00CB791A">
        <w:t>Président</w:t>
      </w:r>
    </w:p>
    <w:p w:rsidRPr="00CB791A" w:rsidR="00B34B1B" w:rsidP="00CB791A" w:rsidRDefault="00B34B1B" w14:paraId="684B44CA" w14:textId="324BF4FE">
      <w:pPr>
        <w:rPr>
          <w:color w:val="000000"/>
        </w:rPr>
      </w:pPr>
    </w:p>
    <w:p w:rsidRPr="00CB791A" w:rsidR="00B34B1B" w:rsidP="00CB791A" w:rsidRDefault="00B34B1B" w14:paraId="2A9AD612" w14:textId="77777777">
      <w:pPr>
        <w:rPr>
          <w:color w:val="000000"/>
        </w:rPr>
        <w:sectPr w:rsidRPr="00CB791A" w:rsidR="00B34B1B" w:rsidSect="00F912E4">
          <w:headerReference w:type="even" r:id="rId13"/>
          <w:headerReference w:type="default" r:id="rId14"/>
          <w:footerReference w:type="even" r:id="rId15"/>
          <w:footerReference w:type="default" r:id="rId16"/>
          <w:footnotePr>
            <w:numRestart w:val="eachSect"/>
          </w:footnotePr>
          <w:pgSz w:w="11906" w:h="16838" w:code="9"/>
          <w:pgMar w:top="2274" w:right="2274" w:bottom="2274" w:left="2274" w:header="1701" w:footer="720" w:gutter="0"/>
          <w:pgNumType w:start="1"/>
          <w:cols w:space="720"/>
          <w:noEndnote/>
          <w:docGrid w:linePitch="326"/>
        </w:sectPr>
      </w:pPr>
    </w:p>
    <w:p w:rsidRPr="00CB791A" w:rsidR="00B34B1B" w:rsidP="00CB791A" w:rsidRDefault="00B34B1B" w14:paraId="11133E78" w14:textId="4A0BE0B2">
      <w:pPr>
        <w:pStyle w:val="DecHTitle"/>
      </w:pPr>
      <w:r w:rsidRPr="00CB791A">
        <w:rPr>
          <w:caps/>
        </w:rPr>
        <w:t>A</w:t>
      </w:r>
      <w:r w:rsidRPr="00CB791A" w:rsidR="003461CA">
        <w:rPr>
          <w:caps/>
        </w:rPr>
        <w:t>NNEXE</w:t>
      </w:r>
    </w:p>
    <w:p w:rsidRPr="00CB791A" w:rsidR="00B34B1B" w:rsidP="00CB791A" w:rsidRDefault="00B34B1B" w14:paraId="205ACA0F" w14:textId="77777777">
      <w:pPr>
        <w:pStyle w:val="DecHCase"/>
        <w:keepNext w:val="0"/>
        <w:keepLines w:val="0"/>
        <w:jc w:val="left"/>
        <w:rPr>
          <w:sz w:val="20"/>
          <w:szCs w:val="20"/>
        </w:rPr>
      </w:pPr>
      <w:r w:rsidRPr="00CB791A">
        <w:t>Liste des affaires :</w:t>
      </w:r>
    </w:p>
    <w:tbl>
      <w:tblPr>
        <w:tblStyle w:val="ECHRListTable"/>
        <w:tblW w:w="0" w:type="auto"/>
        <w:tblLook w:val="0420" w:firstRow="1" w:lastRow="0" w:firstColumn="0" w:lastColumn="0" w:noHBand="0" w:noVBand="1"/>
      </w:tblPr>
      <w:tblGrid>
        <w:gridCol w:w="426"/>
        <w:gridCol w:w="1056"/>
        <w:gridCol w:w="1764"/>
        <w:gridCol w:w="1195"/>
        <w:gridCol w:w="1570"/>
        <w:gridCol w:w="1563"/>
      </w:tblGrid>
      <w:tr w:rsidRPr="00CB791A" w:rsidR="00B34B1B" w:rsidTr="006A4499" w14:paraId="24EA0BC2" w14:textId="77777777">
        <w:trPr>
          <w:cnfStyle w:val="100000000000" w:firstRow="1" w:lastRow="0" w:firstColumn="0" w:lastColumn="0" w:oddVBand="0" w:evenVBand="0" w:oddHBand="0" w:evenHBand="0" w:firstRowFirstColumn="0" w:firstRowLastColumn="0" w:lastRowFirstColumn="0" w:lastRowLastColumn="0"/>
        </w:trPr>
        <w:tc>
          <w:tcPr>
            <w:tcW w:w="0" w:type="auto"/>
            <w:hideMark/>
          </w:tcPr>
          <w:p w:rsidRPr="00CB791A" w:rsidR="00B34B1B" w:rsidP="00CB791A" w:rsidRDefault="00B34B1B" w14:paraId="560668A1" w14:textId="77777777">
            <w:pPr>
              <w:rPr>
                <w:rFonts w:eastAsia="Times New Roman"/>
                <w:sz w:val="20"/>
                <w:szCs w:val="20"/>
              </w:rPr>
            </w:pPr>
            <w:bookmarkStart w:name="AppTableStart" w:id="60"/>
            <w:r w:rsidRPr="00CB791A">
              <w:rPr>
                <w:rFonts w:eastAsia="Times New Roman"/>
                <w:sz w:val="20"/>
                <w:szCs w:val="20"/>
              </w:rPr>
              <w:t>N</w:t>
            </w:r>
            <w:r w:rsidRPr="00CB791A">
              <w:rPr>
                <w:rFonts w:eastAsia="Times New Roman"/>
                <w:sz w:val="20"/>
                <w:szCs w:val="20"/>
                <w:vertAlign w:val="superscript"/>
              </w:rPr>
              <w:t>o</w:t>
            </w:r>
          </w:p>
        </w:tc>
        <w:tc>
          <w:tcPr>
            <w:tcW w:w="0" w:type="auto"/>
            <w:hideMark/>
          </w:tcPr>
          <w:p w:rsidRPr="00CB791A" w:rsidR="00B34B1B" w:rsidP="00CB791A" w:rsidRDefault="00B34B1B" w14:paraId="4EE8D7C2" w14:textId="77777777">
            <w:pPr>
              <w:rPr>
                <w:rFonts w:eastAsia="Times New Roman"/>
                <w:sz w:val="20"/>
                <w:szCs w:val="20"/>
              </w:rPr>
            </w:pPr>
            <w:r w:rsidRPr="00CB791A">
              <w:rPr>
                <w:rFonts w:eastAsia="Times New Roman"/>
                <w:sz w:val="20"/>
                <w:szCs w:val="20"/>
              </w:rPr>
              <w:t>Requête N</w:t>
            </w:r>
            <w:r w:rsidRPr="00CB791A">
              <w:rPr>
                <w:rFonts w:eastAsia="Times New Roman"/>
                <w:sz w:val="20"/>
                <w:szCs w:val="20"/>
                <w:vertAlign w:val="superscript"/>
              </w:rPr>
              <w:t>o</w:t>
            </w:r>
          </w:p>
        </w:tc>
        <w:tc>
          <w:tcPr>
            <w:tcW w:w="0" w:type="auto"/>
            <w:hideMark/>
          </w:tcPr>
          <w:p w:rsidRPr="00CB791A" w:rsidR="00B34B1B" w:rsidP="00CB791A" w:rsidRDefault="00B34B1B" w14:paraId="55A9FD33" w14:textId="74C47A2C">
            <w:pPr>
              <w:rPr>
                <w:rFonts w:eastAsia="Times New Roman"/>
                <w:sz w:val="20"/>
                <w:szCs w:val="20"/>
              </w:rPr>
            </w:pPr>
            <w:r w:rsidRPr="00CB791A">
              <w:rPr>
                <w:rFonts w:eastAsia="Times New Roman"/>
                <w:sz w:val="20"/>
                <w:szCs w:val="20"/>
              </w:rPr>
              <w:t>Nom de l</w:t>
            </w:r>
            <w:r w:rsidRPr="00CB791A" w:rsidR="00CB791A">
              <w:rPr>
                <w:rFonts w:eastAsia="Times New Roman"/>
                <w:sz w:val="20"/>
                <w:szCs w:val="20"/>
              </w:rPr>
              <w:t>’</w:t>
            </w:r>
            <w:r w:rsidRPr="00CB791A">
              <w:rPr>
                <w:rFonts w:eastAsia="Times New Roman"/>
                <w:sz w:val="20"/>
                <w:szCs w:val="20"/>
              </w:rPr>
              <w:t>affaire</w:t>
            </w:r>
          </w:p>
        </w:tc>
        <w:tc>
          <w:tcPr>
            <w:tcW w:w="0" w:type="auto"/>
            <w:hideMark/>
          </w:tcPr>
          <w:p w:rsidRPr="00CB791A" w:rsidR="00B34B1B" w:rsidP="00CB791A" w:rsidRDefault="00B34B1B" w14:paraId="7563718E" w14:textId="77777777">
            <w:pPr>
              <w:rPr>
                <w:rFonts w:eastAsia="Times New Roman"/>
                <w:sz w:val="20"/>
                <w:szCs w:val="20"/>
              </w:rPr>
            </w:pPr>
            <w:r w:rsidRPr="00CB791A">
              <w:rPr>
                <w:rFonts w:eastAsia="Times New Roman"/>
                <w:sz w:val="20"/>
                <w:szCs w:val="20"/>
              </w:rPr>
              <w:t>Introduite le</w:t>
            </w:r>
          </w:p>
        </w:tc>
        <w:tc>
          <w:tcPr>
            <w:tcW w:w="0" w:type="auto"/>
            <w:hideMark/>
          </w:tcPr>
          <w:p w:rsidRPr="00CB791A" w:rsidR="00B34B1B" w:rsidP="00CB791A" w:rsidRDefault="00B34B1B" w14:paraId="0308413C" w14:textId="77777777">
            <w:pPr>
              <w:rPr>
                <w:rFonts w:eastAsia="Times New Roman"/>
                <w:sz w:val="20"/>
                <w:szCs w:val="20"/>
              </w:rPr>
            </w:pPr>
            <w:r w:rsidRPr="00CB791A">
              <w:rPr>
                <w:rFonts w:eastAsia="Times New Roman"/>
                <w:sz w:val="20"/>
                <w:szCs w:val="20"/>
              </w:rPr>
              <w:t>Requérant</w:t>
            </w:r>
            <w:r w:rsidRPr="00CB791A">
              <w:rPr>
                <w:rFonts w:eastAsia="Times New Roman"/>
                <w:sz w:val="20"/>
                <w:szCs w:val="20"/>
              </w:rPr>
              <w:br/>
              <w:t>Année de naissance</w:t>
            </w:r>
            <w:r w:rsidRPr="00CB791A">
              <w:rPr>
                <w:rFonts w:eastAsia="Times New Roman"/>
                <w:sz w:val="20"/>
                <w:szCs w:val="20"/>
              </w:rPr>
              <w:br/>
              <w:t>Lieu de résidence</w:t>
            </w:r>
            <w:r w:rsidRPr="00CB791A">
              <w:rPr>
                <w:rFonts w:eastAsia="Times New Roman"/>
                <w:sz w:val="20"/>
                <w:szCs w:val="20"/>
              </w:rPr>
              <w:br/>
              <w:t>Nationalité</w:t>
            </w:r>
          </w:p>
        </w:tc>
        <w:tc>
          <w:tcPr>
            <w:tcW w:w="0" w:type="auto"/>
            <w:hideMark/>
          </w:tcPr>
          <w:p w:rsidRPr="00CB791A" w:rsidR="00B34B1B" w:rsidP="00CB791A" w:rsidRDefault="00B34B1B" w14:paraId="6EBB5CF5" w14:textId="77777777">
            <w:pPr>
              <w:rPr>
                <w:rFonts w:eastAsia="Times New Roman"/>
                <w:sz w:val="20"/>
                <w:szCs w:val="20"/>
              </w:rPr>
            </w:pPr>
            <w:r w:rsidRPr="00CB791A">
              <w:rPr>
                <w:rFonts w:eastAsia="Times New Roman"/>
                <w:sz w:val="20"/>
                <w:szCs w:val="20"/>
              </w:rPr>
              <w:t>Représenté par</w:t>
            </w:r>
          </w:p>
        </w:tc>
      </w:tr>
      <w:tr w:rsidRPr="00CB791A" w:rsidR="00B34B1B" w:rsidTr="006A4499" w14:paraId="084F2E66" w14:textId="77777777">
        <w:tc>
          <w:tcPr>
            <w:tcW w:w="0" w:type="auto"/>
            <w:hideMark/>
          </w:tcPr>
          <w:p w:rsidRPr="00CB791A" w:rsidR="00B34B1B" w:rsidP="00CB791A" w:rsidRDefault="00B34B1B" w14:paraId="41D1D97C" w14:textId="77777777">
            <w:pPr>
              <w:rPr>
                <w:rFonts w:eastAsia="Times New Roman"/>
                <w:sz w:val="20"/>
                <w:szCs w:val="20"/>
              </w:rPr>
            </w:pPr>
            <w:r w:rsidRPr="00CB791A">
              <w:rPr>
                <w:rFonts w:eastAsia="Times New Roman"/>
                <w:sz w:val="20"/>
                <w:szCs w:val="20"/>
              </w:rPr>
              <w:t>1.</w:t>
            </w:r>
          </w:p>
        </w:tc>
        <w:tc>
          <w:tcPr>
            <w:tcW w:w="0" w:type="auto"/>
            <w:hideMark/>
          </w:tcPr>
          <w:p w:rsidRPr="00CB791A" w:rsidR="00B34B1B" w:rsidP="00CB791A" w:rsidRDefault="00B34B1B" w14:paraId="2A9132E1" w14:textId="77777777">
            <w:pPr>
              <w:rPr>
                <w:rFonts w:eastAsia="Times New Roman"/>
                <w:sz w:val="20"/>
                <w:szCs w:val="20"/>
              </w:rPr>
            </w:pPr>
            <w:bookmarkStart w:name="_Hlk81903918" w:id="61"/>
            <w:r w:rsidRPr="00CB791A">
              <w:rPr>
                <w:rFonts w:eastAsia="Times New Roman"/>
                <w:sz w:val="20"/>
                <w:szCs w:val="20"/>
              </w:rPr>
              <w:t>74209/16</w:t>
            </w:r>
            <w:bookmarkEnd w:id="61"/>
          </w:p>
        </w:tc>
        <w:tc>
          <w:tcPr>
            <w:tcW w:w="0" w:type="auto"/>
            <w:hideMark/>
          </w:tcPr>
          <w:p w:rsidRPr="00CB791A" w:rsidR="00B34B1B" w:rsidP="00CB791A" w:rsidRDefault="00B34B1B" w14:paraId="1F59AA7F" w14:textId="1031AF1B">
            <w:pPr>
              <w:rPr>
                <w:rFonts w:eastAsia="Times New Roman"/>
                <w:sz w:val="20"/>
                <w:szCs w:val="20"/>
              </w:rPr>
            </w:pPr>
            <w:bookmarkStart w:name="_Hlk81903929" w:id="62"/>
            <w:r w:rsidRPr="00CB791A">
              <w:rPr>
                <w:rFonts w:eastAsia="Times New Roman"/>
                <w:sz w:val="20"/>
                <w:szCs w:val="20"/>
              </w:rPr>
              <w:t xml:space="preserve">Willems </w:t>
            </w:r>
            <w:r w:rsidRPr="00CB791A" w:rsidR="003461CA">
              <w:rPr>
                <w:rFonts w:eastAsia="Times New Roman"/>
                <w:sz w:val="20"/>
                <w:szCs w:val="20"/>
              </w:rPr>
              <w:t xml:space="preserve">et </w:t>
            </w:r>
            <w:proofErr w:type="spellStart"/>
            <w:r w:rsidRPr="00CB791A" w:rsidR="003461CA">
              <w:rPr>
                <w:rFonts w:eastAsia="Times New Roman"/>
                <w:sz w:val="20"/>
                <w:szCs w:val="20"/>
              </w:rPr>
              <w:t>Gorjon</w:t>
            </w:r>
            <w:proofErr w:type="spellEnd"/>
            <w:r w:rsidRPr="00CB791A" w:rsidR="003461CA">
              <w:rPr>
                <w:rFonts w:eastAsia="Times New Roman"/>
                <w:sz w:val="20"/>
                <w:szCs w:val="20"/>
              </w:rPr>
              <w:t xml:space="preserve"> </w:t>
            </w:r>
            <w:r w:rsidRPr="00CB791A">
              <w:rPr>
                <w:rFonts w:eastAsia="Times New Roman"/>
                <w:sz w:val="20"/>
                <w:szCs w:val="20"/>
              </w:rPr>
              <w:t>c.</w:t>
            </w:r>
            <w:r w:rsidRPr="00CB791A" w:rsidR="003461CA">
              <w:rPr>
                <w:rFonts w:eastAsia="Times New Roman"/>
                <w:sz w:val="20"/>
                <w:szCs w:val="20"/>
              </w:rPr>
              <w:t> </w:t>
            </w:r>
            <w:r w:rsidRPr="00CB791A">
              <w:rPr>
                <w:rFonts w:eastAsia="Times New Roman"/>
                <w:sz w:val="20"/>
                <w:szCs w:val="20"/>
              </w:rPr>
              <w:t>Belgique</w:t>
            </w:r>
            <w:bookmarkEnd w:id="62"/>
          </w:p>
        </w:tc>
        <w:tc>
          <w:tcPr>
            <w:tcW w:w="0" w:type="auto"/>
            <w:hideMark/>
          </w:tcPr>
          <w:p w:rsidRPr="00CB791A" w:rsidR="00B34B1B" w:rsidP="00CB791A" w:rsidRDefault="00B34B1B" w14:paraId="4DEE8BEC" w14:textId="77777777">
            <w:pPr>
              <w:rPr>
                <w:rFonts w:eastAsia="Times New Roman"/>
                <w:sz w:val="20"/>
                <w:szCs w:val="20"/>
              </w:rPr>
            </w:pPr>
            <w:r w:rsidRPr="00CB791A">
              <w:rPr>
                <w:rFonts w:eastAsia="Times New Roman"/>
                <w:sz w:val="20"/>
                <w:szCs w:val="20"/>
              </w:rPr>
              <w:t>02/12/2016</w:t>
            </w:r>
          </w:p>
        </w:tc>
        <w:tc>
          <w:tcPr>
            <w:tcW w:w="0" w:type="auto"/>
            <w:hideMark/>
          </w:tcPr>
          <w:p w:rsidRPr="00CB791A" w:rsidR="00B34B1B" w:rsidP="00CB791A" w:rsidRDefault="00B34B1B" w14:paraId="537AC901" w14:textId="77777777">
            <w:pPr>
              <w:rPr>
                <w:rFonts w:eastAsia="Times New Roman"/>
                <w:sz w:val="20"/>
                <w:szCs w:val="20"/>
              </w:rPr>
            </w:pPr>
            <w:r w:rsidRPr="00CB791A">
              <w:rPr>
                <w:rFonts w:eastAsia="Times New Roman"/>
                <w:b/>
                <w:bCs/>
                <w:sz w:val="20"/>
                <w:szCs w:val="20"/>
              </w:rPr>
              <w:t>Catherine WILLEMS</w:t>
            </w:r>
            <w:r w:rsidRPr="00CB791A">
              <w:rPr>
                <w:rFonts w:eastAsia="Times New Roman"/>
                <w:sz w:val="20"/>
                <w:szCs w:val="20"/>
              </w:rPr>
              <w:br/>
              <w:t>1971</w:t>
            </w:r>
            <w:r w:rsidRPr="00CB791A">
              <w:rPr>
                <w:rFonts w:eastAsia="Times New Roman"/>
                <w:sz w:val="20"/>
                <w:szCs w:val="20"/>
              </w:rPr>
              <w:br/>
            </w:r>
            <w:proofErr w:type="spellStart"/>
            <w:r w:rsidRPr="00CB791A">
              <w:rPr>
                <w:rFonts w:eastAsia="Times New Roman"/>
                <w:sz w:val="20"/>
                <w:szCs w:val="20"/>
              </w:rPr>
              <w:t>Gesves</w:t>
            </w:r>
            <w:proofErr w:type="spellEnd"/>
            <w:r w:rsidRPr="00CB791A">
              <w:rPr>
                <w:rFonts w:eastAsia="Times New Roman"/>
                <w:sz w:val="20"/>
                <w:szCs w:val="20"/>
              </w:rPr>
              <w:br/>
              <w:t>belge</w:t>
            </w:r>
          </w:p>
        </w:tc>
        <w:tc>
          <w:tcPr>
            <w:tcW w:w="0" w:type="auto"/>
            <w:hideMark/>
          </w:tcPr>
          <w:p w:rsidRPr="00CB791A" w:rsidR="00B34B1B" w:rsidP="00CB791A" w:rsidRDefault="00B34B1B" w14:paraId="287E1743" w14:textId="77777777">
            <w:pPr>
              <w:rPr>
                <w:rFonts w:eastAsia="Times New Roman"/>
                <w:sz w:val="20"/>
                <w:szCs w:val="20"/>
              </w:rPr>
            </w:pPr>
            <w:r w:rsidRPr="00CB791A">
              <w:rPr>
                <w:rFonts w:eastAsia="Times New Roman"/>
                <w:sz w:val="20"/>
                <w:szCs w:val="20"/>
              </w:rPr>
              <w:t>Thibault MAUDOUX</w:t>
            </w:r>
          </w:p>
        </w:tc>
      </w:tr>
      <w:tr w:rsidRPr="00CB791A" w:rsidR="00B34B1B" w:rsidTr="006A4499" w14:paraId="44383F67" w14:textId="77777777">
        <w:tc>
          <w:tcPr>
            <w:tcW w:w="0" w:type="auto"/>
            <w:hideMark/>
          </w:tcPr>
          <w:p w:rsidRPr="00CB791A" w:rsidR="00B34B1B" w:rsidP="00CB791A" w:rsidRDefault="00B34B1B" w14:paraId="60B3B65A" w14:textId="77777777">
            <w:pPr>
              <w:rPr>
                <w:rFonts w:eastAsia="Times New Roman"/>
                <w:sz w:val="20"/>
                <w:szCs w:val="20"/>
              </w:rPr>
            </w:pPr>
            <w:r w:rsidRPr="00CB791A">
              <w:rPr>
                <w:rFonts w:eastAsia="Times New Roman"/>
                <w:sz w:val="20"/>
                <w:szCs w:val="20"/>
              </w:rPr>
              <w:t>2.</w:t>
            </w:r>
          </w:p>
        </w:tc>
        <w:tc>
          <w:tcPr>
            <w:tcW w:w="0" w:type="auto"/>
            <w:hideMark/>
          </w:tcPr>
          <w:p w:rsidRPr="00CB791A" w:rsidR="00B34B1B" w:rsidP="00CB791A" w:rsidRDefault="00B34B1B" w14:paraId="6967767B" w14:textId="77777777">
            <w:pPr>
              <w:rPr>
                <w:rFonts w:eastAsia="Times New Roman"/>
                <w:sz w:val="20"/>
                <w:szCs w:val="20"/>
              </w:rPr>
            </w:pPr>
            <w:bookmarkStart w:name="_Hlk81903939" w:id="63"/>
            <w:r w:rsidRPr="00CB791A">
              <w:rPr>
                <w:rFonts w:eastAsia="Times New Roman"/>
                <w:sz w:val="20"/>
                <w:szCs w:val="20"/>
              </w:rPr>
              <w:t>75662/16</w:t>
            </w:r>
            <w:bookmarkEnd w:id="63"/>
          </w:p>
        </w:tc>
        <w:tc>
          <w:tcPr>
            <w:tcW w:w="0" w:type="auto"/>
            <w:hideMark/>
          </w:tcPr>
          <w:p w:rsidRPr="00CB791A" w:rsidR="00B34B1B" w:rsidP="00CB791A" w:rsidRDefault="00B34B1B" w14:paraId="41393A14" w14:textId="2422C82D">
            <w:pPr>
              <w:rPr>
                <w:rFonts w:eastAsia="Times New Roman"/>
                <w:sz w:val="20"/>
                <w:szCs w:val="20"/>
              </w:rPr>
            </w:pPr>
            <w:proofErr w:type="spellStart"/>
            <w:r w:rsidRPr="00CB791A">
              <w:rPr>
                <w:rFonts w:eastAsia="Times New Roman"/>
                <w:sz w:val="20"/>
                <w:szCs w:val="20"/>
              </w:rPr>
              <w:t>Gorjon</w:t>
            </w:r>
            <w:proofErr w:type="spellEnd"/>
            <w:r w:rsidRPr="00CB791A">
              <w:rPr>
                <w:rFonts w:eastAsia="Times New Roman"/>
                <w:sz w:val="20"/>
                <w:szCs w:val="20"/>
              </w:rPr>
              <w:t xml:space="preserve"> c.</w:t>
            </w:r>
            <w:r w:rsidRPr="00CB791A" w:rsidR="003461CA">
              <w:rPr>
                <w:rFonts w:eastAsia="Times New Roman"/>
                <w:sz w:val="20"/>
                <w:szCs w:val="20"/>
              </w:rPr>
              <w:t> </w:t>
            </w:r>
            <w:r w:rsidRPr="00CB791A">
              <w:rPr>
                <w:rFonts w:eastAsia="Times New Roman"/>
                <w:sz w:val="20"/>
                <w:szCs w:val="20"/>
              </w:rPr>
              <w:t>Belgique</w:t>
            </w:r>
          </w:p>
        </w:tc>
        <w:tc>
          <w:tcPr>
            <w:tcW w:w="0" w:type="auto"/>
            <w:hideMark/>
          </w:tcPr>
          <w:p w:rsidRPr="00CB791A" w:rsidR="00B34B1B" w:rsidP="00CB791A" w:rsidRDefault="00B34B1B" w14:paraId="4B75F299" w14:textId="77777777">
            <w:pPr>
              <w:rPr>
                <w:rFonts w:eastAsia="Times New Roman"/>
                <w:sz w:val="20"/>
                <w:szCs w:val="20"/>
              </w:rPr>
            </w:pPr>
            <w:r w:rsidRPr="00CB791A">
              <w:rPr>
                <w:rFonts w:eastAsia="Times New Roman"/>
                <w:sz w:val="20"/>
                <w:szCs w:val="20"/>
              </w:rPr>
              <w:t>02/12/2016</w:t>
            </w:r>
          </w:p>
        </w:tc>
        <w:tc>
          <w:tcPr>
            <w:tcW w:w="0" w:type="auto"/>
            <w:hideMark/>
          </w:tcPr>
          <w:p w:rsidRPr="00CB791A" w:rsidR="00B34B1B" w:rsidP="00CB791A" w:rsidRDefault="00B34B1B" w14:paraId="06E8AF8D" w14:textId="77777777">
            <w:pPr>
              <w:rPr>
                <w:rFonts w:eastAsia="Times New Roman"/>
                <w:sz w:val="20"/>
                <w:szCs w:val="20"/>
              </w:rPr>
            </w:pPr>
            <w:r w:rsidRPr="00CB791A">
              <w:rPr>
                <w:rFonts w:eastAsia="Times New Roman"/>
                <w:b/>
                <w:bCs/>
                <w:sz w:val="20"/>
                <w:szCs w:val="20"/>
              </w:rPr>
              <w:t>Yvan GORJON</w:t>
            </w:r>
            <w:r w:rsidRPr="00CB791A">
              <w:rPr>
                <w:rFonts w:eastAsia="Times New Roman"/>
                <w:sz w:val="20"/>
                <w:szCs w:val="20"/>
              </w:rPr>
              <w:br/>
              <w:t>1966</w:t>
            </w:r>
            <w:r w:rsidRPr="00CB791A">
              <w:rPr>
                <w:rFonts w:eastAsia="Times New Roman"/>
                <w:sz w:val="20"/>
                <w:szCs w:val="20"/>
              </w:rPr>
              <w:br/>
            </w:r>
            <w:proofErr w:type="spellStart"/>
            <w:r w:rsidRPr="00CB791A">
              <w:rPr>
                <w:rFonts w:eastAsia="Times New Roman"/>
                <w:sz w:val="20"/>
                <w:szCs w:val="20"/>
              </w:rPr>
              <w:t>Gesves</w:t>
            </w:r>
            <w:proofErr w:type="spellEnd"/>
            <w:r w:rsidRPr="00CB791A">
              <w:rPr>
                <w:rFonts w:eastAsia="Times New Roman"/>
                <w:sz w:val="20"/>
                <w:szCs w:val="20"/>
              </w:rPr>
              <w:br/>
              <w:t>belge</w:t>
            </w:r>
          </w:p>
        </w:tc>
        <w:tc>
          <w:tcPr>
            <w:tcW w:w="0" w:type="auto"/>
            <w:hideMark/>
          </w:tcPr>
          <w:p w:rsidRPr="00CB791A" w:rsidR="00B34B1B" w:rsidP="00CB791A" w:rsidRDefault="00B34B1B" w14:paraId="27A37124" w14:textId="77777777">
            <w:pPr>
              <w:rPr>
                <w:rFonts w:eastAsia="Times New Roman"/>
                <w:sz w:val="20"/>
                <w:szCs w:val="20"/>
              </w:rPr>
            </w:pPr>
            <w:r w:rsidRPr="00CB791A">
              <w:rPr>
                <w:rFonts w:eastAsia="Times New Roman"/>
                <w:sz w:val="20"/>
                <w:szCs w:val="20"/>
              </w:rPr>
              <w:t>Thibault MAUDOUX</w:t>
            </w:r>
          </w:p>
        </w:tc>
      </w:tr>
      <w:tr w:rsidRPr="00CB791A" w:rsidR="00B34B1B" w:rsidTr="006A4499" w14:paraId="73421E86" w14:textId="77777777">
        <w:tc>
          <w:tcPr>
            <w:tcW w:w="0" w:type="auto"/>
            <w:hideMark/>
          </w:tcPr>
          <w:p w:rsidRPr="00CB791A" w:rsidR="00B34B1B" w:rsidP="00CB791A" w:rsidRDefault="00B34B1B" w14:paraId="3CE53DA4" w14:textId="77777777">
            <w:pPr>
              <w:rPr>
                <w:rFonts w:eastAsia="Times New Roman"/>
                <w:sz w:val="20"/>
                <w:szCs w:val="20"/>
              </w:rPr>
            </w:pPr>
            <w:r w:rsidRPr="00CB791A">
              <w:rPr>
                <w:rFonts w:eastAsia="Times New Roman"/>
                <w:sz w:val="20"/>
                <w:szCs w:val="20"/>
              </w:rPr>
              <w:t>3.</w:t>
            </w:r>
          </w:p>
        </w:tc>
        <w:tc>
          <w:tcPr>
            <w:tcW w:w="0" w:type="auto"/>
            <w:hideMark/>
          </w:tcPr>
          <w:p w:rsidRPr="00CB791A" w:rsidR="00B34B1B" w:rsidP="00CB791A" w:rsidRDefault="00B34B1B" w14:paraId="417A93A5" w14:textId="77777777">
            <w:pPr>
              <w:rPr>
                <w:rFonts w:eastAsia="Times New Roman"/>
                <w:sz w:val="20"/>
                <w:szCs w:val="20"/>
              </w:rPr>
            </w:pPr>
            <w:bookmarkStart w:name="_Hlk81903957" w:id="64"/>
            <w:r w:rsidRPr="00CB791A">
              <w:rPr>
                <w:rFonts w:eastAsia="Times New Roman"/>
                <w:sz w:val="20"/>
                <w:szCs w:val="20"/>
              </w:rPr>
              <w:t>19431/19</w:t>
            </w:r>
            <w:bookmarkEnd w:id="64"/>
          </w:p>
        </w:tc>
        <w:tc>
          <w:tcPr>
            <w:tcW w:w="0" w:type="auto"/>
            <w:hideMark/>
          </w:tcPr>
          <w:p w:rsidRPr="00CB791A" w:rsidR="00B34B1B" w:rsidP="00CB791A" w:rsidRDefault="00B34B1B" w14:paraId="167EFD55" w14:textId="1D8E5090">
            <w:pPr>
              <w:rPr>
                <w:rFonts w:eastAsia="Times New Roman"/>
                <w:sz w:val="20"/>
                <w:szCs w:val="20"/>
              </w:rPr>
            </w:pPr>
            <w:bookmarkStart w:name="_Hlk81903970" w:id="65"/>
            <w:r w:rsidRPr="00CB791A">
              <w:rPr>
                <w:rFonts w:eastAsia="Times New Roman"/>
                <w:sz w:val="20"/>
                <w:szCs w:val="20"/>
              </w:rPr>
              <w:t>Willems c.</w:t>
            </w:r>
            <w:r w:rsidRPr="00CB791A" w:rsidR="003461CA">
              <w:rPr>
                <w:rFonts w:eastAsia="Times New Roman"/>
                <w:sz w:val="20"/>
                <w:szCs w:val="20"/>
              </w:rPr>
              <w:t> </w:t>
            </w:r>
            <w:r w:rsidRPr="00CB791A">
              <w:rPr>
                <w:rFonts w:eastAsia="Times New Roman"/>
                <w:sz w:val="20"/>
                <w:szCs w:val="20"/>
              </w:rPr>
              <w:t>Belgique</w:t>
            </w:r>
            <w:bookmarkEnd w:id="65"/>
          </w:p>
        </w:tc>
        <w:tc>
          <w:tcPr>
            <w:tcW w:w="0" w:type="auto"/>
            <w:hideMark/>
          </w:tcPr>
          <w:p w:rsidRPr="00CB791A" w:rsidR="00B34B1B" w:rsidP="00CB791A" w:rsidRDefault="00B34B1B" w14:paraId="20C957EF" w14:textId="77777777">
            <w:pPr>
              <w:rPr>
                <w:rFonts w:eastAsia="Times New Roman"/>
                <w:sz w:val="20"/>
                <w:szCs w:val="20"/>
              </w:rPr>
            </w:pPr>
            <w:r w:rsidRPr="00CB791A">
              <w:rPr>
                <w:rFonts w:eastAsia="Times New Roman"/>
                <w:sz w:val="20"/>
                <w:szCs w:val="20"/>
              </w:rPr>
              <w:t>03/04/2019</w:t>
            </w:r>
          </w:p>
        </w:tc>
        <w:tc>
          <w:tcPr>
            <w:tcW w:w="0" w:type="auto"/>
            <w:hideMark/>
          </w:tcPr>
          <w:p w:rsidRPr="00CB791A" w:rsidR="00B34B1B" w:rsidP="00CB791A" w:rsidRDefault="00B34B1B" w14:paraId="673F2C30" w14:textId="77777777">
            <w:pPr>
              <w:rPr>
                <w:rFonts w:eastAsia="Times New Roman"/>
                <w:sz w:val="20"/>
                <w:szCs w:val="20"/>
              </w:rPr>
            </w:pPr>
            <w:r w:rsidRPr="00CB791A">
              <w:rPr>
                <w:rFonts w:eastAsia="Times New Roman"/>
                <w:b/>
                <w:bCs/>
                <w:sz w:val="20"/>
                <w:szCs w:val="20"/>
              </w:rPr>
              <w:t>Catherine WILLEMS</w:t>
            </w:r>
            <w:r w:rsidRPr="00CB791A">
              <w:rPr>
                <w:rFonts w:eastAsia="Times New Roman"/>
                <w:sz w:val="20"/>
                <w:szCs w:val="20"/>
              </w:rPr>
              <w:br/>
              <w:t>1971</w:t>
            </w:r>
            <w:r w:rsidRPr="00CB791A">
              <w:rPr>
                <w:rFonts w:eastAsia="Times New Roman"/>
                <w:sz w:val="20"/>
                <w:szCs w:val="20"/>
              </w:rPr>
              <w:br/>
            </w:r>
            <w:proofErr w:type="spellStart"/>
            <w:r w:rsidRPr="00CB791A">
              <w:rPr>
                <w:rFonts w:eastAsia="Times New Roman"/>
                <w:sz w:val="20"/>
                <w:szCs w:val="20"/>
              </w:rPr>
              <w:t>Gesves</w:t>
            </w:r>
            <w:proofErr w:type="spellEnd"/>
            <w:r w:rsidRPr="00CB791A">
              <w:rPr>
                <w:rFonts w:eastAsia="Times New Roman"/>
                <w:sz w:val="20"/>
                <w:szCs w:val="20"/>
              </w:rPr>
              <w:br/>
              <w:t>belge</w:t>
            </w:r>
          </w:p>
        </w:tc>
        <w:tc>
          <w:tcPr>
            <w:tcW w:w="0" w:type="auto"/>
            <w:hideMark/>
          </w:tcPr>
          <w:p w:rsidRPr="00CB791A" w:rsidR="00B34B1B" w:rsidP="00CB791A" w:rsidRDefault="00B34B1B" w14:paraId="7D8F0866" w14:textId="77777777">
            <w:pPr>
              <w:rPr>
                <w:rFonts w:eastAsia="Times New Roman"/>
                <w:sz w:val="20"/>
                <w:szCs w:val="20"/>
              </w:rPr>
            </w:pPr>
            <w:r w:rsidRPr="00CB791A">
              <w:rPr>
                <w:rFonts w:eastAsia="Times New Roman"/>
                <w:sz w:val="20"/>
                <w:szCs w:val="20"/>
              </w:rPr>
              <w:t>Thibault MAUDOUX</w:t>
            </w:r>
          </w:p>
        </w:tc>
      </w:tr>
      <w:tr w:rsidRPr="00CB791A" w:rsidR="00B34B1B" w:rsidTr="006A4499" w14:paraId="64BDBA1A" w14:textId="77777777">
        <w:tc>
          <w:tcPr>
            <w:tcW w:w="0" w:type="auto"/>
            <w:hideMark/>
          </w:tcPr>
          <w:p w:rsidRPr="00CB791A" w:rsidR="00B34B1B" w:rsidP="00CB791A" w:rsidRDefault="00B34B1B" w14:paraId="4A99E30E" w14:textId="77777777">
            <w:pPr>
              <w:rPr>
                <w:rFonts w:eastAsia="Times New Roman"/>
                <w:sz w:val="20"/>
                <w:szCs w:val="20"/>
              </w:rPr>
            </w:pPr>
            <w:r w:rsidRPr="00CB791A">
              <w:rPr>
                <w:rFonts w:eastAsia="Times New Roman"/>
                <w:sz w:val="20"/>
                <w:szCs w:val="20"/>
              </w:rPr>
              <w:t>4.</w:t>
            </w:r>
          </w:p>
        </w:tc>
        <w:tc>
          <w:tcPr>
            <w:tcW w:w="0" w:type="auto"/>
            <w:hideMark/>
          </w:tcPr>
          <w:p w:rsidRPr="00CB791A" w:rsidR="00B34B1B" w:rsidP="00CB791A" w:rsidRDefault="00B34B1B" w14:paraId="0CA86AFA" w14:textId="77777777">
            <w:pPr>
              <w:rPr>
                <w:rFonts w:eastAsia="Times New Roman"/>
                <w:sz w:val="20"/>
                <w:szCs w:val="20"/>
              </w:rPr>
            </w:pPr>
            <w:bookmarkStart w:name="_Hlk81903982" w:id="66"/>
            <w:r w:rsidRPr="00CB791A">
              <w:rPr>
                <w:rFonts w:eastAsia="Times New Roman"/>
                <w:sz w:val="20"/>
                <w:szCs w:val="20"/>
              </w:rPr>
              <w:t>19653/19</w:t>
            </w:r>
            <w:bookmarkEnd w:id="66"/>
          </w:p>
        </w:tc>
        <w:tc>
          <w:tcPr>
            <w:tcW w:w="0" w:type="auto"/>
            <w:hideMark/>
          </w:tcPr>
          <w:p w:rsidRPr="00CB791A" w:rsidR="00B34B1B" w:rsidP="00CB791A" w:rsidRDefault="00B34B1B" w14:paraId="341CB8F6" w14:textId="03E16774">
            <w:pPr>
              <w:rPr>
                <w:rFonts w:eastAsia="Times New Roman"/>
                <w:sz w:val="20"/>
                <w:szCs w:val="20"/>
              </w:rPr>
            </w:pPr>
            <w:proofErr w:type="spellStart"/>
            <w:r w:rsidRPr="00CB791A">
              <w:rPr>
                <w:rFonts w:eastAsia="Times New Roman"/>
                <w:sz w:val="20"/>
                <w:szCs w:val="20"/>
              </w:rPr>
              <w:t>Gorjon</w:t>
            </w:r>
            <w:proofErr w:type="spellEnd"/>
            <w:r w:rsidRPr="00CB791A">
              <w:rPr>
                <w:rFonts w:eastAsia="Times New Roman"/>
                <w:sz w:val="20"/>
                <w:szCs w:val="20"/>
              </w:rPr>
              <w:t xml:space="preserve"> c.</w:t>
            </w:r>
            <w:r w:rsidRPr="00CB791A" w:rsidR="003461CA">
              <w:rPr>
                <w:rFonts w:eastAsia="Times New Roman"/>
                <w:sz w:val="20"/>
                <w:szCs w:val="20"/>
              </w:rPr>
              <w:t> </w:t>
            </w:r>
            <w:r w:rsidRPr="00CB791A">
              <w:rPr>
                <w:rFonts w:eastAsia="Times New Roman"/>
                <w:sz w:val="20"/>
                <w:szCs w:val="20"/>
              </w:rPr>
              <w:t>Belgique</w:t>
            </w:r>
          </w:p>
        </w:tc>
        <w:tc>
          <w:tcPr>
            <w:tcW w:w="0" w:type="auto"/>
            <w:hideMark/>
          </w:tcPr>
          <w:p w:rsidRPr="00CB791A" w:rsidR="00B34B1B" w:rsidP="00CB791A" w:rsidRDefault="00B34B1B" w14:paraId="4CF07B6D" w14:textId="77777777">
            <w:pPr>
              <w:rPr>
                <w:rFonts w:eastAsia="Times New Roman"/>
                <w:sz w:val="20"/>
                <w:szCs w:val="20"/>
              </w:rPr>
            </w:pPr>
            <w:r w:rsidRPr="00CB791A">
              <w:rPr>
                <w:rFonts w:eastAsia="Times New Roman"/>
                <w:sz w:val="20"/>
                <w:szCs w:val="20"/>
              </w:rPr>
              <w:t>03/04/2019</w:t>
            </w:r>
          </w:p>
        </w:tc>
        <w:tc>
          <w:tcPr>
            <w:tcW w:w="0" w:type="auto"/>
            <w:hideMark/>
          </w:tcPr>
          <w:p w:rsidRPr="00CB791A" w:rsidR="00B34B1B" w:rsidP="00CB791A" w:rsidRDefault="00B34B1B" w14:paraId="40BBD811" w14:textId="77777777">
            <w:pPr>
              <w:rPr>
                <w:rFonts w:eastAsia="Times New Roman"/>
                <w:sz w:val="20"/>
                <w:szCs w:val="20"/>
              </w:rPr>
            </w:pPr>
            <w:r w:rsidRPr="00CB791A">
              <w:rPr>
                <w:rFonts w:eastAsia="Times New Roman"/>
                <w:b/>
                <w:bCs/>
                <w:sz w:val="20"/>
                <w:szCs w:val="20"/>
              </w:rPr>
              <w:t>Yvan GORJON</w:t>
            </w:r>
            <w:r w:rsidRPr="00CB791A">
              <w:rPr>
                <w:rFonts w:eastAsia="Times New Roman"/>
                <w:sz w:val="20"/>
                <w:szCs w:val="20"/>
              </w:rPr>
              <w:br/>
              <w:t>1966</w:t>
            </w:r>
            <w:r w:rsidRPr="00CB791A">
              <w:rPr>
                <w:rFonts w:eastAsia="Times New Roman"/>
                <w:sz w:val="20"/>
                <w:szCs w:val="20"/>
              </w:rPr>
              <w:br/>
            </w:r>
            <w:proofErr w:type="spellStart"/>
            <w:r w:rsidRPr="00CB791A">
              <w:rPr>
                <w:rFonts w:eastAsia="Times New Roman"/>
                <w:sz w:val="20"/>
                <w:szCs w:val="20"/>
              </w:rPr>
              <w:t>Gesves</w:t>
            </w:r>
            <w:proofErr w:type="spellEnd"/>
            <w:r w:rsidRPr="00CB791A">
              <w:rPr>
                <w:rFonts w:eastAsia="Times New Roman"/>
                <w:sz w:val="20"/>
                <w:szCs w:val="20"/>
              </w:rPr>
              <w:br/>
              <w:t>belge</w:t>
            </w:r>
          </w:p>
        </w:tc>
        <w:tc>
          <w:tcPr>
            <w:tcW w:w="0" w:type="auto"/>
            <w:hideMark/>
          </w:tcPr>
          <w:p w:rsidRPr="00CB791A" w:rsidR="00B34B1B" w:rsidP="00CB791A" w:rsidRDefault="00B34B1B" w14:paraId="015CEB5B" w14:textId="77777777">
            <w:pPr>
              <w:rPr>
                <w:rFonts w:eastAsia="Times New Roman"/>
                <w:sz w:val="20"/>
                <w:szCs w:val="20"/>
              </w:rPr>
            </w:pPr>
            <w:r w:rsidRPr="00CB791A">
              <w:rPr>
                <w:rFonts w:eastAsia="Times New Roman"/>
                <w:sz w:val="20"/>
                <w:szCs w:val="20"/>
              </w:rPr>
              <w:t>Thibault MAUDOUX</w:t>
            </w:r>
          </w:p>
        </w:tc>
      </w:tr>
      <w:bookmarkEnd w:id="60"/>
    </w:tbl>
    <w:p w:rsidRPr="00CB791A" w:rsidR="00876F03" w:rsidP="00CB791A" w:rsidRDefault="00876F03" w14:paraId="5ED88C07" w14:textId="5D99728D"/>
    <w:sectPr w:rsidRPr="00CB791A" w:rsidR="00876F03" w:rsidSect="00423E96">
      <w:headerReference w:type="even" r:id="rId17"/>
      <w:headerReference w:type="default" r:id="rId18"/>
      <w:footerReference w:type="default" r:id="rId19"/>
      <w:footnotePr>
        <w:numRestart w:val="eachSect"/>
      </w:footnotePr>
      <w:pgSz w:w="11906" w:h="16838" w:code="9"/>
      <w:pgMar w:top="2274" w:right="2274" w:bottom="2274" w:left="2274" w:header="1701"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A75A0" w14:textId="77777777" w:rsidR="006A4499" w:rsidRPr="00F25EFC" w:rsidRDefault="006A4499" w:rsidP="00516B59">
      <w:r w:rsidRPr="00F25EFC">
        <w:separator/>
      </w:r>
    </w:p>
  </w:endnote>
  <w:endnote w:type="continuationSeparator" w:id="0">
    <w:p w14:paraId="54806D01" w14:textId="77777777" w:rsidR="006A4499" w:rsidRPr="00F25EFC" w:rsidRDefault="006A4499" w:rsidP="00516B59">
      <w:r w:rsidRPr="00F25E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686D1" w14:textId="7CB89F9F" w:rsidR="006A4499" w:rsidRPr="00F25EFC" w:rsidRDefault="006A4499" w:rsidP="00954AD6">
    <w:pPr>
      <w:pStyle w:val="JuHeader"/>
    </w:pPr>
    <w:r>
      <w:fldChar w:fldCharType="begin"/>
    </w:r>
    <w:r>
      <w:instrText xml:space="preserve"> PAGE </w:instrText>
    </w:r>
    <w:r>
      <w:fldChar w:fldCharType="separate"/>
    </w:r>
    <w:r>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FB5AF" w14:textId="63FA1CC5" w:rsidR="006A4499" w:rsidRPr="00150BFA" w:rsidRDefault="006A4499" w:rsidP="006A4499">
    <w:pPr>
      <w:jc w:val="center"/>
    </w:pPr>
    <w:r>
      <w:rPr>
        <w:noProof/>
        <w:lang w:val="en-US" w:eastAsia="ja-JP"/>
      </w:rPr>
      <w:drawing>
        <wp:inline distT="0" distB="0" distL="0" distR="0" wp14:anchorId="4AD88A7D" wp14:editId="7045AEA1">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46A981B0" w14:textId="3C4952CB" w:rsidR="006A4499" w:rsidRPr="00F25EFC" w:rsidRDefault="006A4499" w:rsidP="00F27D13">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1A6E2" w14:textId="0042AC44" w:rsidR="006A4499" w:rsidRPr="00150BFA" w:rsidRDefault="006A4499" w:rsidP="006A4499">
    <w:pPr>
      <w:jc w:val="center"/>
    </w:pPr>
    <w:r>
      <w:rPr>
        <w:noProof/>
        <w:lang w:val="en-US" w:eastAsia="ja-JP"/>
      </w:rPr>
      <w:drawing>
        <wp:inline distT="0" distB="0" distL="0" distR="0" wp14:anchorId="5EA6C8AB" wp14:editId="3F6D2C13">
          <wp:extent cx="771525" cy="619125"/>
          <wp:effectExtent l="0" t="0" r="9525" b="9525"/>
          <wp:docPr id="61" name="Picture 6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85665CE" w14:textId="5A40BA94" w:rsidR="006A4499" w:rsidRPr="00F25EFC" w:rsidRDefault="006A4499" w:rsidP="00902601">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5C32A" w14:textId="1A64803B" w:rsidR="006A4499" w:rsidRDefault="006A4499" w:rsidP="00C149F0">
    <w:pPr>
      <w:pStyle w:val="JuHeader"/>
    </w:pPr>
    <w:r>
      <w:rPr>
        <w:rStyle w:val="PageNumber"/>
        <w:lang w:val="en-US"/>
      </w:rPr>
      <w:fldChar w:fldCharType="begin"/>
    </w:r>
    <w:r>
      <w:rPr>
        <w:rStyle w:val="PageNumber"/>
        <w:lang w:val="en-US"/>
      </w:rPr>
      <w:instrText xml:space="preserve"> PAGE </w:instrText>
    </w:r>
    <w:r>
      <w:rPr>
        <w:rStyle w:val="PageNumber"/>
        <w:lang w:val="en-US"/>
      </w:rPr>
      <w:fldChar w:fldCharType="separate"/>
    </w:r>
    <w:r>
      <w:rPr>
        <w:rStyle w:val="PageNumber"/>
        <w:noProof/>
        <w:lang w:val="en-US"/>
      </w:rPr>
      <w:t>3</w:t>
    </w:r>
    <w:r>
      <w:rPr>
        <w:rStyle w:val="PageNumber"/>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4A993" w14:textId="3503CA35" w:rsidR="006A4499" w:rsidRDefault="006A4499" w:rsidP="00662882">
    <w:pPr>
      <w:pStyle w:val="JuHeader"/>
    </w:pPr>
    <w:r>
      <w:fldChar w:fldCharType="begin"/>
    </w:r>
    <w:r>
      <w:instrText xml:space="preserve"> PAGE </w:instrText>
    </w:r>
    <w:r>
      <w:fldChar w:fldCharType="separate"/>
    </w:r>
    <w:r>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E2535" w14:textId="26B2AC8A" w:rsidR="006A4499" w:rsidRPr="00D01935" w:rsidRDefault="006A4499" w:rsidP="00662882">
    <w:pPr>
      <w:pStyle w:val="JuHeader"/>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90D6D" w14:textId="77777777" w:rsidR="006A4499" w:rsidRPr="00F25EFC" w:rsidRDefault="006A4499" w:rsidP="00516B59">
      <w:r w:rsidRPr="00F25EFC">
        <w:separator/>
      </w:r>
    </w:p>
  </w:footnote>
  <w:footnote w:type="continuationSeparator" w:id="0">
    <w:p w14:paraId="61292E0E" w14:textId="77777777" w:rsidR="006A4499" w:rsidRPr="00F25EFC" w:rsidRDefault="006A4499" w:rsidP="00516B59">
      <w:r w:rsidRPr="00F25EF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A28E0" w14:textId="2EAAB6A0" w:rsidR="006A4499" w:rsidRPr="00A45145" w:rsidRDefault="006A4499" w:rsidP="006A4499">
    <w:pPr>
      <w:jc w:val="center"/>
    </w:pPr>
    <w:r>
      <w:rPr>
        <w:noProof/>
        <w:lang w:val="en-US" w:eastAsia="ja-JP"/>
      </w:rPr>
      <w:drawing>
        <wp:inline distT="0" distB="0" distL="0" distR="0" wp14:anchorId="7CA34A2D" wp14:editId="1F61A892">
          <wp:extent cx="2962275" cy="1219200"/>
          <wp:effectExtent l="0" t="0" r="9525" b="0"/>
          <wp:docPr id="63" name="Picture 6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E78611E" w14:textId="008CA536" w:rsidR="006A4499" w:rsidRPr="00F25EFC" w:rsidRDefault="006A4499" w:rsidP="006A449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1493B" w14:textId="4849F7B7" w:rsidR="006A4499" w:rsidRPr="00A45145" w:rsidRDefault="006A4499" w:rsidP="006A4499">
    <w:pPr>
      <w:jc w:val="center"/>
    </w:pPr>
    <w:r>
      <w:rPr>
        <w:noProof/>
        <w:lang w:val="en-US" w:eastAsia="ja-JP"/>
      </w:rPr>
      <w:drawing>
        <wp:inline distT="0" distB="0" distL="0" distR="0" wp14:anchorId="21B68A97" wp14:editId="72EF88C3">
          <wp:extent cx="2962275" cy="1219200"/>
          <wp:effectExtent l="0" t="0" r="9525" b="0"/>
          <wp:docPr id="57" name="Picture 5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1E9BAD5" w14:textId="6A5E8CBC" w:rsidR="006A4499" w:rsidRPr="00F25EFC" w:rsidRDefault="006A4499" w:rsidP="00902601">
    <w:pPr>
      <w:jc w:val="center"/>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6CB6B" w14:textId="79919E91" w:rsidR="006A4499" w:rsidRPr="00F5432B" w:rsidRDefault="006A4499" w:rsidP="00C149F0">
    <w:pPr>
      <w:pStyle w:val="JuHeader"/>
    </w:pPr>
    <w:r w:rsidRPr="006A4499">
      <w:t xml:space="preserve">ARRÊT WILLEMS ET GORJON c. BELGIQUE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B4B38" w14:textId="2461A830" w:rsidR="006A4499" w:rsidRPr="007100AD" w:rsidRDefault="006A4499" w:rsidP="00662882">
    <w:pPr>
      <w:pStyle w:val="JuHeader"/>
    </w:pPr>
    <w:r w:rsidRPr="006A4499">
      <w:t xml:space="preserve">ARRÊT WILLEMS ET GORJON c. BELGIQUE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1C79A" w14:textId="4B496BE6" w:rsidR="006A4499" w:rsidRPr="00592C8D" w:rsidRDefault="006A4499" w:rsidP="00A21624">
    <w:pPr>
      <w:pStyle w:val="JuHeader"/>
      <w:rPr>
        <w:lang w:val="en-US"/>
      </w:rPr>
    </w:pPr>
    <w:r w:rsidRPr="00592C8D">
      <w:rPr>
        <w:lang w:val="en-US"/>
      </w:rPr>
      <w:t xml:space="preserve">ARRÊT </w:t>
    </w:r>
    <w:r>
      <w:rPr>
        <w:lang w:val="en-US"/>
      </w:rPr>
      <w:t>WILLEMS c. BELGIQUE</w:t>
    </w:r>
    <w:r w:rsidRPr="00592C8D">
      <w:rPr>
        <w:noProof/>
        <w:lang w:val="en-US"/>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6C513" w14:textId="3188F79C" w:rsidR="006A4499" w:rsidRPr="00A01A2D" w:rsidRDefault="006A4499" w:rsidP="00662882">
    <w:pPr>
      <w:pStyle w:val="JuHeader"/>
    </w:pPr>
    <w:r w:rsidRPr="003461CA">
      <w:t xml:space="preserve">ARRÊT WILLEMS </w:t>
    </w:r>
    <w:r w:rsidR="003461CA" w:rsidRPr="003461CA">
      <w:t xml:space="preserve">ET GORJON </w:t>
    </w:r>
    <w:r w:rsidRPr="003461CA">
      <w:t>c. BELGIQUE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D8668044"/>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5E6A40"/>
    <w:multiLevelType w:val="multilevel"/>
    <w:tmpl w:val="4D38F31C"/>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3"/>
  </w:num>
  <w:num w:numId="2">
    <w:abstractNumId w:val="9"/>
  </w:num>
  <w:num w:numId="3">
    <w:abstractNumId w:val="14"/>
  </w:num>
  <w:num w:numId="4">
    <w:abstractNumId w:val="11"/>
  </w:num>
  <w:num w:numId="5">
    <w:abstractNumId w:val="10"/>
  </w:num>
  <w:num w:numId="6">
    <w:abstractNumId w:val="15"/>
  </w:num>
  <w:num w:numId="7">
    <w:abstractNumId w:val="12"/>
  </w:num>
  <w:num w:numId="8">
    <w:abstractNumId w:val="16"/>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8433"/>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3"/>
    <w:docVar w:name="EMM" w:val="0"/>
    <w:docVar w:name="NBApplication" w:val="3"/>
    <w:docVar w:name="NBEMMDOC" w:val="0"/>
    <w:docVar w:name="Plural" w:val="3"/>
  </w:docVars>
  <w:rsids>
    <w:rsidRoot w:val="00B34B1B"/>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80ECE"/>
    <w:rsid w:val="0009057B"/>
    <w:rsid w:val="000925AD"/>
    <w:rsid w:val="000A20EB"/>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11B0C"/>
    <w:rsid w:val="00117CD2"/>
    <w:rsid w:val="00120D6C"/>
    <w:rsid w:val="001257EC"/>
    <w:rsid w:val="00133D33"/>
    <w:rsid w:val="00134D64"/>
    <w:rsid w:val="00135A30"/>
    <w:rsid w:val="0013612C"/>
    <w:rsid w:val="00136E02"/>
    <w:rsid w:val="00137FF6"/>
    <w:rsid w:val="00141650"/>
    <w:rsid w:val="001625AD"/>
    <w:rsid w:val="00162967"/>
    <w:rsid w:val="00162A12"/>
    <w:rsid w:val="00166530"/>
    <w:rsid w:val="00181508"/>
    <w:rsid w:val="001832BD"/>
    <w:rsid w:val="001943B5"/>
    <w:rsid w:val="00194C5B"/>
    <w:rsid w:val="00195134"/>
    <w:rsid w:val="001A145B"/>
    <w:rsid w:val="001A2684"/>
    <w:rsid w:val="001A674C"/>
    <w:rsid w:val="001B3B24"/>
    <w:rsid w:val="001B5C19"/>
    <w:rsid w:val="001C0F98"/>
    <w:rsid w:val="001C2A42"/>
    <w:rsid w:val="001C2B5C"/>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2AF4"/>
    <w:rsid w:val="002532C5"/>
    <w:rsid w:val="002546AE"/>
    <w:rsid w:val="00256F45"/>
    <w:rsid w:val="00260C03"/>
    <w:rsid w:val="0026540E"/>
    <w:rsid w:val="00275123"/>
    <w:rsid w:val="00282240"/>
    <w:rsid w:val="002948AD"/>
    <w:rsid w:val="0029739C"/>
    <w:rsid w:val="002A01CC"/>
    <w:rsid w:val="002A61B1"/>
    <w:rsid w:val="002A663C"/>
    <w:rsid w:val="002B444B"/>
    <w:rsid w:val="002B5887"/>
    <w:rsid w:val="002B7E83"/>
    <w:rsid w:val="002C0E27"/>
    <w:rsid w:val="002C3040"/>
    <w:rsid w:val="002D022D"/>
    <w:rsid w:val="002D24BB"/>
    <w:rsid w:val="002F29AA"/>
    <w:rsid w:val="002F2AF7"/>
    <w:rsid w:val="002F7E1C"/>
    <w:rsid w:val="00301A75"/>
    <w:rsid w:val="00302F70"/>
    <w:rsid w:val="0030336F"/>
    <w:rsid w:val="0030375E"/>
    <w:rsid w:val="0030660C"/>
    <w:rsid w:val="00312A30"/>
    <w:rsid w:val="00316323"/>
    <w:rsid w:val="00320F72"/>
    <w:rsid w:val="0032463E"/>
    <w:rsid w:val="00326224"/>
    <w:rsid w:val="00337EE4"/>
    <w:rsid w:val="00340FFD"/>
    <w:rsid w:val="003461CA"/>
    <w:rsid w:val="003471AF"/>
    <w:rsid w:val="003506B1"/>
    <w:rsid w:val="00356AC7"/>
    <w:rsid w:val="003609FA"/>
    <w:rsid w:val="00361D45"/>
    <w:rsid w:val="00367B4F"/>
    <w:rsid w:val="003710C8"/>
    <w:rsid w:val="003722CE"/>
    <w:rsid w:val="003750BE"/>
    <w:rsid w:val="00387B9D"/>
    <w:rsid w:val="0039364F"/>
    <w:rsid w:val="00396686"/>
    <w:rsid w:val="0039778E"/>
    <w:rsid w:val="003A37B8"/>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23E96"/>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3E5F"/>
    <w:rsid w:val="00485FF9"/>
    <w:rsid w:val="004907F0"/>
    <w:rsid w:val="0049140B"/>
    <w:rsid w:val="004923A5"/>
    <w:rsid w:val="00496197"/>
    <w:rsid w:val="00496BFB"/>
    <w:rsid w:val="004A15C7"/>
    <w:rsid w:val="004B013B"/>
    <w:rsid w:val="004B112B"/>
    <w:rsid w:val="004C01E4"/>
    <w:rsid w:val="004C086C"/>
    <w:rsid w:val="004C1A3F"/>
    <w:rsid w:val="004C1F56"/>
    <w:rsid w:val="004C27BC"/>
    <w:rsid w:val="004D15F3"/>
    <w:rsid w:val="004D5311"/>
    <w:rsid w:val="004D5DCC"/>
    <w:rsid w:val="004E22F1"/>
    <w:rsid w:val="004F10AF"/>
    <w:rsid w:val="004F11A4"/>
    <w:rsid w:val="004F2389"/>
    <w:rsid w:val="004F304D"/>
    <w:rsid w:val="004F61BE"/>
    <w:rsid w:val="004F66B1"/>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92772"/>
    <w:rsid w:val="00592C8D"/>
    <w:rsid w:val="0059574A"/>
    <w:rsid w:val="005A1B9B"/>
    <w:rsid w:val="005A6751"/>
    <w:rsid w:val="005B092E"/>
    <w:rsid w:val="005B152C"/>
    <w:rsid w:val="005B1EE0"/>
    <w:rsid w:val="005B2B24"/>
    <w:rsid w:val="005B4425"/>
    <w:rsid w:val="005B4B94"/>
    <w:rsid w:val="005C353F"/>
    <w:rsid w:val="005C3EE8"/>
    <w:rsid w:val="005D34F9"/>
    <w:rsid w:val="005D4190"/>
    <w:rsid w:val="005D67A3"/>
    <w:rsid w:val="005E2988"/>
    <w:rsid w:val="005E3085"/>
    <w:rsid w:val="005F51E1"/>
    <w:rsid w:val="00611C80"/>
    <w:rsid w:val="00613B21"/>
    <w:rsid w:val="00620692"/>
    <w:rsid w:val="006242CA"/>
    <w:rsid w:val="00627507"/>
    <w:rsid w:val="00633717"/>
    <w:rsid w:val="006344E1"/>
    <w:rsid w:val="006361FD"/>
    <w:rsid w:val="00637C5F"/>
    <w:rsid w:val="006520EA"/>
    <w:rsid w:val="006545C4"/>
    <w:rsid w:val="00654B7E"/>
    <w:rsid w:val="00661971"/>
    <w:rsid w:val="00661CE8"/>
    <w:rsid w:val="006623D9"/>
    <w:rsid w:val="00662882"/>
    <w:rsid w:val="0066550C"/>
    <w:rsid w:val="006716F2"/>
    <w:rsid w:val="00682BF2"/>
    <w:rsid w:val="006859CE"/>
    <w:rsid w:val="00691270"/>
    <w:rsid w:val="00694BA8"/>
    <w:rsid w:val="006A037C"/>
    <w:rsid w:val="006A36F4"/>
    <w:rsid w:val="006A406F"/>
    <w:rsid w:val="006A4499"/>
    <w:rsid w:val="006A5D3A"/>
    <w:rsid w:val="006C23D4"/>
    <w:rsid w:val="006C475E"/>
    <w:rsid w:val="006C7BB0"/>
    <w:rsid w:val="006D3237"/>
    <w:rsid w:val="006E2E37"/>
    <w:rsid w:val="006E3CF1"/>
    <w:rsid w:val="006E7E80"/>
    <w:rsid w:val="006F48CA"/>
    <w:rsid w:val="006F64DD"/>
    <w:rsid w:val="00715127"/>
    <w:rsid w:val="00715E8E"/>
    <w:rsid w:val="007172B0"/>
    <w:rsid w:val="00723580"/>
    <w:rsid w:val="00723755"/>
    <w:rsid w:val="00724AE2"/>
    <w:rsid w:val="00730B5C"/>
    <w:rsid w:val="0073136C"/>
    <w:rsid w:val="00731F0F"/>
    <w:rsid w:val="00733250"/>
    <w:rsid w:val="00735951"/>
    <w:rsid w:val="00741404"/>
    <w:rsid w:val="007449E5"/>
    <w:rsid w:val="00747FF0"/>
    <w:rsid w:val="007612E2"/>
    <w:rsid w:val="00764D4E"/>
    <w:rsid w:val="00765A1F"/>
    <w:rsid w:val="00775B6D"/>
    <w:rsid w:val="00776D68"/>
    <w:rsid w:val="00777A4A"/>
    <w:rsid w:val="007850E1"/>
    <w:rsid w:val="007850EE"/>
    <w:rsid w:val="00785B95"/>
    <w:rsid w:val="00790AAD"/>
    <w:rsid w:val="00790E96"/>
    <w:rsid w:val="00793366"/>
    <w:rsid w:val="007971FF"/>
    <w:rsid w:val="007A4070"/>
    <w:rsid w:val="007A716F"/>
    <w:rsid w:val="007B270A"/>
    <w:rsid w:val="007C0695"/>
    <w:rsid w:val="007C419A"/>
    <w:rsid w:val="007C4CC8"/>
    <w:rsid w:val="007C5426"/>
    <w:rsid w:val="007C5798"/>
    <w:rsid w:val="007D4832"/>
    <w:rsid w:val="007E21B2"/>
    <w:rsid w:val="007E2C4E"/>
    <w:rsid w:val="007F1905"/>
    <w:rsid w:val="00801300"/>
    <w:rsid w:val="00802C64"/>
    <w:rsid w:val="0080523A"/>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91107"/>
    <w:rsid w:val="00893576"/>
    <w:rsid w:val="00893E73"/>
    <w:rsid w:val="00893F30"/>
    <w:rsid w:val="00895F5B"/>
    <w:rsid w:val="008B02DC"/>
    <w:rsid w:val="008B2698"/>
    <w:rsid w:val="008B57CE"/>
    <w:rsid w:val="008C26DE"/>
    <w:rsid w:val="008D2225"/>
    <w:rsid w:val="008D4752"/>
    <w:rsid w:val="008E271C"/>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4834"/>
    <w:rsid w:val="00947AFB"/>
    <w:rsid w:val="00951D7D"/>
    <w:rsid w:val="00954AD6"/>
    <w:rsid w:val="009630C7"/>
    <w:rsid w:val="00972B55"/>
    <w:rsid w:val="009743B7"/>
    <w:rsid w:val="00975039"/>
    <w:rsid w:val="00977227"/>
    <w:rsid w:val="0098228B"/>
    <w:rsid w:val="009828DA"/>
    <w:rsid w:val="00985BAB"/>
    <w:rsid w:val="009A149C"/>
    <w:rsid w:val="009A171A"/>
    <w:rsid w:val="009A7FF1"/>
    <w:rsid w:val="009B1B5F"/>
    <w:rsid w:val="009B6673"/>
    <w:rsid w:val="009C191B"/>
    <w:rsid w:val="009C2BD6"/>
    <w:rsid w:val="009D2F52"/>
    <w:rsid w:val="009E16D2"/>
    <w:rsid w:val="009E1F32"/>
    <w:rsid w:val="009E776C"/>
    <w:rsid w:val="00A00672"/>
    <w:rsid w:val="00A01A2D"/>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5785"/>
    <w:rsid w:val="00A8094B"/>
    <w:rsid w:val="00A82359"/>
    <w:rsid w:val="00A865D2"/>
    <w:rsid w:val="00A94C20"/>
    <w:rsid w:val="00AA227F"/>
    <w:rsid w:val="00AA3BC7"/>
    <w:rsid w:val="00AA754A"/>
    <w:rsid w:val="00AB099E"/>
    <w:rsid w:val="00AB4328"/>
    <w:rsid w:val="00AB5628"/>
    <w:rsid w:val="00AB5D2E"/>
    <w:rsid w:val="00AC00C2"/>
    <w:rsid w:val="00AC5872"/>
    <w:rsid w:val="00AD2473"/>
    <w:rsid w:val="00AE0A2E"/>
    <w:rsid w:val="00AE354C"/>
    <w:rsid w:val="00AF4B07"/>
    <w:rsid w:val="00AF6186"/>
    <w:rsid w:val="00AF7A3A"/>
    <w:rsid w:val="00B009F4"/>
    <w:rsid w:val="00B160DB"/>
    <w:rsid w:val="00B20836"/>
    <w:rsid w:val="00B235BB"/>
    <w:rsid w:val="00B25320"/>
    <w:rsid w:val="00B25943"/>
    <w:rsid w:val="00B25D3B"/>
    <w:rsid w:val="00B27A44"/>
    <w:rsid w:val="00B30BBF"/>
    <w:rsid w:val="00B33C03"/>
    <w:rsid w:val="00B34B1B"/>
    <w:rsid w:val="00B44E56"/>
    <w:rsid w:val="00B46543"/>
    <w:rsid w:val="00B47D33"/>
    <w:rsid w:val="00B52BE0"/>
    <w:rsid w:val="00B54133"/>
    <w:rsid w:val="00B63A84"/>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5CA3"/>
    <w:rsid w:val="00BB68EA"/>
    <w:rsid w:val="00BC1C27"/>
    <w:rsid w:val="00BC1F03"/>
    <w:rsid w:val="00BC6BBF"/>
    <w:rsid w:val="00BD1572"/>
    <w:rsid w:val="00BE14E3"/>
    <w:rsid w:val="00BE3774"/>
    <w:rsid w:val="00BE41E5"/>
    <w:rsid w:val="00BF4109"/>
    <w:rsid w:val="00BF4B9C"/>
    <w:rsid w:val="00BF4CC3"/>
    <w:rsid w:val="00C00E59"/>
    <w:rsid w:val="00C054C7"/>
    <w:rsid w:val="00C057B5"/>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39FE"/>
    <w:rsid w:val="00CA4BDA"/>
    <w:rsid w:val="00CA7C61"/>
    <w:rsid w:val="00CB1F66"/>
    <w:rsid w:val="00CB2951"/>
    <w:rsid w:val="00CB791A"/>
    <w:rsid w:val="00CD282B"/>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75F"/>
    <w:rsid w:val="00D44C2E"/>
    <w:rsid w:val="00D45414"/>
    <w:rsid w:val="00D54FF1"/>
    <w:rsid w:val="00D55E2C"/>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68C6"/>
    <w:rsid w:val="00E07DA1"/>
    <w:rsid w:val="00E123CB"/>
    <w:rsid w:val="00E20E13"/>
    <w:rsid w:val="00E21DBC"/>
    <w:rsid w:val="00E275D7"/>
    <w:rsid w:val="00E27DBE"/>
    <w:rsid w:val="00E32AB1"/>
    <w:rsid w:val="00E3589B"/>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5EFC"/>
    <w:rsid w:val="00F266A2"/>
    <w:rsid w:val="00F27D13"/>
    <w:rsid w:val="00F32269"/>
    <w:rsid w:val="00F35B60"/>
    <w:rsid w:val="00F56A6F"/>
    <w:rsid w:val="00F5709C"/>
    <w:rsid w:val="00F626DA"/>
    <w:rsid w:val="00F64EF1"/>
    <w:rsid w:val="00F659F3"/>
    <w:rsid w:val="00F83589"/>
    <w:rsid w:val="00F8765F"/>
    <w:rsid w:val="00F90767"/>
    <w:rsid w:val="00F912E4"/>
    <w:rsid w:val="00F94531"/>
    <w:rsid w:val="00F9588E"/>
    <w:rsid w:val="00FA685B"/>
    <w:rsid w:val="00FB0C01"/>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D00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CB791A"/>
    <w:rPr>
      <w:sz w:val="24"/>
      <w:szCs w:val="24"/>
      <w:lang w:val="fr-FR"/>
    </w:rPr>
  </w:style>
  <w:style w:type="paragraph" w:styleId="Heading1">
    <w:name w:val="heading 1"/>
    <w:basedOn w:val="Normal"/>
    <w:next w:val="Normal"/>
    <w:link w:val="Heading1Char"/>
    <w:uiPriority w:val="98"/>
    <w:semiHidden/>
    <w:rsid w:val="006A4499"/>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6A4499"/>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6A4499"/>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6A4499"/>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6A4499"/>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6A4499"/>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6A4499"/>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6A4499"/>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6A4499"/>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6A4499"/>
    <w:rPr>
      <w:rFonts w:ascii="Tahoma" w:hAnsi="Tahoma" w:cs="Tahoma"/>
      <w:sz w:val="16"/>
      <w:szCs w:val="16"/>
    </w:rPr>
  </w:style>
  <w:style w:type="character" w:customStyle="1" w:styleId="BalloonTextChar">
    <w:name w:val="Balloon Text Char"/>
    <w:basedOn w:val="DefaultParagraphFont"/>
    <w:link w:val="BalloonText"/>
    <w:uiPriority w:val="98"/>
    <w:semiHidden/>
    <w:rsid w:val="006A4499"/>
    <w:rPr>
      <w:rFonts w:ascii="Tahoma" w:hAnsi="Tahoma" w:cs="Tahoma"/>
      <w:sz w:val="16"/>
      <w:szCs w:val="16"/>
      <w:lang w:val="fr-FR"/>
    </w:rPr>
  </w:style>
  <w:style w:type="character" w:styleId="BookTitle">
    <w:name w:val="Book Title"/>
    <w:uiPriority w:val="98"/>
    <w:semiHidden/>
    <w:qFormat/>
    <w:rsid w:val="006A4499"/>
    <w:rPr>
      <w:i/>
      <w:iCs/>
      <w:smallCaps/>
      <w:spacing w:val="5"/>
    </w:rPr>
  </w:style>
  <w:style w:type="paragraph" w:customStyle="1" w:styleId="JuHeader">
    <w:name w:val="Ju_Header"/>
    <w:aliases w:val="_Header"/>
    <w:basedOn w:val="Header"/>
    <w:uiPriority w:val="29"/>
    <w:qFormat/>
    <w:rsid w:val="006A4499"/>
    <w:pPr>
      <w:tabs>
        <w:tab w:val="clear" w:pos="4536"/>
        <w:tab w:val="clear" w:pos="9072"/>
      </w:tabs>
      <w:jc w:val="center"/>
    </w:pPr>
    <w:rPr>
      <w:sz w:val="18"/>
    </w:rPr>
  </w:style>
  <w:style w:type="paragraph" w:customStyle="1" w:styleId="DummyStyle">
    <w:name w:val="Dummy_Style"/>
    <w:aliases w:val="_Dummy"/>
    <w:basedOn w:val="Normal"/>
    <w:semiHidden/>
    <w:qFormat/>
    <w:rsid w:val="006A4499"/>
    <w:rPr>
      <w:color w:val="00B050"/>
      <w:sz w:val="22"/>
    </w:rPr>
  </w:style>
  <w:style w:type="character" w:styleId="Strong">
    <w:name w:val="Strong"/>
    <w:uiPriority w:val="98"/>
    <w:semiHidden/>
    <w:qFormat/>
    <w:rsid w:val="006A4499"/>
    <w:rPr>
      <w:b/>
      <w:bCs/>
    </w:rPr>
  </w:style>
  <w:style w:type="paragraph" w:styleId="NoSpacing">
    <w:name w:val="No Spacing"/>
    <w:basedOn w:val="Normal"/>
    <w:link w:val="NoSpacingChar"/>
    <w:uiPriority w:val="98"/>
    <w:semiHidden/>
    <w:qFormat/>
    <w:rsid w:val="006A4499"/>
  </w:style>
  <w:style w:type="character" w:customStyle="1" w:styleId="NoSpacingChar">
    <w:name w:val="No Spacing Char"/>
    <w:basedOn w:val="DefaultParagraphFont"/>
    <w:link w:val="NoSpacing"/>
    <w:uiPriority w:val="98"/>
    <w:semiHidden/>
    <w:rsid w:val="006A4499"/>
    <w:rPr>
      <w:sz w:val="24"/>
      <w:szCs w:val="24"/>
      <w:lang w:val="fr-FR"/>
    </w:rPr>
  </w:style>
  <w:style w:type="paragraph" w:customStyle="1" w:styleId="JuQuot">
    <w:name w:val="Ju_Quot"/>
    <w:aliases w:val="_Quote"/>
    <w:basedOn w:val="NormalJustified"/>
    <w:uiPriority w:val="20"/>
    <w:qFormat/>
    <w:rsid w:val="006A4499"/>
    <w:pPr>
      <w:spacing w:before="120" w:after="120"/>
      <w:ind w:left="425" w:firstLine="142"/>
    </w:pPr>
    <w:rPr>
      <w:sz w:val="20"/>
    </w:rPr>
  </w:style>
  <w:style w:type="paragraph" w:customStyle="1" w:styleId="JuList">
    <w:name w:val="Ju_List"/>
    <w:aliases w:val="_List_1"/>
    <w:basedOn w:val="NormalJustified"/>
    <w:uiPriority w:val="23"/>
    <w:qFormat/>
    <w:rsid w:val="006A4499"/>
    <w:pPr>
      <w:numPr>
        <w:numId w:val="7"/>
      </w:numPr>
      <w:spacing w:before="280" w:after="60"/>
    </w:pPr>
  </w:style>
  <w:style w:type="paragraph" w:customStyle="1" w:styleId="JuLista">
    <w:name w:val="Ju_List_a"/>
    <w:aliases w:val="_List_2"/>
    <w:basedOn w:val="NormalJustified"/>
    <w:uiPriority w:val="23"/>
    <w:rsid w:val="006A4499"/>
    <w:pPr>
      <w:numPr>
        <w:ilvl w:val="1"/>
        <w:numId w:val="7"/>
      </w:numPr>
    </w:pPr>
  </w:style>
  <w:style w:type="paragraph" w:customStyle="1" w:styleId="JuListi">
    <w:name w:val="Ju_List_i"/>
    <w:aliases w:val="_List_3"/>
    <w:basedOn w:val="NormalJustified"/>
    <w:uiPriority w:val="23"/>
    <w:rsid w:val="006A4499"/>
    <w:pPr>
      <w:numPr>
        <w:ilvl w:val="2"/>
        <w:numId w:val="7"/>
      </w:numPr>
    </w:pPr>
  </w:style>
  <w:style w:type="paragraph" w:customStyle="1" w:styleId="DecHTitle">
    <w:name w:val="Dec_H_Title"/>
    <w:aliases w:val="_Title_1"/>
    <w:basedOn w:val="JuPara"/>
    <w:next w:val="JuPara"/>
    <w:uiPriority w:val="38"/>
    <w:qFormat/>
    <w:rsid w:val="006A4499"/>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
    <w:next w:val="JuQuot"/>
    <w:uiPriority w:val="19"/>
    <w:qFormat/>
    <w:rsid w:val="006A4499"/>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6A4499"/>
    <w:pPr>
      <w:keepNext/>
      <w:keepLines/>
      <w:tabs>
        <w:tab w:val="right" w:pos="7938"/>
      </w:tabs>
      <w:ind w:firstLine="0"/>
      <w:jc w:val="center"/>
    </w:pPr>
    <w:rPr>
      <w:i/>
    </w:rPr>
  </w:style>
  <w:style w:type="numbering" w:customStyle="1" w:styleId="ECHRA1StyleBulletedSquare">
    <w:name w:val="ECHR_A1_Style_Bulleted_Square"/>
    <w:basedOn w:val="NoList"/>
    <w:rsid w:val="006A4499"/>
    <w:pPr>
      <w:numPr>
        <w:numId w:val="6"/>
      </w:numPr>
    </w:pPr>
  </w:style>
  <w:style w:type="paragraph" w:customStyle="1" w:styleId="JuHHead">
    <w:name w:val="Ju_H_Head"/>
    <w:aliases w:val="_Head_1"/>
    <w:basedOn w:val="Heading1"/>
    <w:next w:val="JuPara"/>
    <w:uiPriority w:val="17"/>
    <w:qFormat/>
    <w:rsid w:val="006A4499"/>
    <w:pPr>
      <w:keepNext/>
      <w:keepLines/>
      <w:numPr>
        <w:numId w:val="2"/>
      </w:numPr>
      <w:spacing w:before="100" w:beforeAutospacing="1" w:after="240"/>
      <w:contextualSpacing w:val="0"/>
      <w:jc w:val="both"/>
    </w:pPr>
    <w:rPr>
      <w:b w:val="0"/>
      <w:caps/>
      <w:color w:val="auto"/>
    </w:rPr>
  </w:style>
  <w:style w:type="numbering" w:customStyle="1" w:styleId="ECHRA1StyleList">
    <w:name w:val="ECHR_A1_Style_List"/>
    <w:basedOn w:val="NoList"/>
    <w:uiPriority w:val="99"/>
    <w:rsid w:val="006A4499"/>
    <w:pPr>
      <w:numPr>
        <w:numId w:val="7"/>
      </w:numPr>
    </w:pPr>
  </w:style>
  <w:style w:type="paragraph" w:customStyle="1" w:styleId="JuSigned">
    <w:name w:val="Ju_Signed"/>
    <w:aliases w:val="_Signature"/>
    <w:basedOn w:val="Normal"/>
    <w:next w:val="JuPara"/>
    <w:uiPriority w:val="31"/>
    <w:qFormat/>
    <w:rsid w:val="006A4499"/>
    <w:pPr>
      <w:tabs>
        <w:tab w:val="center" w:pos="851"/>
        <w:tab w:val="center" w:pos="6407"/>
      </w:tabs>
      <w:spacing w:before="720"/>
    </w:pPr>
  </w:style>
  <w:style w:type="paragraph" w:styleId="Title">
    <w:name w:val="Title"/>
    <w:basedOn w:val="Normal"/>
    <w:next w:val="Normal"/>
    <w:link w:val="TitleChar"/>
    <w:uiPriority w:val="98"/>
    <w:semiHidden/>
    <w:qFormat/>
    <w:rsid w:val="006A449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6A4499"/>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oList"/>
    <w:rsid w:val="006A4499"/>
    <w:pPr>
      <w:numPr>
        <w:numId w:val="8"/>
      </w:numPr>
    </w:pPr>
  </w:style>
  <w:style w:type="table" w:customStyle="1" w:styleId="ECHRTable2019">
    <w:name w:val="ECHR_Table_2019"/>
    <w:basedOn w:val="TableNormal"/>
    <w:uiPriority w:val="99"/>
    <w:rsid w:val="006A4499"/>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A00672"/>
    <w:rPr>
      <w:sz w:val="8"/>
    </w:rPr>
  </w:style>
  <w:style w:type="paragraph" w:customStyle="1" w:styleId="JuCourt">
    <w:name w:val="Ju_Court"/>
    <w:aliases w:val="_Court_Names"/>
    <w:basedOn w:val="Normal"/>
    <w:next w:val="Normal"/>
    <w:uiPriority w:val="32"/>
    <w:qFormat/>
    <w:rsid w:val="006A4499"/>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0"/>
    <w:qFormat/>
    <w:rsid w:val="006A4499"/>
    <w:pPr>
      <w:tabs>
        <w:tab w:val="center" w:pos="6407"/>
      </w:tabs>
      <w:spacing w:before="720"/>
      <w:jc w:val="right"/>
    </w:pPr>
  </w:style>
  <w:style w:type="paragraph" w:customStyle="1" w:styleId="JuHIRoman">
    <w:name w:val="Ju_H_I_Roman"/>
    <w:aliases w:val="_Head_2"/>
    <w:basedOn w:val="Heading2"/>
    <w:next w:val="JuPara"/>
    <w:uiPriority w:val="17"/>
    <w:qFormat/>
    <w:rsid w:val="006A4499"/>
    <w:pPr>
      <w:keepNext/>
      <w:keepLines/>
      <w:numPr>
        <w:ilvl w:val="1"/>
        <w:numId w:val="2"/>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6A4499"/>
    <w:pPr>
      <w:keepNext/>
      <w:keepLines/>
      <w:numPr>
        <w:ilvl w:val="2"/>
        <w:numId w:val="2"/>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6A4499"/>
    <w:pPr>
      <w:keepNext/>
      <w:keepLines/>
      <w:numPr>
        <w:ilvl w:val="3"/>
        <w:numId w:val="2"/>
      </w:numPr>
      <w:spacing w:before="100" w:beforeAutospacing="1" w:after="120"/>
      <w:jc w:val="both"/>
    </w:pPr>
    <w:rPr>
      <w:b w:val="0"/>
      <w:color w:val="auto"/>
      <w:sz w:val="24"/>
    </w:rPr>
  </w:style>
  <w:style w:type="paragraph" w:styleId="Header">
    <w:name w:val="header"/>
    <w:basedOn w:val="Normal"/>
    <w:link w:val="HeaderChar"/>
    <w:uiPriority w:val="98"/>
    <w:semiHidden/>
    <w:rsid w:val="006A4499"/>
    <w:pPr>
      <w:tabs>
        <w:tab w:val="center" w:pos="4536"/>
        <w:tab w:val="right" w:pos="9072"/>
      </w:tabs>
    </w:pPr>
  </w:style>
  <w:style w:type="character" w:customStyle="1" w:styleId="HeaderChar">
    <w:name w:val="Header Char"/>
    <w:basedOn w:val="DefaultParagraphFont"/>
    <w:link w:val="Header"/>
    <w:uiPriority w:val="98"/>
    <w:semiHidden/>
    <w:rsid w:val="006A4499"/>
    <w:rPr>
      <w:sz w:val="24"/>
      <w:szCs w:val="24"/>
      <w:lang w:val="fr-FR"/>
    </w:rPr>
  </w:style>
  <w:style w:type="character" w:customStyle="1" w:styleId="Heading1Char">
    <w:name w:val="Heading 1 Char"/>
    <w:basedOn w:val="DefaultParagraphFont"/>
    <w:link w:val="Heading1"/>
    <w:uiPriority w:val="98"/>
    <w:semiHidden/>
    <w:rsid w:val="006A4499"/>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Heading5"/>
    <w:next w:val="JuPara"/>
    <w:uiPriority w:val="17"/>
    <w:rsid w:val="006A4499"/>
    <w:pPr>
      <w:keepNext/>
      <w:keepLines/>
      <w:numPr>
        <w:ilvl w:val="4"/>
        <w:numId w:val="2"/>
      </w:numPr>
      <w:spacing w:before="100" w:beforeAutospacing="1" w:after="120"/>
      <w:jc w:val="both"/>
    </w:pPr>
    <w:rPr>
      <w:color w:val="auto"/>
      <w:sz w:val="20"/>
    </w:rPr>
  </w:style>
  <w:style w:type="paragraph" w:customStyle="1" w:styleId="JuHi">
    <w:name w:val="Ju_H_i"/>
    <w:aliases w:val="_Head_6"/>
    <w:basedOn w:val="Heading6"/>
    <w:next w:val="JuPara"/>
    <w:uiPriority w:val="17"/>
    <w:rsid w:val="006A4499"/>
    <w:pPr>
      <w:keepNext/>
      <w:keepLines/>
      <w:numPr>
        <w:ilvl w:val="5"/>
        <w:numId w:val="2"/>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6A4499"/>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Heading7"/>
    <w:next w:val="JuPara"/>
    <w:uiPriority w:val="17"/>
    <w:rsid w:val="006A4499"/>
    <w:pPr>
      <w:keepNext/>
      <w:keepLines/>
      <w:numPr>
        <w:ilvl w:val="6"/>
        <w:numId w:val="2"/>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6A4499"/>
    <w:pPr>
      <w:keepNext/>
      <w:keepLines/>
      <w:numPr>
        <w:ilvl w:val="7"/>
        <w:numId w:val="2"/>
      </w:numPr>
      <w:spacing w:before="100" w:beforeAutospacing="1" w:after="120"/>
      <w:jc w:val="both"/>
    </w:pPr>
    <w:rPr>
      <w:i/>
    </w:rPr>
  </w:style>
  <w:style w:type="character" w:customStyle="1" w:styleId="Heading3Char">
    <w:name w:val="Heading 3 Char"/>
    <w:basedOn w:val="DefaultParagraphFont"/>
    <w:link w:val="Heading3"/>
    <w:uiPriority w:val="98"/>
    <w:semiHidden/>
    <w:rsid w:val="006A4499"/>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link w:val="ECHRParaSpacedChar"/>
    <w:uiPriority w:val="5"/>
    <w:qFormat/>
    <w:rsid w:val="006A4499"/>
    <w:pPr>
      <w:keepNext/>
      <w:keepLines/>
      <w:spacing w:before="240" w:after="240"/>
      <w:ind w:firstLine="284"/>
    </w:pPr>
  </w:style>
  <w:style w:type="paragraph" w:customStyle="1" w:styleId="JuJudges">
    <w:name w:val="Ju_Judges"/>
    <w:aliases w:val="_Judges"/>
    <w:basedOn w:val="Normal"/>
    <w:uiPriority w:val="32"/>
    <w:qFormat/>
    <w:rsid w:val="006A4499"/>
    <w:pPr>
      <w:tabs>
        <w:tab w:val="left" w:pos="567"/>
        <w:tab w:val="left" w:pos="1134"/>
      </w:tabs>
    </w:pPr>
  </w:style>
  <w:style w:type="character" w:customStyle="1" w:styleId="Heading4Char">
    <w:name w:val="Heading 4 Char"/>
    <w:basedOn w:val="DefaultParagraphFont"/>
    <w:link w:val="Heading4"/>
    <w:uiPriority w:val="98"/>
    <w:semiHidden/>
    <w:rsid w:val="006A4499"/>
    <w:rPr>
      <w:rFonts w:asciiTheme="majorHAnsi" w:eastAsiaTheme="majorEastAsia" w:hAnsiTheme="majorHAnsi" w:cstheme="majorBidi"/>
      <w:b/>
      <w:bCs/>
      <w:i/>
      <w:iCs/>
      <w:color w:val="777777"/>
      <w:lang w:val="fr-FR"/>
    </w:rPr>
  </w:style>
  <w:style w:type="character" w:customStyle="1" w:styleId="JuITMark">
    <w:name w:val="Ju_ITMark"/>
    <w:aliases w:val="_ITMark"/>
    <w:basedOn w:val="DefaultParagraphFont"/>
    <w:uiPriority w:val="54"/>
    <w:qFormat/>
    <w:rsid w:val="006A4499"/>
    <w:rPr>
      <w:vanish w:val="0"/>
      <w:color w:val="auto"/>
      <w:sz w:val="14"/>
      <w:bdr w:val="none" w:sz="0" w:space="0" w:color="auto"/>
      <w:shd w:val="clear" w:color="auto" w:fill="BEE5FF" w:themeFill="background1" w:themeFillTint="33"/>
    </w:rPr>
  </w:style>
  <w:style w:type="character" w:customStyle="1" w:styleId="Heading5Char">
    <w:name w:val="Heading 5 Char"/>
    <w:basedOn w:val="DefaultParagraphFont"/>
    <w:link w:val="Heading5"/>
    <w:uiPriority w:val="98"/>
    <w:semiHidden/>
    <w:rsid w:val="006A4499"/>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6A4499"/>
    <w:rPr>
      <w:caps w:val="0"/>
      <w:smallCaps/>
    </w:rPr>
  </w:style>
  <w:style w:type="paragraph" w:customStyle="1" w:styleId="NormalJustified">
    <w:name w:val="Normal_Justified"/>
    <w:basedOn w:val="Normal"/>
    <w:semiHidden/>
    <w:rsid w:val="006A4499"/>
    <w:pPr>
      <w:jc w:val="both"/>
    </w:pPr>
  </w:style>
  <w:style w:type="character" w:styleId="SubtleEmphasis">
    <w:name w:val="Subtle Emphasis"/>
    <w:uiPriority w:val="98"/>
    <w:semiHidden/>
    <w:qFormat/>
    <w:rsid w:val="006A4499"/>
    <w:rPr>
      <w:i/>
      <w:iCs/>
    </w:rPr>
  </w:style>
  <w:style w:type="table" w:customStyle="1" w:styleId="ECHRTable">
    <w:name w:val="ECHR_Table"/>
    <w:basedOn w:val="TableNormal"/>
    <w:rsid w:val="006A4499"/>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6A449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6A4499"/>
    <w:rPr>
      <w:b/>
      <w:bCs/>
      <w:i/>
      <w:iCs/>
      <w:spacing w:val="10"/>
      <w:bdr w:val="none" w:sz="0" w:space="0" w:color="auto"/>
      <w:shd w:val="clear" w:color="auto" w:fill="auto"/>
    </w:rPr>
  </w:style>
  <w:style w:type="paragraph" w:styleId="Footer0">
    <w:name w:val="footer"/>
    <w:basedOn w:val="Normal"/>
    <w:link w:val="FooterChar"/>
    <w:uiPriority w:val="98"/>
    <w:semiHidden/>
    <w:rsid w:val="006A4499"/>
    <w:pPr>
      <w:tabs>
        <w:tab w:val="center" w:pos="3686"/>
        <w:tab w:val="right" w:pos="7371"/>
      </w:tabs>
    </w:pPr>
  </w:style>
  <w:style w:type="character" w:customStyle="1" w:styleId="FooterChar">
    <w:name w:val="Footer Char"/>
    <w:basedOn w:val="DefaultParagraphFont"/>
    <w:link w:val="Footer0"/>
    <w:uiPriority w:val="98"/>
    <w:semiHidden/>
    <w:rsid w:val="006A4499"/>
    <w:rPr>
      <w:sz w:val="24"/>
      <w:szCs w:val="24"/>
      <w:lang w:val="fr-FR"/>
    </w:rPr>
  </w:style>
  <w:style w:type="character" w:styleId="FootnoteReference">
    <w:name w:val="footnote reference"/>
    <w:basedOn w:val="DefaultParagraphFont"/>
    <w:uiPriority w:val="98"/>
    <w:semiHidden/>
    <w:rsid w:val="006A4499"/>
    <w:rPr>
      <w:vertAlign w:val="superscript"/>
    </w:rPr>
  </w:style>
  <w:style w:type="paragraph" w:styleId="FootnoteText">
    <w:name w:val="footnote text"/>
    <w:basedOn w:val="Normal"/>
    <w:link w:val="FootnoteTextChar"/>
    <w:uiPriority w:val="98"/>
    <w:semiHidden/>
    <w:rsid w:val="006A4499"/>
    <w:rPr>
      <w:sz w:val="20"/>
      <w:szCs w:val="20"/>
    </w:rPr>
  </w:style>
  <w:style w:type="character" w:customStyle="1" w:styleId="FootnoteTextChar">
    <w:name w:val="Footnote Text Char"/>
    <w:basedOn w:val="DefaultParagraphFont"/>
    <w:link w:val="FootnoteText"/>
    <w:uiPriority w:val="98"/>
    <w:semiHidden/>
    <w:rsid w:val="006A4499"/>
    <w:rPr>
      <w:sz w:val="20"/>
      <w:szCs w:val="20"/>
      <w:lang w:val="fr-FR"/>
    </w:rPr>
  </w:style>
  <w:style w:type="character" w:customStyle="1" w:styleId="Heading6Char">
    <w:name w:val="Heading 6 Char"/>
    <w:basedOn w:val="DefaultParagraphFont"/>
    <w:link w:val="Heading6"/>
    <w:uiPriority w:val="98"/>
    <w:semiHidden/>
    <w:rsid w:val="006A4499"/>
    <w:rPr>
      <w:rFonts w:asciiTheme="majorHAnsi" w:eastAsiaTheme="majorEastAsia" w:hAnsiTheme="majorHAnsi" w:cstheme="majorBidi"/>
      <w:b/>
      <w:bCs/>
      <w:i/>
      <w:iCs/>
      <w:color w:val="7F7F7F" w:themeColor="text1" w:themeTint="80"/>
      <w:lang w:val="fr-FR" w:bidi="en-US"/>
    </w:rPr>
  </w:style>
  <w:style w:type="character" w:customStyle="1" w:styleId="Heading7Char">
    <w:name w:val="Heading 7 Char"/>
    <w:basedOn w:val="DefaultParagraphFont"/>
    <w:link w:val="Heading7"/>
    <w:uiPriority w:val="98"/>
    <w:semiHidden/>
    <w:rsid w:val="006A4499"/>
    <w:rPr>
      <w:rFonts w:asciiTheme="majorHAnsi" w:eastAsiaTheme="majorEastAsia" w:hAnsiTheme="majorHAnsi" w:cstheme="majorBidi"/>
      <w:i/>
      <w:iCs/>
      <w:lang w:val="fr-FR" w:bidi="en-US"/>
    </w:rPr>
  </w:style>
  <w:style w:type="character" w:customStyle="1" w:styleId="Heading8Char">
    <w:name w:val="Heading 8 Char"/>
    <w:basedOn w:val="DefaultParagraphFont"/>
    <w:link w:val="Heading8"/>
    <w:uiPriority w:val="98"/>
    <w:semiHidden/>
    <w:rsid w:val="006A4499"/>
    <w:rPr>
      <w:rFonts w:asciiTheme="majorHAnsi" w:eastAsiaTheme="majorEastAsia" w:hAnsiTheme="majorHAnsi" w:cstheme="majorBidi"/>
      <w:sz w:val="20"/>
      <w:szCs w:val="20"/>
      <w:lang w:val="fr-FR" w:bidi="en-US"/>
    </w:rPr>
  </w:style>
  <w:style w:type="character" w:customStyle="1" w:styleId="Heading9Char">
    <w:name w:val="Heading 9 Char"/>
    <w:basedOn w:val="DefaultParagraphFont"/>
    <w:link w:val="Heading9"/>
    <w:uiPriority w:val="98"/>
    <w:semiHidden/>
    <w:rsid w:val="006A4499"/>
    <w:rPr>
      <w:rFonts w:asciiTheme="majorHAnsi" w:eastAsiaTheme="majorEastAsia" w:hAnsiTheme="majorHAnsi" w:cstheme="majorBidi"/>
      <w:i/>
      <w:iCs/>
      <w:spacing w:val="5"/>
      <w:sz w:val="20"/>
      <w:szCs w:val="20"/>
      <w:lang w:val="fr-FR" w:bidi="en-US"/>
    </w:rPr>
  </w:style>
  <w:style w:type="character" w:styleId="Hyperlink">
    <w:name w:val="Hyperlink"/>
    <w:basedOn w:val="DefaultParagraphFont"/>
    <w:uiPriority w:val="98"/>
    <w:semiHidden/>
    <w:rsid w:val="006A4499"/>
    <w:rPr>
      <w:color w:val="0072BC" w:themeColor="hyperlink"/>
      <w:u w:val="single"/>
    </w:rPr>
  </w:style>
  <w:style w:type="character" w:styleId="IntenseEmphasis">
    <w:name w:val="Intense Emphasis"/>
    <w:uiPriority w:val="98"/>
    <w:semiHidden/>
    <w:qFormat/>
    <w:rsid w:val="006A4499"/>
    <w:rPr>
      <w:b/>
      <w:bCs/>
    </w:rPr>
  </w:style>
  <w:style w:type="paragraph" w:styleId="IntenseQuote">
    <w:name w:val="Intense Quote"/>
    <w:basedOn w:val="Normal"/>
    <w:next w:val="Normal"/>
    <w:link w:val="IntenseQuoteChar"/>
    <w:uiPriority w:val="98"/>
    <w:semiHidden/>
    <w:qFormat/>
    <w:rsid w:val="006A4499"/>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6A4499"/>
    <w:rPr>
      <w:b/>
      <w:bCs/>
      <w:i/>
      <w:iCs/>
      <w:sz w:val="24"/>
      <w:szCs w:val="24"/>
      <w:lang w:val="fr-FR" w:bidi="en-US"/>
    </w:rPr>
  </w:style>
  <w:style w:type="character" w:styleId="IntenseReference">
    <w:name w:val="Intense Reference"/>
    <w:uiPriority w:val="98"/>
    <w:semiHidden/>
    <w:qFormat/>
    <w:rsid w:val="006A4499"/>
    <w:rPr>
      <w:smallCaps/>
      <w:spacing w:val="5"/>
      <w:u w:val="single"/>
    </w:rPr>
  </w:style>
  <w:style w:type="paragraph" w:styleId="ListParagraph">
    <w:name w:val="List Paragraph"/>
    <w:basedOn w:val="Normal"/>
    <w:uiPriority w:val="98"/>
    <w:semiHidden/>
    <w:qFormat/>
    <w:rsid w:val="006A4499"/>
    <w:pPr>
      <w:ind w:left="720"/>
      <w:contextualSpacing/>
    </w:pPr>
  </w:style>
  <w:style w:type="table" w:customStyle="1" w:styleId="LtrTableAddress">
    <w:name w:val="Ltr_Table_Address"/>
    <w:aliases w:val="ECHR_Ltr_Table_Address"/>
    <w:basedOn w:val="TableNormal"/>
    <w:uiPriority w:val="99"/>
    <w:rsid w:val="006A4499"/>
    <w:rPr>
      <w:sz w:val="24"/>
      <w:szCs w:val="24"/>
    </w:rPr>
    <w:tblPr>
      <w:tblInd w:w="5103" w:type="dxa"/>
    </w:tblPr>
  </w:style>
  <w:style w:type="paragraph" w:styleId="Quote">
    <w:name w:val="Quote"/>
    <w:basedOn w:val="Normal"/>
    <w:next w:val="Normal"/>
    <w:link w:val="QuoteChar"/>
    <w:uiPriority w:val="98"/>
    <w:semiHidden/>
    <w:qFormat/>
    <w:rsid w:val="006A4499"/>
    <w:pPr>
      <w:spacing w:before="200"/>
      <w:ind w:left="360" w:right="360"/>
    </w:pPr>
    <w:rPr>
      <w:i/>
      <w:iCs/>
      <w:lang w:bidi="en-US"/>
    </w:rPr>
  </w:style>
  <w:style w:type="character" w:customStyle="1" w:styleId="QuoteChar">
    <w:name w:val="Quote Char"/>
    <w:basedOn w:val="DefaultParagraphFont"/>
    <w:link w:val="Quote"/>
    <w:uiPriority w:val="98"/>
    <w:semiHidden/>
    <w:rsid w:val="006A4499"/>
    <w:rPr>
      <w:i/>
      <w:iCs/>
      <w:sz w:val="24"/>
      <w:szCs w:val="24"/>
      <w:lang w:val="fr-FR" w:bidi="en-US"/>
    </w:rPr>
  </w:style>
  <w:style w:type="character" w:styleId="SubtleReference">
    <w:name w:val="Subtle Reference"/>
    <w:uiPriority w:val="98"/>
    <w:semiHidden/>
    <w:qFormat/>
    <w:rsid w:val="006A4499"/>
    <w:rPr>
      <w:smallCaps/>
    </w:rPr>
  </w:style>
  <w:style w:type="table" w:styleId="TableGrid">
    <w:name w:val="Table Grid"/>
    <w:basedOn w:val="TableNormal"/>
    <w:uiPriority w:val="59"/>
    <w:semiHidden/>
    <w:rsid w:val="006A4499"/>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6A4499"/>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6A4499"/>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6A4499"/>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6A4499"/>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6A4499"/>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6A4499"/>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6A4499"/>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6A4499"/>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6A4499"/>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6A4499"/>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6A4499"/>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6A4499"/>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6A4499"/>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6A4499"/>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6A4499"/>
    <w:rPr>
      <w:rFonts w:asciiTheme="majorHAnsi" w:eastAsiaTheme="majorEastAsia" w:hAnsiTheme="majorHAnsi" w:cstheme="majorBidi"/>
      <w:i/>
      <w:iCs/>
      <w:spacing w:val="13"/>
      <w:sz w:val="24"/>
      <w:szCs w:val="24"/>
      <w:lang w:val="fr-FR" w:bidi="en-US"/>
    </w:rPr>
  </w:style>
  <w:style w:type="numbering" w:styleId="111111">
    <w:name w:val="Outline List 2"/>
    <w:basedOn w:val="NoList"/>
    <w:uiPriority w:val="99"/>
    <w:semiHidden/>
    <w:unhideWhenUsed/>
    <w:rsid w:val="006A4499"/>
    <w:pPr>
      <w:numPr>
        <w:numId w:val="3"/>
      </w:numPr>
    </w:pPr>
  </w:style>
  <w:style w:type="paragraph" w:customStyle="1" w:styleId="JuPara">
    <w:name w:val="Ju_Para"/>
    <w:aliases w:val="_Para"/>
    <w:basedOn w:val="NormalJustified"/>
    <w:link w:val="JuParaChar"/>
    <w:uiPriority w:val="4"/>
    <w:qFormat/>
    <w:rsid w:val="006A4499"/>
    <w:pPr>
      <w:ind w:firstLine="284"/>
    </w:pPr>
  </w:style>
  <w:style w:type="numbering" w:styleId="1ai">
    <w:name w:val="Outline List 1"/>
    <w:basedOn w:val="NoList"/>
    <w:uiPriority w:val="99"/>
    <w:semiHidden/>
    <w:unhideWhenUsed/>
    <w:rsid w:val="006A4499"/>
    <w:pPr>
      <w:numPr>
        <w:numId w:val="4"/>
      </w:numPr>
    </w:pPr>
  </w:style>
  <w:style w:type="table" w:customStyle="1" w:styleId="ECHRTableSimpleBox">
    <w:name w:val="ECHR_Table_Simple_Box"/>
    <w:basedOn w:val="TableNormal"/>
    <w:uiPriority w:val="99"/>
    <w:rsid w:val="006A4499"/>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6A4499"/>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6A4499"/>
    <w:pPr>
      <w:numPr>
        <w:numId w:val="5"/>
      </w:numPr>
    </w:pPr>
  </w:style>
  <w:style w:type="table" w:customStyle="1" w:styleId="ECHRTableForInternalUse">
    <w:name w:val="ECHR_Table_For_Internal_Use"/>
    <w:basedOn w:val="TableNormal"/>
    <w:uiPriority w:val="99"/>
    <w:rsid w:val="006A4499"/>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6A4499"/>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6A4499"/>
  </w:style>
  <w:style w:type="paragraph" w:styleId="BlockText">
    <w:name w:val="Block Text"/>
    <w:basedOn w:val="Normal"/>
    <w:uiPriority w:val="98"/>
    <w:semiHidden/>
    <w:rsid w:val="006A449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6A4499"/>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6A4499"/>
    <w:pPr>
      <w:spacing w:after="120"/>
    </w:pPr>
  </w:style>
  <w:style w:type="character" w:customStyle="1" w:styleId="BodyTextChar">
    <w:name w:val="Body Text Char"/>
    <w:basedOn w:val="DefaultParagraphFont"/>
    <w:link w:val="BodyText"/>
    <w:uiPriority w:val="98"/>
    <w:semiHidden/>
    <w:rsid w:val="006A4499"/>
    <w:rPr>
      <w:sz w:val="24"/>
      <w:szCs w:val="24"/>
      <w:lang w:val="fr-FR"/>
    </w:rPr>
  </w:style>
  <w:style w:type="table" w:customStyle="1" w:styleId="ECHRTableOddBanded">
    <w:name w:val="ECHR_Table_Odd_Banded"/>
    <w:basedOn w:val="TableNormal"/>
    <w:uiPriority w:val="99"/>
    <w:rsid w:val="006A4499"/>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6A4499"/>
    <w:pPr>
      <w:spacing w:after="120" w:line="480" w:lineRule="auto"/>
    </w:pPr>
  </w:style>
  <w:style w:type="table" w:customStyle="1" w:styleId="ECHRHeaderTableReduced">
    <w:name w:val="ECHR_Header_Table_Reduced"/>
    <w:basedOn w:val="TableNormal"/>
    <w:uiPriority w:val="99"/>
    <w:rsid w:val="006A4499"/>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6A4499"/>
    <w:pPr>
      <w:ind w:firstLine="284"/>
    </w:pPr>
    <w:rPr>
      <w:b/>
    </w:rPr>
  </w:style>
  <w:style w:type="character" w:styleId="PageNumber">
    <w:name w:val="page number"/>
    <w:uiPriority w:val="98"/>
    <w:semiHidden/>
    <w:rsid w:val="006A4499"/>
    <w:rPr>
      <w:sz w:val="18"/>
    </w:rPr>
  </w:style>
  <w:style w:type="paragraph" w:styleId="ListBullet2">
    <w:name w:val="List Bullet 2"/>
    <w:basedOn w:val="Normal"/>
    <w:uiPriority w:val="98"/>
    <w:semiHidden/>
    <w:rsid w:val="006A4499"/>
    <w:pPr>
      <w:numPr>
        <w:numId w:val="10"/>
      </w:numPr>
      <w:contextualSpacing/>
    </w:pPr>
  </w:style>
  <w:style w:type="character" w:customStyle="1" w:styleId="BodyText2Char">
    <w:name w:val="Body Text 2 Char"/>
    <w:basedOn w:val="DefaultParagraphFont"/>
    <w:link w:val="BodyText2"/>
    <w:uiPriority w:val="98"/>
    <w:semiHidden/>
    <w:rsid w:val="006A4499"/>
    <w:rPr>
      <w:sz w:val="24"/>
      <w:szCs w:val="24"/>
      <w:lang w:val="fr-FR"/>
    </w:rPr>
  </w:style>
  <w:style w:type="paragraph" w:styleId="BodyText3">
    <w:name w:val="Body Text 3"/>
    <w:basedOn w:val="Normal"/>
    <w:link w:val="BodyText3Char"/>
    <w:uiPriority w:val="98"/>
    <w:semiHidden/>
    <w:rsid w:val="006A4499"/>
    <w:pPr>
      <w:spacing w:after="120"/>
    </w:pPr>
    <w:rPr>
      <w:sz w:val="16"/>
      <w:szCs w:val="16"/>
    </w:rPr>
  </w:style>
  <w:style w:type="character" w:customStyle="1" w:styleId="BodyText3Char">
    <w:name w:val="Body Text 3 Char"/>
    <w:basedOn w:val="DefaultParagraphFont"/>
    <w:link w:val="BodyText3"/>
    <w:uiPriority w:val="98"/>
    <w:semiHidden/>
    <w:rsid w:val="006A4499"/>
    <w:rPr>
      <w:sz w:val="16"/>
      <w:szCs w:val="16"/>
      <w:lang w:val="fr-FR"/>
    </w:rPr>
  </w:style>
  <w:style w:type="paragraph" w:styleId="BodyTextFirstIndent">
    <w:name w:val="Body Text First Indent"/>
    <w:basedOn w:val="BodyText"/>
    <w:link w:val="BodyTextFirstIndentChar"/>
    <w:uiPriority w:val="98"/>
    <w:semiHidden/>
    <w:rsid w:val="006A4499"/>
    <w:pPr>
      <w:spacing w:after="0"/>
      <w:ind w:firstLine="360"/>
    </w:pPr>
  </w:style>
  <w:style w:type="character" w:customStyle="1" w:styleId="BodyTextFirstIndentChar">
    <w:name w:val="Body Text First Indent Char"/>
    <w:basedOn w:val="BodyTextChar"/>
    <w:link w:val="BodyTextFirstIndent"/>
    <w:uiPriority w:val="98"/>
    <w:semiHidden/>
    <w:rsid w:val="006A4499"/>
    <w:rPr>
      <w:sz w:val="24"/>
      <w:szCs w:val="24"/>
      <w:lang w:val="fr-FR"/>
    </w:rPr>
  </w:style>
  <w:style w:type="paragraph" w:styleId="BodyTextIndent">
    <w:name w:val="Body Text Indent"/>
    <w:basedOn w:val="Normal"/>
    <w:link w:val="BodyTextIndentChar"/>
    <w:uiPriority w:val="98"/>
    <w:semiHidden/>
    <w:rsid w:val="006A4499"/>
    <w:pPr>
      <w:spacing w:after="120"/>
      <w:ind w:left="283"/>
    </w:pPr>
  </w:style>
  <w:style w:type="character" w:customStyle="1" w:styleId="BodyTextIndentChar">
    <w:name w:val="Body Text Indent Char"/>
    <w:basedOn w:val="DefaultParagraphFont"/>
    <w:link w:val="BodyTextIndent"/>
    <w:uiPriority w:val="98"/>
    <w:semiHidden/>
    <w:rsid w:val="006A4499"/>
    <w:rPr>
      <w:sz w:val="24"/>
      <w:szCs w:val="24"/>
      <w:lang w:val="fr-FR"/>
    </w:rPr>
  </w:style>
  <w:style w:type="paragraph" w:styleId="BodyTextFirstIndent2">
    <w:name w:val="Body Text First Indent 2"/>
    <w:basedOn w:val="BodyTextIndent"/>
    <w:link w:val="BodyTextFirstIndent2Char"/>
    <w:uiPriority w:val="98"/>
    <w:semiHidden/>
    <w:rsid w:val="006A4499"/>
    <w:pPr>
      <w:spacing w:after="0"/>
      <w:ind w:left="360" w:firstLine="360"/>
    </w:pPr>
  </w:style>
  <w:style w:type="character" w:customStyle="1" w:styleId="BodyTextFirstIndent2Char">
    <w:name w:val="Body Text First Indent 2 Char"/>
    <w:basedOn w:val="BodyTextIndentChar"/>
    <w:link w:val="BodyTextFirstIndent2"/>
    <w:uiPriority w:val="98"/>
    <w:semiHidden/>
    <w:rsid w:val="006A4499"/>
    <w:rPr>
      <w:sz w:val="24"/>
      <w:szCs w:val="24"/>
      <w:lang w:val="fr-FR"/>
    </w:rPr>
  </w:style>
  <w:style w:type="paragraph" w:styleId="BodyTextIndent2">
    <w:name w:val="Body Text Indent 2"/>
    <w:basedOn w:val="Normal"/>
    <w:link w:val="BodyTextIndent2Char"/>
    <w:uiPriority w:val="98"/>
    <w:semiHidden/>
    <w:rsid w:val="006A4499"/>
    <w:pPr>
      <w:spacing w:after="120" w:line="480" w:lineRule="auto"/>
      <w:ind w:left="283"/>
    </w:pPr>
  </w:style>
  <w:style w:type="character" w:customStyle="1" w:styleId="BodyTextIndent2Char">
    <w:name w:val="Body Text Indent 2 Char"/>
    <w:basedOn w:val="DefaultParagraphFont"/>
    <w:link w:val="BodyTextIndent2"/>
    <w:uiPriority w:val="98"/>
    <w:semiHidden/>
    <w:rsid w:val="006A4499"/>
    <w:rPr>
      <w:sz w:val="24"/>
      <w:szCs w:val="24"/>
      <w:lang w:val="fr-FR"/>
    </w:rPr>
  </w:style>
  <w:style w:type="paragraph" w:styleId="BodyTextIndent3">
    <w:name w:val="Body Text Indent 3"/>
    <w:basedOn w:val="Normal"/>
    <w:link w:val="BodyTextIndent3Char"/>
    <w:uiPriority w:val="98"/>
    <w:semiHidden/>
    <w:rsid w:val="006A4499"/>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6A4499"/>
    <w:rPr>
      <w:sz w:val="16"/>
      <w:szCs w:val="16"/>
      <w:lang w:val="fr-FR"/>
    </w:rPr>
  </w:style>
  <w:style w:type="paragraph" w:styleId="Caption">
    <w:name w:val="caption"/>
    <w:basedOn w:val="Normal"/>
    <w:next w:val="Normal"/>
    <w:uiPriority w:val="98"/>
    <w:semiHidden/>
    <w:qFormat/>
    <w:rsid w:val="006A4499"/>
    <w:pPr>
      <w:spacing w:after="200"/>
    </w:pPr>
    <w:rPr>
      <w:b/>
      <w:bCs/>
      <w:color w:val="0072BC" w:themeColor="accent1"/>
      <w:sz w:val="18"/>
      <w:szCs w:val="18"/>
    </w:rPr>
  </w:style>
  <w:style w:type="paragraph" w:styleId="Closing">
    <w:name w:val="Closing"/>
    <w:basedOn w:val="Normal"/>
    <w:link w:val="ClosingChar"/>
    <w:uiPriority w:val="98"/>
    <w:semiHidden/>
    <w:rsid w:val="006A4499"/>
    <w:pPr>
      <w:ind w:left="4252"/>
    </w:pPr>
  </w:style>
  <w:style w:type="character" w:customStyle="1" w:styleId="ClosingChar">
    <w:name w:val="Closing Char"/>
    <w:basedOn w:val="DefaultParagraphFont"/>
    <w:link w:val="Closing"/>
    <w:uiPriority w:val="98"/>
    <w:semiHidden/>
    <w:rsid w:val="006A4499"/>
    <w:rPr>
      <w:sz w:val="24"/>
      <w:szCs w:val="24"/>
      <w:lang w:val="fr-FR"/>
    </w:rPr>
  </w:style>
  <w:style w:type="table" w:styleId="ColorfulGrid">
    <w:name w:val="Colorful Grid"/>
    <w:basedOn w:val="TableNormal"/>
    <w:uiPriority w:val="73"/>
    <w:semiHidden/>
    <w:rsid w:val="006A4499"/>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A4499"/>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6A4499"/>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6A4499"/>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6A4499"/>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A4499"/>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6A4499"/>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A4499"/>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A4499"/>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A4499"/>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6A4499"/>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6A4499"/>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6A4499"/>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A4499"/>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6A4499"/>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A4499"/>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A4499"/>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A4499"/>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6A4499"/>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A4499"/>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A4499"/>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6A4499"/>
    <w:rPr>
      <w:sz w:val="16"/>
      <w:szCs w:val="16"/>
    </w:rPr>
  </w:style>
  <w:style w:type="paragraph" w:styleId="CommentText">
    <w:name w:val="annotation text"/>
    <w:basedOn w:val="Normal"/>
    <w:link w:val="CommentTextChar"/>
    <w:uiPriority w:val="98"/>
    <w:semiHidden/>
    <w:rsid w:val="006A4499"/>
    <w:rPr>
      <w:sz w:val="20"/>
      <w:szCs w:val="20"/>
    </w:rPr>
  </w:style>
  <w:style w:type="character" w:customStyle="1" w:styleId="CommentTextChar">
    <w:name w:val="Comment Text Char"/>
    <w:basedOn w:val="DefaultParagraphFont"/>
    <w:link w:val="CommentText"/>
    <w:uiPriority w:val="98"/>
    <w:semiHidden/>
    <w:rsid w:val="006A4499"/>
    <w:rPr>
      <w:sz w:val="20"/>
      <w:szCs w:val="20"/>
      <w:lang w:val="fr-FR"/>
    </w:rPr>
  </w:style>
  <w:style w:type="paragraph" w:styleId="CommentSubject">
    <w:name w:val="annotation subject"/>
    <w:basedOn w:val="CommentText"/>
    <w:next w:val="CommentText"/>
    <w:link w:val="CommentSubjectChar"/>
    <w:uiPriority w:val="98"/>
    <w:semiHidden/>
    <w:rsid w:val="006A4499"/>
    <w:rPr>
      <w:b/>
      <w:bCs/>
    </w:rPr>
  </w:style>
  <w:style w:type="character" w:customStyle="1" w:styleId="CommentSubjectChar">
    <w:name w:val="Comment Subject Char"/>
    <w:basedOn w:val="CommentTextChar"/>
    <w:link w:val="CommentSubject"/>
    <w:uiPriority w:val="98"/>
    <w:semiHidden/>
    <w:rsid w:val="006A4499"/>
    <w:rPr>
      <w:b/>
      <w:bCs/>
      <w:sz w:val="20"/>
      <w:szCs w:val="20"/>
      <w:lang w:val="fr-FR"/>
    </w:rPr>
  </w:style>
  <w:style w:type="table" w:styleId="DarkList">
    <w:name w:val="Dark List"/>
    <w:basedOn w:val="TableNormal"/>
    <w:uiPriority w:val="70"/>
    <w:semiHidden/>
    <w:rsid w:val="006A4499"/>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A4499"/>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A4499"/>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6A4499"/>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6A4499"/>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6A4499"/>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A4499"/>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6A4499"/>
  </w:style>
  <w:style w:type="character" w:customStyle="1" w:styleId="DateChar">
    <w:name w:val="Date Char"/>
    <w:basedOn w:val="DefaultParagraphFont"/>
    <w:link w:val="Date"/>
    <w:uiPriority w:val="98"/>
    <w:semiHidden/>
    <w:rsid w:val="006A4499"/>
    <w:rPr>
      <w:sz w:val="24"/>
      <w:szCs w:val="24"/>
      <w:lang w:val="fr-FR"/>
    </w:rPr>
  </w:style>
  <w:style w:type="paragraph" w:styleId="DocumentMap">
    <w:name w:val="Document Map"/>
    <w:basedOn w:val="Normal"/>
    <w:link w:val="DocumentMapChar"/>
    <w:uiPriority w:val="98"/>
    <w:semiHidden/>
    <w:rsid w:val="006A4499"/>
    <w:rPr>
      <w:rFonts w:ascii="Tahoma" w:hAnsi="Tahoma" w:cs="Tahoma"/>
      <w:sz w:val="16"/>
      <w:szCs w:val="16"/>
    </w:rPr>
  </w:style>
  <w:style w:type="character" w:customStyle="1" w:styleId="DocumentMapChar">
    <w:name w:val="Document Map Char"/>
    <w:basedOn w:val="DefaultParagraphFont"/>
    <w:link w:val="DocumentMap"/>
    <w:uiPriority w:val="98"/>
    <w:semiHidden/>
    <w:rsid w:val="006A4499"/>
    <w:rPr>
      <w:rFonts w:ascii="Tahoma" w:hAnsi="Tahoma" w:cs="Tahoma"/>
      <w:sz w:val="16"/>
      <w:szCs w:val="16"/>
      <w:lang w:val="fr-FR"/>
    </w:rPr>
  </w:style>
  <w:style w:type="paragraph" w:styleId="E-mailSignature">
    <w:name w:val="E-mail Signature"/>
    <w:basedOn w:val="Normal"/>
    <w:link w:val="E-mailSignatureChar"/>
    <w:uiPriority w:val="98"/>
    <w:semiHidden/>
    <w:rsid w:val="006A4499"/>
  </w:style>
  <w:style w:type="character" w:customStyle="1" w:styleId="E-mailSignatureChar">
    <w:name w:val="E-mail Signature Char"/>
    <w:basedOn w:val="DefaultParagraphFont"/>
    <w:link w:val="E-mailSignature"/>
    <w:uiPriority w:val="98"/>
    <w:semiHidden/>
    <w:rsid w:val="006A4499"/>
    <w:rPr>
      <w:sz w:val="24"/>
      <w:szCs w:val="24"/>
      <w:lang w:val="fr-FR"/>
    </w:rPr>
  </w:style>
  <w:style w:type="character" w:styleId="EndnoteReference">
    <w:name w:val="endnote reference"/>
    <w:basedOn w:val="DefaultParagraphFont"/>
    <w:uiPriority w:val="98"/>
    <w:semiHidden/>
    <w:rsid w:val="006A4499"/>
    <w:rPr>
      <w:vertAlign w:val="superscript"/>
    </w:rPr>
  </w:style>
  <w:style w:type="paragraph" w:styleId="EndnoteText">
    <w:name w:val="endnote text"/>
    <w:basedOn w:val="Normal"/>
    <w:link w:val="EndnoteTextChar"/>
    <w:uiPriority w:val="98"/>
    <w:semiHidden/>
    <w:rsid w:val="006A4499"/>
    <w:rPr>
      <w:sz w:val="20"/>
      <w:szCs w:val="20"/>
    </w:rPr>
  </w:style>
  <w:style w:type="character" w:customStyle="1" w:styleId="EndnoteTextChar">
    <w:name w:val="Endnote Text Char"/>
    <w:basedOn w:val="DefaultParagraphFont"/>
    <w:link w:val="EndnoteText"/>
    <w:uiPriority w:val="98"/>
    <w:semiHidden/>
    <w:rsid w:val="006A4499"/>
    <w:rPr>
      <w:sz w:val="20"/>
      <w:szCs w:val="20"/>
      <w:lang w:val="fr-FR"/>
    </w:rPr>
  </w:style>
  <w:style w:type="paragraph" w:styleId="EnvelopeAddress">
    <w:name w:val="envelope address"/>
    <w:basedOn w:val="Normal"/>
    <w:uiPriority w:val="98"/>
    <w:semiHidden/>
    <w:rsid w:val="006A4499"/>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6A4499"/>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6A4499"/>
    <w:rPr>
      <w:color w:val="7030A0" w:themeColor="followedHyperlink"/>
      <w:u w:val="single"/>
    </w:rPr>
  </w:style>
  <w:style w:type="character" w:styleId="HTMLAcronym">
    <w:name w:val="HTML Acronym"/>
    <w:basedOn w:val="DefaultParagraphFont"/>
    <w:uiPriority w:val="98"/>
    <w:semiHidden/>
    <w:rsid w:val="006A4499"/>
  </w:style>
  <w:style w:type="paragraph" w:styleId="HTMLAddress">
    <w:name w:val="HTML Address"/>
    <w:basedOn w:val="Normal"/>
    <w:link w:val="HTMLAddressChar"/>
    <w:uiPriority w:val="98"/>
    <w:semiHidden/>
    <w:rsid w:val="006A4499"/>
    <w:rPr>
      <w:i/>
      <w:iCs/>
    </w:rPr>
  </w:style>
  <w:style w:type="character" w:customStyle="1" w:styleId="HTMLAddressChar">
    <w:name w:val="HTML Address Char"/>
    <w:basedOn w:val="DefaultParagraphFont"/>
    <w:link w:val="HTMLAddress"/>
    <w:uiPriority w:val="98"/>
    <w:semiHidden/>
    <w:rsid w:val="006A4499"/>
    <w:rPr>
      <w:i/>
      <w:iCs/>
      <w:sz w:val="24"/>
      <w:szCs w:val="24"/>
      <w:lang w:val="fr-FR"/>
    </w:rPr>
  </w:style>
  <w:style w:type="character" w:styleId="HTMLCite">
    <w:name w:val="HTML Cite"/>
    <w:basedOn w:val="DefaultParagraphFont"/>
    <w:uiPriority w:val="98"/>
    <w:semiHidden/>
    <w:rsid w:val="006A4499"/>
    <w:rPr>
      <w:i/>
      <w:iCs/>
    </w:rPr>
  </w:style>
  <w:style w:type="character" w:styleId="HTMLCode">
    <w:name w:val="HTML Code"/>
    <w:basedOn w:val="DefaultParagraphFont"/>
    <w:uiPriority w:val="98"/>
    <w:semiHidden/>
    <w:rsid w:val="006A4499"/>
    <w:rPr>
      <w:rFonts w:ascii="Consolas" w:hAnsi="Consolas" w:cs="Consolas"/>
      <w:sz w:val="20"/>
      <w:szCs w:val="20"/>
    </w:rPr>
  </w:style>
  <w:style w:type="character" w:styleId="HTMLDefinition">
    <w:name w:val="HTML Definition"/>
    <w:basedOn w:val="DefaultParagraphFont"/>
    <w:uiPriority w:val="98"/>
    <w:semiHidden/>
    <w:rsid w:val="006A4499"/>
    <w:rPr>
      <w:i/>
      <w:iCs/>
    </w:rPr>
  </w:style>
  <w:style w:type="character" w:styleId="HTMLKeyboard">
    <w:name w:val="HTML Keyboard"/>
    <w:basedOn w:val="DefaultParagraphFont"/>
    <w:uiPriority w:val="98"/>
    <w:semiHidden/>
    <w:rsid w:val="006A4499"/>
    <w:rPr>
      <w:rFonts w:ascii="Consolas" w:hAnsi="Consolas" w:cs="Consolas"/>
      <w:sz w:val="20"/>
      <w:szCs w:val="20"/>
    </w:rPr>
  </w:style>
  <w:style w:type="paragraph" w:styleId="HTMLPreformatted">
    <w:name w:val="HTML Preformatted"/>
    <w:basedOn w:val="Normal"/>
    <w:link w:val="HTMLPreformattedChar"/>
    <w:uiPriority w:val="98"/>
    <w:semiHidden/>
    <w:rsid w:val="006A4499"/>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6A4499"/>
    <w:rPr>
      <w:rFonts w:ascii="Consolas" w:hAnsi="Consolas" w:cs="Consolas"/>
      <w:sz w:val="20"/>
      <w:szCs w:val="20"/>
      <w:lang w:val="fr-FR"/>
    </w:rPr>
  </w:style>
  <w:style w:type="character" w:styleId="HTMLSample">
    <w:name w:val="HTML Sample"/>
    <w:basedOn w:val="DefaultParagraphFont"/>
    <w:uiPriority w:val="98"/>
    <w:semiHidden/>
    <w:rsid w:val="006A4499"/>
    <w:rPr>
      <w:rFonts w:ascii="Consolas" w:hAnsi="Consolas" w:cs="Consolas"/>
      <w:sz w:val="24"/>
      <w:szCs w:val="24"/>
    </w:rPr>
  </w:style>
  <w:style w:type="character" w:styleId="HTMLTypewriter">
    <w:name w:val="HTML Typewriter"/>
    <w:basedOn w:val="DefaultParagraphFont"/>
    <w:uiPriority w:val="98"/>
    <w:semiHidden/>
    <w:rsid w:val="006A4499"/>
    <w:rPr>
      <w:rFonts w:ascii="Consolas" w:hAnsi="Consolas" w:cs="Consolas"/>
      <w:sz w:val="20"/>
      <w:szCs w:val="20"/>
    </w:rPr>
  </w:style>
  <w:style w:type="character" w:styleId="HTMLVariable">
    <w:name w:val="HTML Variable"/>
    <w:basedOn w:val="DefaultParagraphFont"/>
    <w:uiPriority w:val="98"/>
    <w:semiHidden/>
    <w:rsid w:val="006A4499"/>
    <w:rPr>
      <w:i/>
      <w:iCs/>
    </w:rPr>
  </w:style>
  <w:style w:type="paragraph" w:styleId="Index1">
    <w:name w:val="index 1"/>
    <w:basedOn w:val="Normal"/>
    <w:next w:val="Normal"/>
    <w:autoRedefine/>
    <w:uiPriority w:val="98"/>
    <w:semiHidden/>
    <w:rsid w:val="006A4499"/>
    <w:pPr>
      <w:ind w:left="240" w:hanging="240"/>
    </w:pPr>
  </w:style>
  <w:style w:type="paragraph" w:styleId="Index2">
    <w:name w:val="index 2"/>
    <w:basedOn w:val="Normal"/>
    <w:next w:val="Normal"/>
    <w:autoRedefine/>
    <w:uiPriority w:val="98"/>
    <w:semiHidden/>
    <w:rsid w:val="006A4499"/>
    <w:pPr>
      <w:ind w:left="480" w:hanging="240"/>
    </w:pPr>
  </w:style>
  <w:style w:type="paragraph" w:styleId="Index3">
    <w:name w:val="index 3"/>
    <w:basedOn w:val="Normal"/>
    <w:next w:val="Normal"/>
    <w:autoRedefine/>
    <w:uiPriority w:val="98"/>
    <w:semiHidden/>
    <w:rsid w:val="006A4499"/>
    <w:pPr>
      <w:ind w:left="720" w:hanging="240"/>
    </w:pPr>
  </w:style>
  <w:style w:type="paragraph" w:styleId="Index4">
    <w:name w:val="index 4"/>
    <w:basedOn w:val="Normal"/>
    <w:next w:val="Normal"/>
    <w:autoRedefine/>
    <w:uiPriority w:val="98"/>
    <w:semiHidden/>
    <w:rsid w:val="006A4499"/>
    <w:pPr>
      <w:ind w:left="960" w:hanging="240"/>
    </w:pPr>
  </w:style>
  <w:style w:type="paragraph" w:styleId="Index5">
    <w:name w:val="index 5"/>
    <w:basedOn w:val="Normal"/>
    <w:next w:val="Normal"/>
    <w:autoRedefine/>
    <w:uiPriority w:val="98"/>
    <w:semiHidden/>
    <w:rsid w:val="006A4499"/>
    <w:pPr>
      <w:ind w:left="1200" w:hanging="240"/>
    </w:pPr>
  </w:style>
  <w:style w:type="paragraph" w:styleId="Index6">
    <w:name w:val="index 6"/>
    <w:basedOn w:val="Normal"/>
    <w:next w:val="Normal"/>
    <w:autoRedefine/>
    <w:uiPriority w:val="98"/>
    <w:semiHidden/>
    <w:rsid w:val="006A4499"/>
    <w:pPr>
      <w:ind w:left="1440" w:hanging="240"/>
    </w:pPr>
  </w:style>
  <w:style w:type="paragraph" w:styleId="Index7">
    <w:name w:val="index 7"/>
    <w:basedOn w:val="Normal"/>
    <w:next w:val="Normal"/>
    <w:autoRedefine/>
    <w:uiPriority w:val="98"/>
    <w:semiHidden/>
    <w:rsid w:val="006A4499"/>
    <w:pPr>
      <w:ind w:left="1680" w:hanging="240"/>
    </w:pPr>
  </w:style>
  <w:style w:type="paragraph" w:styleId="Index8">
    <w:name w:val="index 8"/>
    <w:basedOn w:val="Normal"/>
    <w:next w:val="Normal"/>
    <w:autoRedefine/>
    <w:uiPriority w:val="98"/>
    <w:semiHidden/>
    <w:rsid w:val="006A4499"/>
    <w:pPr>
      <w:ind w:left="1920" w:hanging="240"/>
    </w:pPr>
  </w:style>
  <w:style w:type="paragraph" w:styleId="Index9">
    <w:name w:val="index 9"/>
    <w:basedOn w:val="Normal"/>
    <w:next w:val="Normal"/>
    <w:autoRedefine/>
    <w:uiPriority w:val="98"/>
    <w:semiHidden/>
    <w:rsid w:val="006A4499"/>
    <w:pPr>
      <w:ind w:left="2160" w:hanging="240"/>
    </w:pPr>
  </w:style>
  <w:style w:type="paragraph" w:styleId="IndexHeading">
    <w:name w:val="index heading"/>
    <w:basedOn w:val="Normal"/>
    <w:next w:val="Index1"/>
    <w:uiPriority w:val="98"/>
    <w:semiHidden/>
    <w:rsid w:val="006A4499"/>
    <w:rPr>
      <w:rFonts w:asciiTheme="majorHAnsi" w:eastAsiaTheme="majorEastAsia" w:hAnsiTheme="majorHAnsi" w:cstheme="majorBidi"/>
      <w:b/>
      <w:bCs/>
    </w:rPr>
  </w:style>
  <w:style w:type="table" w:styleId="LightGrid">
    <w:name w:val="Light Grid"/>
    <w:basedOn w:val="TableNormal"/>
    <w:uiPriority w:val="62"/>
    <w:semiHidden/>
    <w:rsid w:val="006A4499"/>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A4499"/>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6A4499"/>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6A4499"/>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6A4499"/>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A4499"/>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6A4499"/>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A4499"/>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A4499"/>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A4499"/>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6A4499"/>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6A4499"/>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6A4499"/>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A4499"/>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6A4499"/>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A4499"/>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6A4499"/>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A4499"/>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6A4499"/>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6A4499"/>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6A4499"/>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6A4499"/>
  </w:style>
  <w:style w:type="paragraph" w:styleId="List">
    <w:name w:val="List"/>
    <w:basedOn w:val="Normal"/>
    <w:uiPriority w:val="98"/>
    <w:semiHidden/>
    <w:rsid w:val="006A4499"/>
    <w:pPr>
      <w:ind w:left="283" w:hanging="283"/>
      <w:contextualSpacing/>
    </w:pPr>
  </w:style>
  <w:style w:type="paragraph" w:styleId="List2">
    <w:name w:val="List 2"/>
    <w:basedOn w:val="Normal"/>
    <w:uiPriority w:val="98"/>
    <w:semiHidden/>
    <w:rsid w:val="006A4499"/>
    <w:pPr>
      <w:ind w:left="566" w:hanging="283"/>
      <w:contextualSpacing/>
    </w:pPr>
  </w:style>
  <w:style w:type="paragraph" w:styleId="List3">
    <w:name w:val="List 3"/>
    <w:basedOn w:val="Normal"/>
    <w:uiPriority w:val="98"/>
    <w:semiHidden/>
    <w:rsid w:val="006A4499"/>
    <w:pPr>
      <w:ind w:left="849" w:hanging="283"/>
      <w:contextualSpacing/>
    </w:pPr>
  </w:style>
  <w:style w:type="paragraph" w:styleId="List4">
    <w:name w:val="List 4"/>
    <w:basedOn w:val="Normal"/>
    <w:uiPriority w:val="98"/>
    <w:semiHidden/>
    <w:rsid w:val="006A4499"/>
    <w:pPr>
      <w:ind w:left="1132" w:hanging="283"/>
      <w:contextualSpacing/>
    </w:pPr>
  </w:style>
  <w:style w:type="paragraph" w:styleId="List5">
    <w:name w:val="List 5"/>
    <w:basedOn w:val="Normal"/>
    <w:uiPriority w:val="98"/>
    <w:semiHidden/>
    <w:rsid w:val="006A4499"/>
    <w:pPr>
      <w:ind w:left="1415" w:hanging="283"/>
      <w:contextualSpacing/>
    </w:pPr>
  </w:style>
  <w:style w:type="paragraph" w:styleId="ListBullet">
    <w:name w:val="List Bullet"/>
    <w:basedOn w:val="Normal"/>
    <w:uiPriority w:val="98"/>
    <w:semiHidden/>
    <w:rsid w:val="006A4499"/>
    <w:pPr>
      <w:numPr>
        <w:numId w:val="9"/>
      </w:numPr>
    </w:pPr>
  </w:style>
  <w:style w:type="paragraph" w:styleId="ListBullet3">
    <w:name w:val="List Bullet 3"/>
    <w:basedOn w:val="Normal"/>
    <w:uiPriority w:val="98"/>
    <w:semiHidden/>
    <w:rsid w:val="006A4499"/>
    <w:pPr>
      <w:numPr>
        <w:numId w:val="11"/>
      </w:numPr>
      <w:contextualSpacing/>
    </w:pPr>
  </w:style>
  <w:style w:type="paragraph" w:styleId="ListBullet4">
    <w:name w:val="List Bullet 4"/>
    <w:basedOn w:val="Normal"/>
    <w:uiPriority w:val="98"/>
    <w:semiHidden/>
    <w:rsid w:val="006A4499"/>
    <w:pPr>
      <w:numPr>
        <w:numId w:val="12"/>
      </w:numPr>
      <w:contextualSpacing/>
    </w:pPr>
  </w:style>
  <w:style w:type="paragraph" w:styleId="ListBullet5">
    <w:name w:val="List Bullet 5"/>
    <w:basedOn w:val="Normal"/>
    <w:uiPriority w:val="98"/>
    <w:semiHidden/>
    <w:rsid w:val="006A4499"/>
    <w:pPr>
      <w:numPr>
        <w:numId w:val="13"/>
      </w:numPr>
      <w:contextualSpacing/>
    </w:pPr>
  </w:style>
  <w:style w:type="paragraph" w:styleId="ListContinue">
    <w:name w:val="List Continue"/>
    <w:basedOn w:val="Normal"/>
    <w:uiPriority w:val="98"/>
    <w:semiHidden/>
    <w:rsid w:val="006A4499"/>
    <w:pPr>
      <w:spacing w:after="120"/>
      <w:ind w:left="283"/>
      <w:contextualSpacing/>
    </w:pPr>
  </w:style>
  <w:style w:type="paragraph" w:styleId="ListContinue2">
    <w:name w:val="List Continue 2"/>
    <w:basedOn w:val="Normal"/>
    <w:uiPriority w:val="98"/>
    <w:semiHidden/>
    <w:rsid w:val="006A4499"/>
    <w:pPr>
      <w:spacing w:after="120"/>
      <w:ind w:left="566"/>
      <w:contextualSpacing/>
    </w:pPr>
  </w:style>
  <w:style w:type="paragraph" w:styleId="ListContinue3">
    <w:name w:val="List Continue 3"/>
    <w:basedOn w:val="Normal"/>
    <w:uiPriority w:val="98"/>
    <w:semiHidden/>
    <w:rsid w:val="006A4499"/>
    <w:pPr>
      <w:spacing w:after="120"/>
      <w:ind w:left="849"/>
      <w:contextualSpacing/>
    </w:pPr>
  </w:style>
  <w:style w:type="paragraph" w:styleId="ListContinue4">
    <w:name w:val="List Continue 4"/>
    <w:basedOn w:val="Normal"/>
    <w:uiPriority w:val="98"/>
    <w:semiHidden/>
    <w:rsid w:val="006A4499"/>
    <w:pPr>
      <w:spacing w:after="120"/>
      <w:ind w:left="1132"/>
      <w:contextualSpacing/>
    </w:pPr>
  </w:style>
  <w:style w:type="paragraph" w:styleId="ListContinue5">
    <w:name w:val="List Continue 5"/>
    <w:basedOn w:val="Normal"/>
    <w:uiPriority w:val="98"/>
    <w:semiHidden/>
    <w:rsid w:val="006A4499"/>
    <w:pPr>
      <w:spacing w:after="120"/>
      <w:ind w:left="1415"/>
      <w:contextualSpacing/>
    </w:pPr>
  </w:style>
  <w:style w:type="paragraph" w:styleId="ListNumber">
    <w:name w:val="List Number"/>
    <w:basedOn w:val="Normal"/>
    <w:uiPriority w:val="98"/>
    <w:semiHidden/>
    <w:rsid w:val="006A4499"/>
    <w:pPr>
      <w:numPr>
        <w:numId w:val="14"/>
      </w:numPr>
      <w:contextualSpacing/>
    </w:pPr>
  </w:style>
  <w:style w:type="paragraph" w:styleId="ListNumber2">
    <w:name w:val="List Number 2"/>
    <w:basedOn w:val="Normal"/>
    <w:uiPriority w:val="98"/>
    <w:semiHidden/>
    <w:rsid w:val="006A4499"/>
    <w:pPr>
      <w:numPr>
        <w:numId w:val="15"/>
      </w:numPr>
      <w:contextualSpacing/>
    </w:pPr>
  </w:style>
  <w:style w:type="paragraph" w:styleId="ListNumber3">
    <w:name w:val="List Number 3"/>
    <w:basedOn w:val="Normal"/>
    <w:uiPriority w:val="98"/>
    <w:semiHidden/>
    <w:rsid w:val="006A4499"/>
    <w:pPr>
      <w:numPr>
        <w:numId w:val="16"/>
      </w:numPr>
      <w:contextualSpacing/>
    </w:pPr>
  </w:style>
  <w:style w:type="paragraph" w:styleId="ListNumber4">
    <w:name w:val="List Number 4"/>
    <w:basedOn w:val="Normal"/>
    <w:uiPriority w:val="98"/>
    <w:semiHidden/>
    <w:rsid w:val="006A4499"/>
    <w:pPr>
      <w:numPr>
        <w:numId w:val="17"/>
      </w:numPr>
      <w:contextualSpacing/>
    </w:pPr>
  </w:style>
  <w:style w:type="paragraph" w:styleId="ListNumber5">
    <w:name w:val="List Number 5"/>
    <w:basedOn w:val="Normal"/>
    <w:uiPriority w:val="98"/>
    <w:semiHidden/>
    <w:rsid w:val="006A4499"/>
    <w:pPr>
      <w:numPr>
        <w:numId w:val="18"/>
      </w:numPr>
      <w:contextualSpacing/>
    </w:pPr>
  </w:style>
  <w:style w:type="paragraph" w:styleId="MacroText">
    <w:name w:val="macro"/>
    <w:link w:val="MacroTextChar"/>
    <w:uiPriority w:val="98"/>
    <w:semiHidden/>
    <w:rsid w:val="006A449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6A4499"/>
    <w:rPr>
      <w:rFonts w:ascii="Consolas" w:eastAsiaTheme="minorEastAsia" w:hAnsi="Consolas" w:cs="Consolas"/>
      <w:sz w:val="20"/>
      <w:szCs w:val="20"/>
    </w:rPr>
  </w:style>
  <w:style w:type="table" w:styleId="MediumGrid1">
    <w:name w:val="Medium Grid 1"/>
    <w:basedOn w:val="TableNormal"/>
    <w:uiPriority w:val="67"/>
    <w:semiHidden/>
    <w:rsid w:val="006A4499"/>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A4499"/>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6A4499"/>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6A4499"/>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A4499"/>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6A4499"/>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A4499"/>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6A4499"/>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A4499"/>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6A4499"/>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6A449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6A4499"/>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A449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6A4499"/>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6A449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6A449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A449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6A449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6A449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6A449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A449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6A4499"/>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A4499"/>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6A4499"/>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A4499"/>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6A4499"/>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6A4499"/>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6A4499"/>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A4499"/>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A4499"/>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A4499"/>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A449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A4499"/>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A449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A4499"/>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6A4499"/>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A4499"/>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A4499"/>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A4499"/>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A4499"/>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A4499"/>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A4499"/>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A449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A449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A449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A449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A449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A449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A449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6A44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6A4499"/>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8"/>
    <w:semiHidden/>
    <w:rsid w:val="006A4499"/>
    <w:rPr>
      <w:rFonts w:ascii="Times New Roman" w:hAnsi="Times New Roman" w:cs="Times New Roman"/>
    </w:rPr>
  </w:style>
  <w:style w:type="paragraph" w:styleId="NormalIndent">
    <w:name w:val="Normal Indent"/>
    <w:basedOn w:val="Normal"/>
    <w:uiPriority w:val="98"/>
    <w:semiHidden/>
    <w:rsid w:val="006A4499"/>
    <w:pPr>
      <w:ind w:left="720"/>
    </w:pPr>
  </w:style>
  <w:style w:type="paragraph" w:styleId="NoteHeading">
    <w:name w:val="Note Heading"/>
    <w:basedOn w:val="Normal"/>
    <w:next w:val="Normal"/>
    <w:link w:val="NoteHeadingChar"/>
    <w:uiPriority w:val="98"/>
    <w:semiHidden/>
    <w:rsid w:val="006A4499"/>
  </w:style>
  <w:style w:type="character" w:customStyle="1" w:styleId="NoteHeadingChar">
    <w:name w:val="Note Heading Char"/>
    <w:basedOn w:val="DefaultParagraphFont"/>
    <w:link w:val="NoteHeading"/>
    <w:uiPriority w:val="98"/>
    <w:semiHidden/>
    <w:rsid w:val="006A4499"/>
    <w:rPr>
      <w:sz w:val="24"/>
      <w:szCs w:val="24"/>
      <w:lang w:val="fr-FR"/>
    </w:rPr>
  </w:style>
  <w:style w:type="character" w:styleId="PlaceholderText">
    <w:name w:val="Placeholder Text"/>
    <w:basedOn w:val="DefaultParagraphFont"/>
    <w:uiPriority w:val="98"/>
    <w:semiHidden/>
    <w:rsid w:val="006A4499"/>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6A4499"/>
    <w:rPr>
      <w:rFonts w:ascii="Consolas" w:hAnsi="Consolas" w:cs="Consolas"/>
      <w:sz w:val="21"/>
      <w:szCs w:val="21"/>
    </w:rPr>
  </w:style>
  <w:style w:type="character" w:customStyle="1" w:styleId="PlainTextChar">
    <w:name w:val="Plain Text Char"/>
    <w:basedOn w:val="DefaultParagraphFont"/>
    <w:link w:val="PlainText"/>
    <w:uiPriority w:val="98"/>
    <w:semiHidden/>
    <w:rsid w:val="006A4499"/>
    <w:rPr>
      <w:rFonts w:ascii="Consolas" w:hAnsi="Consolas" w:cs="Consolas"/>
      <w:sz w:val="21"/>
      <w:szCs w:val="21"/>
      <w:lang w:val="fr-FR"/>
    </w:rPr>
  </w:style>
  <w:style w:type="paragraph" w:styleId="Salutation">
    <w:name w:val="Salutation"/>
    <w:basedOn w:val="Normal"/>
    <w:next w:val="Normal"/>
    <w:link w:val="SalutationChar"/>
    <w:uiPriority w:val="98"/>
    <w:semiHidden/>
    <w:rsid w:val="006A4499"/>
  </w:style>
  <w:style w:type="character" w:customStyle="1" w:styleId="SalutationChar">
    <w:name w:val="Salutation Char"/>
    <w:basedOn w:val="DefaultParagraphFont"/>
    <w:link w:val="Salutation"/>
    <w:uiPriority w:val="98"/>
    <w:semiHidden/>
    <w:rsid w:val="006A4499"/>
    <w:rPr>
      <w:sz w:val="24"/>
      <w:szCs w:val="24"/>
      <w:lang w:val="fr-FR"/>
    </w:rPr>
  </w:style>
  <w:style w:type="paragraph" w:styleId="Signature">
    <w:name w:val="Signature"/>
    <w:basedOn w:val="Normal"/>
    <w:link w:val="SignatureChar"/>
    <w:uiPriority w:val="98"/>
    <w:semiHidden/>
    <w:rsid w:val="006A4499"/>
    <w:pPr>
      <w:ind w:left="4252"/>
    </w:pPr>
  </w:style>
  <w:style w:type="character" w:customStyle="1" w:styleId="SignatureChar">
    <w:name w:val="Signature Char"/>
    <w:basedOn w:val="DefaultParagraphFont"/>
    <w:link w:val="Signature"/>
    <w:uiPriority w:val="98"/>
    <w:semiHidden/>
    <w:rsid w:val="006A4499"/>
    <w:rPr>
      <w:sz w:val="24"/>
      <w:szCs w:val="24"/>
      <w:lang w:val="fr-FR"/>
    </w:rPr>
  </w:style>
  <w:style w:type="table" w:styleId="Table3Deffects1">
    <w:name w:val="Table 3D effects 1"/>
    <w:basedOn w:val="TableNormal"/>
    <w:uiPriority w:val="99"/>
    <w:semiHidden/>
    <w:unhideWhenUsed/>
    <w:rsid w:val="006A4499"/>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A4499"/>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A4499"/>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A4499"/>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A4499"/>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A4499"/>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A4499"/>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A4499"/>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A4499"/>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A4499"/>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A4499"/>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A4499"/>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A4499"/>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A4499"/>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A4499"/>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A4499"/>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A4499"/>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A449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A4499"/>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A4499"/>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A4499"/>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A4499"/>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A4499"/>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A4499"/>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A4499"/>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A4499"/>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A4499"/>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A4499"/>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A4499"/>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A449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A4499"/>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A4499"/>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A4499"/>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6A4499"/>
    <w:pPr>
      <w:ind w:left="240" w:hanging="240"/>
    </w:pPr>
  </w:style>
  <w:style w:type="paragraph" w:styleId="TableofFigures">
    <w:name w:val="table of figures"/>
    <w:basedOn w:val="Normal"/>
    <w:next w:val="Normal"/>
    <w:uiPriority w:val="98"/>
    <w:semiHidden/>
    <w:rsid w:val="006A4499"/>
  </w:style>
  <w:style w:type="table" w:styleId="TableProfessional">
    <w:name w:val="Table Professional"/>
    <w:basedOn w:val="TableNormal"/>
    <w:uiPriority w:val="99"/>
    <w:semiHidden/>
    <w:unhideWhenUsed/>
    <w:rsid w:val="006A449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A4499"/>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A4499"/>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A4499"/>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A4499"/>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A4499"/>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A4499"/>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A4499"/>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A4499"/>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A4499"/>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6A4499"/>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6A4499"/>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6A4499"/>
    <w:pPr>
      <w:spacing w:after="100"/>
      <w:ind w:left="1680"/>
    </w:pPr>
  </w:style>
  <w:style w:type="paragraph" w:styleId="TOC9">
    <w:name w:val="toc 9"/>
    <w:basedOn w:val="Normal"/>
    <w:next w:val="Normal"/>
    <w:autoRedefine/>
    <w:uiPriority w:val="98"/>
    <w:semiHidden/>
    <w:rsid w:val="006A4499"/>
    <w:pPr>
      <w:spacing w:after="100"/>
      <w:ind w:left="1920"/>
    </w:pPr>
  </w:style>
  <w:style w:type="paragraph" w:customStyle="1" w:styleId="ECHRFooter">
    <w:name w:val="ECHR_Footer"/>
    <w:aliases w:val="Footer_ECHR"/>
    <w:basedOn w:val="Footer0"/>
    <w:uiPriority w:val="57"/>
    <w:semiHidden/>
    <w:rsid w:val="00893F30"/>
    <w:rPr>
      <w:sz w:val="8"/>
    </w:rPr>
  </w:style>
  <w:style w:type="paragraph" w:customStyle="1" w:styleId="ECHRFooterLine">
    <w:name w:val="ECHR_Footer_Line"/>
    <w:aliases w:val="_Footer_Line"/>
    <w:basedOn w:val="Normal"/>
    <w:next w:val="Normal"/>
    <w:uiPriority w:val="29"/>
    <w:semiHidden/>
    <w:rsid w:val="006A4499"/>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6A4499"/>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6A4499"/>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6A4499"/>
    <w:pPr>
      <w:tabs>
        <w:tab w:val="center" w:pos="6146"/>
        <w:tab w:val="right" w:pos="13778"/>
      </w:tabs>
      <w:ind w:left="-1474" w:right="-1474"/>
    </w:pPr>
  </w:style>
  <w:style w:type="paragraph" w:customStyle="1" w:styleId="ECHRBullet1">
    <w:name w:val="ECHR_Bullet_1"/>
    <w:aliases w:val="_Bul_1"/>
    <w:basedOn w:val="NormalJustified"/>
    <w:uiPriority w:val="23"/>
    <w:qFormat/>
    <w:rsid w:val="006A4499"/>
    <w:pPr>
      <w:numPr>
        <w:numId w:val="6"/>
      </w:numPr>
      <w:spacing w:before="60" w:after="60"/>
    </w:pPr>
  </w:style>
  <w:style w:type="paragraph" w:customStyle="1" w:styleId="ECHRBullet2">
    <w:name w:val="ECHR_Bullet_2"/>
    <w:aliases w:val="_Bul_2"/>
    <w:basedOn w:val="ECHRBullet1"/>
    <w:uiPriority w:val="23"/>
    <w:rsid w:val="006A4499"/>
    <w:pPr>
      <w:numPr>
        <w:ilvl w:val="1"/>
      </w:numPr>
    </w:pPr>
  </w:style>
  <w:style w:type="paragraph" w:customStyle="1" w:styleId="ECHRBullet3">
    <w:name w:val="ECHR_Bullet_3"/>
    <w:aliases w:val="_Bul_3"/>
    <w:basedOn w:val="ECHRBullet2"/>
    <w:uiPriority w:val="23"/>
    <w:rsid w:val="006A4499"/>
    <w:pPr>
      <w:numPr>
        <w:ilvl w:val="2"/>
      </w:numPr>
    </w:pPr>
  </w:style>
  <w:style w:type="paragraph" w:customStyle="1" w:styleId="ECHRBullet4">
    <w:name w:val="ECHR_Bullet_4"/>
    <w:aliases w:val="_Bul_4"/>
    <w:basedOn w:val="ECHRBullet3"/>
    <w:uiPriority w:val="23"/>
    <w:rsid w:val="006A4499"/>
    <w:pPr>
      <w:numPr>
        <w:ilvl w:val="3"/>
      </w:numPr>
    </w:pPr>
  </w:style>
  <w:style w:type="paragraph" w:customStyle="1" w:styleId="ECHRConfidential">
    <w:name w:val="ECHR_Confidential"/>
    <w:aliases w:val="_Confidential"/>
    <w:basedOn w:val="Normal"/>
    <w:next w:val="Normal"/>
    <w:uiPriority w:val="42"/>
    <w:semiHidden/>
    <w:qFormat/>
    <w:rsid w:val="006A4499"/>
    <w:pPr>
      <w:jc w:val="right"/>
    </w:pPr>
    <w:rPr>
      <w:color w:val="C00000"/>
      <w:sz w:val="20"/>
    </w:rPr>
  </w:style>
  <w:style w:type="paragraph" w:customStyle="1" w:styleId="ECHRDecisionBody">
    <w:name w:val="ECHR_Decision_Body"/>
    <w:aliases w:val="_Decision_Body"/>
    <w:basedOn w:val="NormalJustified"/>
    <w:uiPriority w:val="54"/>
    <w:semiHidden/>
    <w:rsid w:val="006A4499"/>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6A4499"/>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6A4499"/>
    <w:rPr>
      <w:rFonts w:ascii="Arial" w:hAnsi="Arial"/>
      <w:i/>
      <w:color w:val="002856"/>
      <w:sz w:val="32"/>
      <w:szCs w:val="24"/>
      <w:lang w:val="fr-FR"/>
    </w:rPr>
  </w:style>
  <w:style w:type="paragraph" w:customStyle="1" w:styleId="ECHRFooterLineLandscape">
    <w:name w:val="ECHR_Footer_Line_Landscape"/>
    <w:aliases w:val="_Footer_Line_Landscape"/>
    <w:basedOn w:val="Normal"/>
    <w:uiPriority w:val="29"/>
    <w:semiHidden/>
    <w:rsid w:val="006A4499"/>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6A4499"/>
    <w:pPr>
      <w:jc w:val="right"/>
    </w:pPr>
    <w:rPr>
      <w:sz w:val="20"/>
    </w:rPr>
  </w:style>
  <w:style w:type="paragraph" w:customStyle="1" w:styleId="ECHRHeaderRefIt">
    <w:name w:val="ECHR_Header_Ref_It"/>
    <w:aliases w:val="_Ref_Ital"/>
    <w:basedOn w:val="Normal"/>
    <w:next w:val="ECHRHeaderDate"/>
    <w:uiPriority w:val="43"/>
    <w:qFormat/>
    <w:rsid w:val="006A4499"/>
    <w:pPr>
      <w:jc w:val="right"/>
    </w:pPr>
    <w:rPr>
      <w:i/>
      <w:sz w:val="20"/>
    </w:rPr>
  </w:style>
  <w:style w:type="paragraph" w:customStyle="1" w:styleId="ECHRHeading9">
    <w:name w:val="ECHR_Heading_9"/>
    <w:aliases w:val="_Head_9"/>
    <w:basedOn w:val="Heading9"/>
    <w:uiPriority w:val="17"/>
    <w:rsid w:val="006A4499"/>
    <w:pPr>
      <w:keepNext/>
      <w:keepLines/>
      <w:numPr>
        <w:ilvl w:val="8"/>
        <w:numId w:val="2"/>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6A4499"/>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6A4499"/>
    <w:pPr>
      <w:numPr>
        <w:numId w:val="8"/>
      </w:numPr>
      <w:spacing w:before="60" w:after="60"/>
    </w:pPr>
  </w:style>
  <w:style w:type="paragraph" w:customStyle="1" w:styleId="ECHRNumberedList2">
    <w:name w:val="ECHR_Numbered_List_2"/>
    <w:aliases w:val="_Num_2"/>
    <w:basedOn w:val="ECHRNumberedList1"/>
    <w:uiPriority w:val="23"/>
    <w:semiHidden/>
    <w:rsid w:val="006A4499"/>
    <w:pPr>
      <w:numPr>
        <w:ilvl w:val="1"/>
      </w:numPr>
    </w:pPr>
  </w:style>
  <w:style w:type="paragraph" w:customStyle="1" w:styleId="ECHRNumberedList3">
    <w:name w:val="ECHR_Numbered_List_3"/>
    <w:aliases w:val="_Num_3"/>
    <w:basedOn w:val="ECHRNumberedList2"/>
    <w:uiPriority w:val="23"/>
    <w:semiHidden/>
    <w:rsid w:val="006A4499"/>
    <w:pPr>
      <w:numPr>
        <w:ilvl w:val="2"/>
      </w:numPr>
    </w:pPr>
  </w:style>
  <w:style w:type="paragraph" w:customStyle="1" w:styleId="ECHRParaHanging">
    <w:name w:val="ECHR_Para_Hanging"/>
    <w:aliases w:val="_Hanging"/>
    <w:basedOn w:val="Normal"/>
    <w:uiPriority w:val="8"/>
    <w:semiHidden/>
    <w:qFormat/>
    <w:rsid w:val="006A4499"/>
    <w:pPr>
      <w:ind w:left="567" w:hanging="567"/>
      <w:jc w:val="both"/>
    </w:pPr>
  </w:style>
  <w:style w:type="paragraph" w:customStyle="1" w:styleId="ECHRParaIndent">
    <w:name w:val="ECHR_Para_Indent"/>
    <w:aliases w:val="_Indent"/>
    <w:basedOn w:val="Normal"/>
    <w:uiPriority w:val="7"/>
    <w:qFormat/>
    <w:rsid w:val="006A4499"/>
    <w:pPr>
      <w:spacing w:before="120" w:after="120"/>
      <w:ind w:left="567"/>
      <w:jc w:val="both"/>
    </w:pPr>
  </w:style>
  <w:style w:type="character" w:customStyle="1" w:styleId="ECHRRed">
    <w:name w:val="ECHR_Red"/>
    <w:aliases w:val="_Red"/>
    <w:basedOn w:val="DefaultParagraphFont"/>
    <w:uiPriority w:val="15"/>
    <w:semiHidden/>
    <w:qFormat/>
    <w:rsid w:val="006A4499"/>
    <w:rPr>
      <w:color w:val="C00000" w:themeColor="accent2"/>
    </w:rPr>
  </w:style>
  <w:style w:type="paragraph" w:customStyle="1" w:styleId="DecList">
    <w:name w:val="Dec_List"/>
    <w:aliases w:val="_List"/>
    <w:basedOn w:val="JuList"/>
    <w:uiPriority w:val="22"/>
    <w:rsid w:val="006A4499"/>
    <w:pPr>
      <w:numPr>
        <w:numId w:val="0"/>
      </w:numPr>
      <w:ind w:left="284"/>
    </w:pPr>
  </w:style>
  <w:style w:type="table" w:customStyle="1" w:styleId="ECHRTable2">
    <w:name w:val="ECHR_Table_2"/>
    <w:basedOn w:val="TableNormal"/>
    <w:uiPriority w:val="99"/>
    <w:rsid w:val="006A4499"/>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6A4499"/>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6A4499"/>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6A4499"/>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6A4499"/>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6A4499"/>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6A4499"/>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6A4499"/>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6A4499"/>
    <w:pPr>
      <w:outlineLvl w:val="0"/>
    </w:pPr>
  </w:style>
  <w:style w:type="paragraph" w:customStyle="1" w:styleId="ECHRTitleTOC1">
    <w:name w:val="ECHR_Title_TOC_1"/>
    <w:aliases w:val="_Title_L_TOC"/>
    <w:basedOn w:val="ECHRTitle1"/>
    <w:next w:val="Normal"/>
    <w:uiPriority w:val="27"/>
    <w:semiHidden/>
    <w:qFormat/>
    <w:rsid w:val="006A4499"/>
    <w:pPr>
      <w:outlineLvl w:val="0"/>
    </w:pPr>
  </w:style>
  <w:style w:type="paragraph" w:customStyle="1" w:styleId="ECHRPlaceholder">
    <w:name w:val="ECHR_Placeholder"/>
    <w:aliases w:val="_Placeholder"/>
    <w:basedOn w:val="JuSigned"/>
    <w:uiPriority w:val="31"/>
    <w:rsid w:val="006A4499"/>
    <w:rPr>
      <w:color w:val="FFFFFF"/>
    </w:rPr>
  </w:style>
  <w:style w:type="paragraph" w:customStyle="1" w:styleId="ECHRSpacer">
    <w:name w:val="ECHR_Spacer"/>
    <w:aliases w:val="_Spacer"/>
    <w:basedOn w:val="Normal"/>
    <w:uiPriority w:val="45"/>
    <w:semiHidden/>
    <w:rsid w:val="006A4499"/>
    <w:rPr>
      <w:sz w:val="4"/>
    </w:rPr>
  </w:style>
  <w:style w:type="table" w:customStyle="1" w:styleId="ECHRTableGrey">
    <w:name w:val="ECHR_Table_Grey"/>
    <w:basedOn w:val="TableNormal"/>
    <w:uiPriority w:val="99"/>
    <w:rsid w:val="006A4499"/>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B34B1B"/>
    <w:rPr>
      <w:sz w:val="24"/>
      <w:szCs w:val="24"/>
      <w:lang w:val="fr-FR"/>
    </w:rPr>
  </w:style>
  <w:style w:type="character" w:customStyle="1" w:styleId="JuNames0">
    <w:name w:val="Ju_Names"/>
    <w:rsid w:val="00B34B1B"/>
    <w:rPr>
      <w:smallCaps/>
    </w:rPr>
  </w:style>
  <w:style w:type="paragraph" w:customStyle="1" w:styleId="JuList4">
    <w:name w:val="Ju_List_4"/>
    <w:aliases w:val="N_Bul_4"/>
    <w:basedOn w:val="JuListi"/>
    <w:uiPriority w:val="19"/>
    <w:rsid w:val="00B34B1B"/>
    <w:pPr>
      <w:numPr>
        <w:ilvl w:val="0"/>
        <w:numId w:val="0"/>
      </w:numPr>
      <w:tabs>
        <w:tab w:val="num" w:pos="1701"/>
      </w:tabs>
      <w:spacing w:before="60" w:after="60" w:line="240" w:lineRule="exact"/>
      <w:ind w:left="1703" w:hanging="284"/>
      <w:contextualSpacing/>
    </w:pPr>
    <w:rPr>
      <w:sz w:val="22"/>
      <w:lang w:eastAsia="fr-FR"/>
    </w:rPr>
  </w:style>
  <w:style w:type="character" w:customStyle="1" w:styleId="ECHRParaSpacedChar">
    <w:name w:val="ECHR_Para_Spaced Char"/>
    <w:aliases w:val="Para_Spaced Char"/>
    <w:basedOn w:val="DefaultParagraphFont"/>
    <w:link w:val="JuParaLast"/>
    <w:uiPriority w:val="5"/>
    <w:locked/>
    <w:rsid w:val="00B34B1B"/>
    <w:rPr>
      <w:sz w:val="24"/>
      <w:szCs w:val="24"/>
      <w:lang w:val="fr-FR"/>
    </w:rPr>
  </w:style>
  <w:style w:type="paragraph" w:customStyle="1" w:styleId="ECHRList1">
    <w:name w:val="ECHR_List_1"/>
    <w:aliases w:val="Num_Left_1"/>
    <w:basedOn w:val="Normal"/>
    <w:uiPriority w:val="12"/>
    <w:qFormat/>
    <w:rsid w:val="00B34B1B"/>
    <w:pPr>
      <w:tabs>
        <w:tab w:val="num" w:pos="397"/>
      </w:tabs>
      <w:spacing w:before="60" w:after="60"/>
      <w:ind w:left="397" w:hanging="397"/>
      <w:jc w:val="both"/>
    </w:pPr>
    <w:rPr>
      <w:sz w:val="22"/>
      <w:szCs w:val="22"/>
      <w:lang w:val="en-GB"/>
    </w:rPr>
  </w:style>
  <w:style w:type="paragraph" w:customStyle="1" w:styleId="ECHRList2">
    <w:name w:val="ECHR_List_2"/>
    <w:aliases w:val="Num_Left_2"/>
    <w:basedOn w:val="ECHRList1"/>
    <w:uiPriority w:val="12"/>
    <w:rsid w:val="00B34B1B"/>
    <w:pPr>
      <w:tabs>
        <w:tab w:val="clear" w:pos="397"/>
        <w:tab w:val="num" w:pos="794"/>
      </w:tabs>
      <w:ind w:left="794"/>
    </w:pPr>
  </w:style>
  <w:style w:type="paragraph" w:customStyle="1" w:styleId="ECHRList3">
    <w:name w:val="ECHR_List_3"/>
    <w:aliases w:val="Num_Left_3"/>
    <w:basedOn w:val="ECHRList2"/>
    <w:uiPriority w:val="12"/>
    <w:rsid w:val="00B34B1B"/>
    <w:pPr>
      <w:tabs>
        <w:tab w:val="clear" w:pos="794"/>
        <w:tab w:val="num" w:pos="1191"/>
      </w:tabs>
      <w:ind w:left="1191"/>
    </w:pPr>
  </w:style>
  <w:style w:type="paragraph" w:styleId="Revision">
    <w:name w:val="Revision"/>
    <w:hidden/>
    <w:uiPriority w:val="99"/>
    <w:semiHidden/>
    <w:rsid w:val="00B34B1B"/>
    <w:rPr>
      <w:sz w:val="24"/>
      <w:szCs w:val="24"/>
      <w:lang w:val="fr-FR"/>
    </w:rPr>
  </w:style>
  <w:style w:type="character" w:customStyle="1" w:styleId="UnresolvedMention">
    <w:name w:val="Unresolved Mention"/>
    <w:basedOn w:val="DefaultParagraphFont"/>
    <w:uiPriority w:val="99"/>
    <w:semiHidden/>
    <w:unhideWhenUsed/>
    <w:rsid w:val="00B34B1B"/>
    <w:rPr>
      <w:color w:val="605E5C"/>
      <w:shd w:val="clear" w:color="auto" w:fill="E1DFDD"/>
    </w:rPr>
  </w:style>
  <w:style w:type="paragraph" w:customStyle="1" w:styleId="ECHRCoverTitle3">
    <w:name w:val="ECHR_Cover_Title_3"/>
    <w:aliases w:val="Cover_3"/>
    <w:basedOn w:val="Normal"/>
    <w:next w:val="Normal"/>
    <w:uiPriority w:val="33"/>
    <w:qFormat/>
    <w:rsid w:val="00B34B1B"/>
    <w:pPr>
      <w:spacing w:before="1080" w:after="1080"/>
      <w:contextualSpacing/>
      <w:jc w:val="center"/>
    </w:pPr>
    <w:rPr>
      <w:b/>
      <w:color w:val="474747" w:themeColor="accent3" w:themeShade="BF"/>
      <w:szCs w:val="22"/>
      <w:lang w:val="en-GB"/>
    </w:rPr>
  </w:style>
  <w:style w:type="table" w:styleId="GridTable1Light">
    <w:name w:val="Grid Table 1 Light"/>
    <w:basedOn w:val="TableNormal"/>
    <w:uiPriority w:val="46"/>
    <w:semiHidden/>
    <w:rsid w:val="00B34B1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34B1B"/>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34B1B"/>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34B1B"/>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34B1B"/>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34B1B"/>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34B1B"/>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B34B1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B34B1B"/>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B34B1B"/>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B34B1B"/>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B34B1B"/>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B34B1B"/>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B34B1B"/>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B34B1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B34B1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B34B1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B34B1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B34B1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B34B1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B34B1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B34B1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B34B1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B34B1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B34B1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B34B1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B34B1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B34B1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B34B1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B34B1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B34B1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B34B1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B34B1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B34B1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B34B1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B34B1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B34B1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B34B1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B34B1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B34B1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B34B1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B34B1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B34B1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B34B1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B34B1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B34B1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B34B1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B34B1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B34B1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B34B1B"/>
    <w:rPr>
      <w:color w:val="2B579A"/>
      <w:shd w:val="clear" w:color="auto" w:fill="E1DFDD"/>
    </w:rPr>
  </w:style>
  <w:style w:type="table" w:styleId="ListTable1Light">
    <w:name w:val="List Table 1 Light"/>
    <w:basedOn w:val="TableNormal"/>
    <w:uiPriority w:val="46"/>
    <w:semiHidden/>
    <w:rsid w:val="00B34B1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B34B1B"/>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B34B1B"/>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B34B1B"/>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B34B1B"/>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B34B1B"/>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B34B1B"/>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B34B1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B34B1B"/>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B34B1B"/>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B34B1B"/>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B34B1B"/>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B34B1B"/>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B34B1B"/>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B34B1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B34B1B"/>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B34B1B"/>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B34B1B"/>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B34B1B"/>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B34B1B"/>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B34B1B"/>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B34B1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B34B1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B34B1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B34B1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B34B1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B34B1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B34B1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B34B1B"/>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34B1B"/>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34B1B"/>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34B1B"/>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34B1B"/>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34B1B"/>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34B1B"/>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34B1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B34B1B"/>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B34B1B"/>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B34B1B"/>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B34B1B"/>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B34B1B"/>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B34B1B"/>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B34B1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34B1B"/>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34B1B"/>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34B1B"/>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34B1B"/>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34B1B"/>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34B1B"/>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B34B1B"/>
    <w:rPr>
      <w:color w:val="2B579A"/>
      <w:shd w:val="clear" w:color="auto" w:fill="E1DFDD"/>
    </w:rPr>
  </w:style>
  <w:style w:type="table" w:styleId="PlainTable1">
    <w:name w:val="Plain Table 1"/>
    <w:basedOn w:val="TableNormal"/>
    <w:uiPriority w:val="41"/>
    <w:semiHidden/>
    <w:rsid w:val="00B34B1B"/>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B34B1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B34B1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34B1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B34B1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B34B1B"/>
    <w:rPr>
      <w:u w:val="dotted"/>
    </w:rPr>
  </w:style>
  <w:style w:type="character" w:customStyle="1" w:styleId="SmartLink">
    <w:name w:val="Smart Link"/>
    <w:basedOn w:val="DefaultParagraphFont"/>
    <w:uiPriority w:val="99"/>
    <w:semiHidden/>
    <w:unhideWhenUsed/>
    <w:rsid w:val="00B34B1B"/>
    <w:rPr>
      <w:color w:val="0000FF"/>
      <w:u w:val="single"/>
      <w:shd w:val="clear" w:color="auto" w:fill="F3F2F1"/>
    </w:rPr>
  </w:style>
  <w:style w:type="table" w:styleId="TableGridLight">
    <w:name w:val="Grid Table Light"/>
    <w:basedOn w:val="TableNormal"/>
    <w:uiPriority w:val="40"/>
    <w:semiHidden/>
    <w:rsid w:val="00B34B1B"/>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512D6D-06DA-4323-B233-73293233AA28}">
  <ds:schemaRefs>
    <ds:schemaRef ds:uri="http://schemas.openxmlformats.org/officeDocument/2006/bibliography"/>
  </ds:schemaRefs>
</ds:datastoreItem>
</file>

<file path=customXml/itemProps2.xml><?xml version="1.0" encoding="utf-8"?>
<ds:datastoreItem xmlns:ds="http://schemas.openxmlformats.org/officeDocument/2006/customXml" ds:itemID="{3FC9ED3C-3ABD-424C-B675-2AA9776C6D4D}"/>
</file>

<file path=customXml/itemProps3.xml><?xml version="1.0" encoding="utf-8"?>
<ds:datastoreItem xmlns:ds="http://schemas.openxmlformats.org/officeDocument/2006/customXml" ds:itemID="{9B152634-443E-4CD4-AB7F-9617506F6590}"/>
</file>

<file path=customXml/itemProps4.xml><?xml version="1.0" encoding="utf-8"?>
<ds:datastoreItem xmlns:ds="http://schemas.openxmlformats.org/officeDocument/2006/customXml" ds:itemID="{2ECCF4E5-59D5-4FAE-868C-514376C46B23}"/>
</file>

<file path=docProps/app.xml><?xml version="1.0" encoding="utf-8"?>
<Properties xmlns="http://schemas.openxmlformats.org/officeDocument/2006/extended-properties" xmlns:vt="http://schemas.openxmlformats.org/officeDocument/2006/docPropsVTypes">
  <Template>Normal.dotm</Template>
  <TotalTime>0</TotalTime>
  <Pages>1</Pages>
  <Words>12705</Words>
  <Characters>72424</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84960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2021-09-21T07:50:00Z</dcterms:created>
  <dcterms:modified xsi:type="dcterms:W3CDTF">2021-09-21T07:50:00Z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74209/16</vt:lpwstr>
  </property>
  <property fmtid="{D5CDD505-2E9C-101B-9397-08002B2CF9AE}" pid="4" name="CASEID">
    <vt:lpwstr>1267702</vt:lpwstr>
  </property>
  <property fmtid="{D5CDD505-2E9C-101B-9397-08002B2CF9AE}" pid="5" name="ContentTypeId">
    <vt:lpwstr>0x010100558EB02BDB9E204AB350EDD385B68E10</vt:lpwstr>
  </property>
</Properties>
</file>