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10766" w:rsidR="002A531E" w:rsidP="00710766" w:rsidRDefault="002A531E" w14:paraId="0AF7CA4A" w14:textId="77777777">
      <w:pPr>
        <w:rPr>
          <w:rFonts w:ascii="Times New Roman" w:hAnsi="Times New Roman" w:cs="Times New Roman"/>
        </w:rPr>
      </w:pPr>
    </w:p>
    <w:p w:rsidRPr="00710766" w:rsidR="007A4070" w:rsidP="00710766" w:rsidRDefault="007A4070" w14:paraId="5F18399F" w14:textId="77777777"/>
    <w:p w:rsidRPr="00710766" w:rsidR="007A4070" w:rsidP="00710766" w:rsidRDefault="002A531E" w14:paraId="3F676BB4" w14:textId="77777777">
      <w:pPr>
        <w:pStyle w:val="DecHCase"/>
      </w:pPr>
      <w:r w:rsidRPr="00710766">
        <w:t>DEUXIÈME SECTION</w:t>
      </w:r>
    </w:p>
    <w:p w:rsidRPr="00710766" w:rsidR="007A4070" w:rsidP="00710766" w:rsidRDefault="007A4070" w14:paraId="7D9BBFF0" w14:textId="77777777">
      <w:pPr>
        <w:pStyle w:val="JuTitle"/>
      </w:pPr>
      <w:r w:rsidRPr="00710766">
        <w:t xml:space="preserve">AFFAIRE </w:t>
      </w:r>
      <w:r w:rsidRPr="00710766" w:rsidR="00167333">
        <w:t>TUNCER BAKIRHAN</w:t>
      </w:r>
      <w:r w:rsidRPr="00710766" w:rsidR="002A531E">
        <w:t xml:space="preserve"> c. TURQUIE</w:t>
      </w:r>
    </w:p>
    <w:p w:rsidRPr="00710766" w:rsidR="007A4070" w:rsidP="00710766" w:rsidRDefault="007A4070" w14:paraId="5B1F5B70" w14:textId="77777777">
      <w:pPr>
        <w:pStyle w:val="ECHRCoverTitle4"/>
      </w:pPr>
      <w:r w:rsidRPr="00710766">
        <w:t>(</w:t>
      </w:r>
      <w:r w:rsidRPr="00710766" w:rsidR="002A531E">
        <w:t>Requête n</w:t>
      </w:r>
      <w:r w:rsidRPr="00710766" w:rsidR="002A531E">
        <w:rPr>
          <w:vertAlign w:val="superscript"/>
        </w:rPr>
        <w:t>o</w:t>
      </w:r>
      <w:r w:rsidRPr="00710766">
        <w:t xml:space="preserve"> </w:t>
      </w:r>
      <w:r w:rsidRPr="00710766" w:rsidR="00167333">
        <w:t>31417/19</w:t>
      </w:r>
      <w:r w:rsidRPr="00710766">
        <w:t>)</w:t>
      </w:r>
    </w:p>
    <w:p w:rsidRPr="00710766" w:rsidR="007A4070" w:rsidP="00710766" w:rsidRDefault="007A4070" w14:paraId="5D03BE43" w14:textId="77777777">
      <w:pPr>
        <w:pStyle w:val="DecHCase"/>
      </w:pPr>
    </w:p>
    <w:p w:rsidRPr="00710766" w:rsidR="007A4070" w:rsidP="00710766" w:rsidRDefault="007A4070" w14:paraId="73A703BA" w14:textId="77777777">
      <w:pPr>
        <w:pStyle w:val="DecHCase"/>
      </w:pPr>
    </w:p>
    <w:p w:rsidR="007A4070" w:rsidP="00710766" w:rsidRDefault="007A4070" w14:paraId="4FA3F8E4" w14:textId="718A2D75">
      <w:pPr>
        <w:pStyle w:val="DecHCase"/>
      </w:pPr>
      <w:r w:rsidRPr="00710766">
        <w:t>ARRÊT</w:t>
      </w:r>
      <w:r w:rsidRPr="00710766">
        <w:br/>
      </w:r>
    </w:p>
    <w:p w:rsidR="00F07259" w:rsidP="00F07259" w:rsidRDefault="00F07259" w14:paraId="5CFED9D6" w14:textId="70FAB120">
      <w:pPr>
        <w:pStyle w:val="JuPara"/>
        <w:pBdr>
          <w:top w:val="single" w:color="auto" w:sz="4" w:space="1"/>
          <w:left w:val="single" w:color="auto" w:sz="4" w:space="4"/>
          <w:bottom w:val="single" w:color="auto" w:sz="4" w:space="1"/>
          <w:right w:val="single" w:color="auto" w:sz="4" w:space="4"/>
        </w:pBdr>
        <w:ind w:firstLine="0"/>
      </w:pPr>
      <w:r w:rsidRPr="00CF0524">
        <w:t xml:space="preserve">Art 5 § 3 </w:t>
      </w:r>
      <w:bookmarkStart w:name="_Hlk81475288" w:id="0"/>
      <w:r w:rsidRPr="00CF0524">
        <w:t xml:space="preserve">• </w:t>
      </w:r>
      <w:bookmarkEnd w:id="0"/>
      <w:r w:rsidRPr="00CF0524">
        <w:t>Caractère raisonnable de la détention provisoire • Art 10 • Liberté d’expression • Absence de motifs suffisants pour ordonner et maintenir la détention provisoire d’un élu dans l’attente de son jugement, durant environ deux ans et onze mois, en raison de ses activités politiques • Absence de proportionnalité</w:t>
      </w:r>
    </w:p>
    <w:p w:rsidRPr="00F07259" w:rsidR="00F07259" w:rsidP="00F07259" w:rsidRDefault="00F07259" w14:paraId="5C6A1322" w14:textId="77777777">
      <w:pPr>
        <w:pStyle w:val="JuPara"/>
        <w:spacing w:after="120"/>
      </w:pPr>
    </w:p>
    <w:p w:rsidRPr="00710766" w:rsidR="007A4070" w:rsidP="00710766" w:rsidRDefault="007A4070" w14:paraId="609012C6" w14:textId="77777777">
      <w:pPr>
        <w:pStyle w:val="DecHCase"/>
      </w:pPr>
      <w:r w:rsidRPr="00710766">
        <w:t>STRASBOURG</w:t>
      </w:r>
    </w:p>
    <w:p w:rsidRPr="00710766" w:rsidR="007A4070" w:rsidP="00710766" w:rsidRDefault="002A531E" w14:paraId="122D2EDE" w14:textId="77777777">
      <w:pPr>
        <w:pStyle w:val="DecHCase"/>
      </w:pPr>
      <w:r w:rsidRPr="00710766">
        <w:t>14 septembre 2021</w:t>
      </w:r>
    </w:p>
    <w:p w:rsidRPr="00710766" w:rsidR="007A4070" w:rsidP="00710766" w:rsidRDefault="007A4070" w14:paraId="6A6BB491" w14:textId="6CAAB3EF">
      <w:pPr>
        <w:pStyle w:val="DecHCase"/>
      </w:pPr>
    </w:p>
    <w:p w:rsidRPr="00710766" w:rsidR="00682F07" w:rsidP="00710766" w:rsidRDefault="00682F07" w14:paraId="6BC5D780" w14:textId="1FE9371F">
      <w:pPr>
        <w:pStyle w:val="JuPara"/>
      </w:pPr>
    </w:p>
    <w:p w:rsidRPr="00710766" w:rsidR="00682F07" w:rsidP="00710766" w:rsidRDefault="00682F07" w14:paraId="50F47036" w14:textId="4C819A30">
      <w:pPr>
        <w:pStyle w:val="JuPara"/>
      </w:pPr>
    </w:p>
    <w:p w:rsidRPr="00710766" w:rsidR="00682F07" w:rsidP="00710766" w:rsidRDefault="00682F07" w14:paraId="230503B9" w14:textId="77777777">
      <w:pPr>
        <w:pStyle w:val="JuPara"/>
      </w:pPr>
    </w:p>
    <w:p w:rsidRPr="00710766" w:rsidR="00516B59" w:rsidP="00710766" w:rsidRDefault="007A4070" w14:paraId="40FB082D" w14:textId="0F867E9A">
      <w:pPr>
        <w:rPr>
          <w:rFonts w:ascii="Times New Roman" w:hAnsi="Times New Roman" w:cs="Times New Roman"/>
          <w:i/>
          <w:sz w:val="22"/>
        </w:rPr>
      </w:pPr>
      <w:r w:rsidRPr="00710766">
        <w:rPr>
          <w:i/>
          <w:sz w:val="22"/>
        </w:rPr>
        <w:t xml:space="preserve">Cet arrêt </w:t>
      </w:r>
      <w:r w:rsidRPr="00710766" w:rsidR="002A531E">
        <w:rPr>
          <w:i/>
          <w:sz w:val="22"/>
        </w:rPr>
        <w:t>deviendra définitif dans les conditions définies à l</w:t>
      </w:r>
      <w:r w:rsidRPr="00710766" w:rsidR="00710766">
        <w:rPr>
          <w:i/>
          <w:sz w:val="22"/>
        </w:rPr>
        <w:t>’</w:t>
      </w:r>
      <w:r w:rsidRPr="00710766" w:rsidR="002A531E">
        <w:rPr>
          <w:i/>
          <w:sz w:val="22"/>
        </w:rPr>
        <w:t xml:space="preserve">article 44 § 2 de la </w:t>
      </w:r>
      <w:r w:rsidRPr="00710766" w:rsidR="003050A8">
        <w:rPr>
          <w:i/>
          <w:sz w:val="22"/>
        </w:rPr>
        <w:t>Convention.</w:t>
      </w:r>
      <w:r w:rsidRPr="00710766">
        <w:rPr>
          <w:i/>
          <w:sz w:val="22"/>
        </w:rPr>
        <w:t xml:space="preserve"> Il peut subir des retouches de fo</w:t>
      </w:r>
      <w:r w:rsidRPr="00710766" w:rsidR="00516B59">
        <w:rPr>
          <w:rFonts w:ascii="Times New Roman" w:hAnsi="Times New Roman" w:cs="Times New Roman"/>
          <w:i/>
          <w:sz w:val="22"/>
        </w:rPr>
        <w:t>rme.</w:t>
      </w:r>
    </w:p>
    <w:p w:rsidRPr="00710766" w:rsidR="00516B59" w:rsidP="00710766" w:rsidRDefault="00516B59" w14:paraId="6A5D6737" w14:textId="77777777">
      <w:pPr>
        <w:ind w:left="720"/>
        <w:rPr>
          <w:rFonts w:ascii="Times New Roman" w:hAnsi="Times New Roman" w:cs="Times New Roman"/>
          <w:sz w:val="22"/>
        </w:rPr>
      </w:pPr>
    </w:p>
    <w:p w:rsidRPr="00710766" w:rsidR="00682F07" w:rsidP="00710766" w:rsidRDefault="00682F07" w14:paraId="79757698" w14:textId="126C9359">
      <w:pPr>
        <w:ind w:left="720"/>
        <w:rPr>
          <w:rFonts w:ascii="Times New Roman" w:hAnsi="Times New Roman" w:cs="Times New Roman"/>
          <w:sz w:val="22"/>
        </w:rPr>
        <w:sectPr w:rsidRPr="00710766" w:rsidR="00682F07" w:rsidSect="0090260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710766" w:rsidR="004344E6" w:rsidP="00710766" w:rsidRDefault="004344E6" w14:paraId="2A5393AA" w14:textId="430EC7E0">
      <w:pPr>
        <w:pStyle w:val="JuCase"/>
      </w:pPr>
      <w:r w:rsidRPr="00710766">
        <w:t>En l</w:t>
      </w:r>
      <w:r w:rsidRPr="00710766" w:rsidR="00710766">
        <w:t>’</w:t>
      </w:r>
      <w:r w:rsidRPr="00710766">
        <w:t xml:space="preserve">affaire </w:t>
      </w:r>
      <w:proofErr w:type="spellStart"/>
      <w:r w:rsidRPr="00710766" w:rsidR="002A531E">
        <w:t>Tuncer</w:t>
      </w:r>
      <w:proofErr w:type="spellEnd"/>
      <w:r w:rsidRPr="00710766" w:rsidR="002A531E">
        <w:t xml:space="preserve"> </w:t>
      </w:r>
      <w:proofErr w:type="spellStart"/>
      <w:r w:rsidRPr="00710766" w:rsidR="002A531E">
        <w:t>Bakırhan</w:t>
      </w:r>
      <w:proofErr w:type="spellEnd"/>
      <w:r w:rsidRPr="00710766" w:rsidR="002A531E">
        <w:t xml:space="preserve"> c. Turquie</w:t>
      </w:r>
      <w:r w:rsidRPr="00710766">
        <w:t>,</w:t>
      </w:r>
    </w:p>
    <w:p w:rsidRPr="00710766" w:rsidR="004344E6" w:rsidP="00710766" w:rsidRDefault="004344E6" w14:paraId="6354B0B4" w14:textId="64FD88CF">
      <w:pPr>
        <w:pStyle w:val="JuPara"/>
      </w:pPr>
      <w:r w:rsidRPr="00710766">
        <w:t>La Cour européenne des droits de l</w:t>
      </w:r>
      <w:r w:rsidRPr="00710766" w:rsidR="00710766">
        <w:t>’</w:t>
      </w:r>
      <w:r w:rsidRPr="00710766">
        <w:t>homme (</w:t>
      </w:r>
      <w:r w:rsidRPr="00710766" w:rsidR="002A531E">
        <w:t>deuxième section</w:t>
      </w:r>
      <w:r w:rsidRPr="00710766">
        <w:t xml:space="preserve">), siégeant en </w:t>
      </w:r>
      <w:r w:rsidRPr="00710766" w:rsidR="002A531E">
        <w:rPr>
          <w:color w:val="000000"/>
        </w:rPr>
        <w:t>une</w:t>
      </w:r>
      <w:r w:rsidRPr="00710766" w:rsidR="002A531E">
        <w:t xml:space="preserve"> Chambre composée</w:t>
      </w:r>
      <w:r w:rsidRPr="00710766">
        <w:t xml:space="preserve"> de :</w:t>
      </w:r>
    </w:p>
    <w:p w:rsidRPr="00710766" w:rsidR="003050A8" w:rsidP="00710766" w:rsidRDefault="003050A8" w14:paraId="430BE253" w14:textId="77777777">
      <w:pPr>
        <w:pStyle w:val="JuJudges"/>
        <w:jc w:val="both"/>
      </w:pPr>
      <w:r w:rsidRPr="00710766">
        <w:tab/>
        <w:t xml:space="preserve">Jon </w:t>
      </w:r>
      <w:proofErr w:type="spellStart"/>
      <w:r w:rsidRPr="00710766">
        <w:t>Fridrik</w:t>
      </w:r>
      <w:proofErr w:type="spellEnd"/>
      <w:r w:rsidRPr="00710766">
        <w:t xml:space="preserve"> </w:t>
      </w:r>
      <w:proofErr w:type="spellStart"/>
      <w:r w:rsidRPr="00710766">
        <w:t>Kjølbro</w:t>
      </w:r>
      <w:proofErr w:type="spellEnd"/>
      <w:r w:rsidRPr="00710766">
        <w:t>, président,</w:t>
      </w:r>
    </w:p>
    <w:p w:rsidRPr="00710766" w:rsidR="003050A8" w:rsidP="00710766" w:rsidRDefault="003050A8" w14:paraId="39F66A70" w14:textId="77777777">
      <w:pPr>
        <w:pStyle w:val="JuJudges"/>
        <w:jc w:val="both"/>
      </w:pPr>
      <w:r w:rsidRPr="00710766">
        <w:tab/>
        <w:t>Carlo Ranzoni,</w:t>
      </w:r>
    </w:p>
    <w:p w:rsidRPr="00710766" w:rsidR="003050A8" w:rsidP="00710766" w:rsidRDefault="003050A8" w14:paraId="3D5E0DD3" w14:textId="77777777">
      <w:pPr>
        <w:pStyle w:val="JuJudges"/>
        <w:jc w:val="both"/>
      </w:pPr>
      <w:r w:rsidRPr="00710766">
        <w:tab/>
      </w:r>
      <w:proofErr w:type="spellStart"/>
      <w:r w:rsidRPr="00710766">
        <w:t>Valeriu</w:t>
      </w:r>
      <w:proofErr w:type="spellEnd"/>
      <w:r w:rsidRPr="00710766">
        <w:t xml:space="preserve"> </w:t>
      </w:r>
      <w:proofErr w:type="spellStart"/>
      <w:r w:rsidRPr="00710766">
        <w:t>Griţco</w:t>
      </w:r>
      <w:proofErr w:type="spellEnd"/>
      <w:r w:rsidRPr="00710766">
        <w:t>,</w:t>
      </w:r>
    </w:p>
    <w:p w:rsidRPr="00710766" w:rsidR="003050A8" w:rsidP="00710766" w:rsidRDefault="003050A8" w14:paraId="5C4527E6" w14:textId="77777777">
      <w:pPr>
        <w:pStyle w:val="JuJudges"/>
        <w:jc w:val="both"/>
      </w:pPr>
      <w:r w:rsidRPr="00710766">
        <w:tab/>
      </w:r>
      <w:proofErr w:type="spellStart"/>
      <w:r w:rsidRPr="00710766">
        <w:t>Egidijus</w:t>
      </w:r>
      <w:proofErr w:type="spellEnd"/>
      <w:r w:rsidRPr="00710766">
        <w:t xml:space="preserve"> </w:t>
      </w:r>
      <w:proofErr w:type="spellStart"/>
      <w:r w:rsidRPr="00710766">
        <w:t>Kūris</w:t>
      </w:r>
      <w:proofErr w:type="spellEnd"/>
      <w:r w:rsidRPr="00710766">
        <w:t>,</w:t>
      </w:r>
    </w:p>
    <w:p w:rsidRPr="00710766" w:rsidR="003050A8" w:rsidP="00710766" w:rsidRDefault="003050A8" w14:paraId="641890FF" w14:textId="77777777">
      <w:pPr>
        <w:pStyle w:val="JuJudges"/>
        <w:jc w:val="both"/>
      </w:pPr>
      <w:r w:rsidRPr="00710766">
        <w:tab/>
        <w:t xml:space="preserve">Branko </w:t>
      </w:r>
      <w:proofErr w:type="spellStart"/>
      <w:r w:rsidRPr="00710766">
        <w:t>Lubarda</w:t>
      </w:r>
      <w:proofErr w:type="spellEnd"/>
      <w:r w:rsidRPr="00710766">
        <w:t>,</w:t>
      </w:r>
    </w:p>
    <w:p w:rsidRPr="00710766" w:rsidR="003050A8" w:rsidP="00710766" w:rsidRDefault="003050A8" w14:paraId="1D7F7CCD" w14:textId="77777777">
      <w:pPr>
        <w:pStyle w:val="JuJudges"/>
        <w:jc w:val="both"/>
        <w:rPr>
          <w:lang w:val="fi-FI"/>
        </w:rPr>
      </w:pPr>
      <w:r w:rsidRPr="00710766">
        <w:tab/>
      </w:r>
      <w:proofErr w:type="spellStart"/>
      <w:r w:rsidRPr="00710766">
        <w:rPr>
          <w:lang w:val="fi-FI"/>
        </w:rPr>
        <w:t>Pauliine</w:t>
      </w:r>
      <w:proofErr w:type="spellEnd"/>
      <w:r w:rsidRPr="00710766">
        <w:rPr>
          <w:lang w:val="fi-FI"/>
        </w:rPr>
        <w:t xml:space="preserve"> Koskelo,</w:t>
      </w:r>
    </w:p>
    <w:p w:rsidRPr="00710766" w:rsidR="003050A8" w:rsidP="00710766" w:rsidRDefault="003050A8" w14:paraId="3EE3891B" w14:textId="77777777">
      <w:pPr>
        <w:pStyle w:val="JuJudges"/>
        <w:jc w:val="both"/>
        <w:rPr>
          <w:lang w:val="fi-FI"/>
        </w:rPr>
      </w:pPr>
      <w:r w:rsidRPr="00710766">
        <w:rPr>
          <w:lang w:val="fi-FI"/>
        </w:rPr>
        <w:tab/>
      </w:r>
      <w:proofErr w:type="spellStart"/>
      <w:r w:rsidRPr="00710766">
        <w:rPr>
          <w:lang w:val="fi-FI"/>
        </w:rPr>
        <w:t>Saadet</w:t>
      </w:r>
      <w:proofErr w:type="spellEnd"/>
      <w:r w:rsidRPr="00710766">
        <w:rPr>
          <w:lang w:val="fi-FI"/>
        </w:rPr>
        <w:t xml:space="preserve"> </w:t>
      </w:r>
      <w:proofErr w:type="spellStart"/>
      <w:r w:rsidRPr="00710766">
        <w:rPr>
          <w:lang w:val="fi-FI"/>
        </w:rPr>
        <w:t>Yüksel</w:t>
      </w:r>
      <w:proofErr w:type="spellEnd"/>
      <w:r w:rsidRPr="00710766">
        <w:rPr>
          <w:lang w:val="fi-FI"/>
        </w:rPr>
        <w:t xml:space="preserve">, </w:t>
      </w:r>
      <w:proofErr w:type="spellStart"/>
      <w:r w:rsidRPr="00710766">
        <w:rPr>
          <w:lang w:val="fi-FI"/>
        </w:rPr>
        <w:t>juges</w:t>
      </w:r>
      <w:proofErr w:type="spellEnd"/>
      <w:r w:rsidRPr="00710766">
        <w:rPr>
          <w:lang w:val="fi-FI"/>
        </w:rPr>
        <w:t>,</w:t>
      </w:r>
    </w:p>
    <w:p w:rsidRPr="00710766" w:rsidR="004344E6" w:rsidP="00710766" w:rsidRDefault="004344E6" w14:paraId="3A0FB956" w14:textId="77777777">
      <w:pPr>
        <w:pStyle w:val="JuJudges"/>
        <w:jc w:val="both"/>
      </w:pPr>
      <w:proofErr w:type="gramStart"/>
      <w:r w:rsidRPr="00710766">
        <w:t>et</w:t>
      </w:r>
      <w:proofErr w:type="gramEnd"/>
      <w:r w:rsidRPr="00710766">
        <w:t xml:space="preserve"> de </w:t>
      </w:r>
      <w:r w:rsidRPr="00710766" w:rsidR="002A531E">
        <w:t>Stanley Naismith</w:t>
      </w:r>
      <w:r w:rsidRPr="00710766">
        <w:t xml:space="preserve">, </w:t>
      </w:r>
      <w:r w:rsidRPr="00710766" w:rsidR="002A531E">
        <w:rPr>
          <w:i/>
        </w:rPr>
        <w:t>greffier</w:t>
      </w:r>
      <w:r w:rsidRPr="00710766" w:rsidR="002A531E">
        <w:rPr>
          <w:iCs/>
        </w:rPr>
        <w:t xml:space="preserve"> </w:t>
      </w:r>
      <w:r w:rsidRPr="00710766" w:rsidR="002A531E">
        <w:rPr>
          <w:i/>
          <w:iCs/>
        </w:rPr>
        <w:t>d</w:t>
      </w:r>
      <w:r w:rsidRPr="00710766" w:rsidR="002A531E">
        <w:rPr>
          <w:i/>
        </w:rPr>
        <w:t>e section</w:t>
      </w:r>
      <w:r w:rsidRPr="00710766">
        <w:t>,</w:t>
      </w:r>
    </w:p>
    <w:p w:rsidRPr="00710766" w:rsidR="002A531E" w:rsidP="00710766" w:rsidRDefault="002A531E" w14:paraId="0845DAA2" w14:textId="77777777">
      <w:pPr>
        <w:pStyle w:val="JuPara"/>
      </w:pPr>
      <w:r w:rsidRPr="00710766">
        <w:t>Vu :</w:t>
      </w:r>
    </w:p>
    <w:p w:rsidRPr="00710766" w:rsidR="002A531E" w:rsidP="00710766" w:rsidRDefault="002A531E" w14:paraId="7AE129C7" w14:textId="01B7E764">
      <w:pPr>
        <w:pStyle w:val="JuPara"/>
      </w:pPr>
      <w:proofErr w:type="gramStart"/>
      <w:r w:rsidRPr="00710766">
        <w:t>la</w:t>
      </w:r>
      <w:proofErr w:type="gramEnd"/>
      <w:r w:rsidRPr="00710766">
        <w:t xml:space="preserve"> requête (n</w:t>
      </w:r>
      <w:r w:rsidRPr="00710766">
        <w:rPr>
          <w:vertAlign w:val="superscript"/>
        </w:rPr>
        <w:t>o</w:t>
      </w:r>
      <w:r w:rsidRPr="00710766">
        <w:t> 31417/19) dirigée contre la République de Turquie et dont un ressortissant de cet État, M. </w:t>
      </w:r>
      <w:proofErr w:type="spellStart"/>
      <w:r w:rsidRPr="00710766">
        <w:t>Tuncer</w:t>
      </w:r>
      <w:proofErr w:type="spellEnd"/>
      <w:r w:rsidRPr="00710766">
        <w:t xml:space="preserve"> </w:t>
      </w:r>
      <w:proofErr w:type="spellStart"/>
      <w:r w:rsidRPr="00710766">
        <w:t>Bakırhan</w:t>
      </w:r>
      <w:proofErr w:type="spellEnd"/>
      <w:r w:rsidRPr="00710766">
        <w:t xml:space="preserve"> (« le requérant ») a </w:t>
      </w:r>
      <w:bookmarkStart w:name="_Hlk36124016" w:id="1"/>
      <w:r w:rsidRPr="00710766">
        <w:t>saisi la Cour en vertu de l</w:t>
      </w:r>
      <w:r w:rsidRPr="00710766" w:rsidR="00710766">
        <w:t>’</w:t>
      </w:r>
      <w:r w:rsidRPr="00710766">
        <w:t>article 34 de la Convention de sauvegarde des droits de l</w:t>
      </w:r>
      <w:r w:rsidRPr="00710766" w:rsidR="00710766">
        <w:t>’</w:t>
      </w:r>
      <w:r w:rsidRPr="00710766">
        <w:t>homme et des libertés fondamentales (« la Convention »)</w:t>
      </w:r>
      <w:bookmarkEnd w:id="1"/>
      <w:r w:rsidRPr="00710766">
        <w:t xml:space="preserve"> le 10 mai 2019,</w:t>
      </w:r>
    </w:p>
    <w:p w:rsidRPr="00710766" w:rsidR="002A531E" w:rsidP="00710766" w:rsidRDefault="002A531E" w14:paraId="2B0CA896" w14:textId="77777777">
      <w:pPr>
        <w:pStyle w:val="JuPara"/>
      </w:pPr>
      <w:proofErr w:type="gramStart"/>
      <w:r w:rsidRPr="00710766">
        <w:t>les</w:t>
      </w:r>
      <w:proofErr w:type="gramEnd"/>
      <w:r w:rsidRPr="00710766">
        <w:t xml:space="preserve"> observations communiquées par le gouvernement défendeur et celles communiquées en réplique par le requérant,</w:t>
      </w:r>
    </w:p>
    <w:p w:rsidRPr="00710766" w:rsidR="002A531E" w:rsidP="00710766" w:rsidRDefault="002A531E" w14:paraId="1FAC4E8C" w14:textId="43F29FB5">
      <w:pPr>
        <w:pStyle w:val="JuPara"/>
      </w:pPr>
      <w:proofErr w:type="gramStart"/>
      <w:r w:rsidRPr="00710766">
        <w:t>les</w:t>
      </w:r>
      <w:proofErr w:type="gramEnd"/>
      <w:r w:rsidRPr="00710766">
        <w:t xml:space="preserve"> observations reçues de l</w:t>
      </w:r>
      <w:r w:rsidRPr="00710766" w:rsidR="00710766">
        <w:t>’</w:t>
      </w:r>
      <w:r w:rsidRPr="00710766">
        <w:t xml:space="preserve">association </w:t>
      </w:r>
      <w:proofErr w:type="spellStart"/>
      <w:r w:rsidRPr="00710766">
        <w:rPr>
          <w:i/>
          <w:iCs/>
        </w:rPr>
        <w:t>İfade</w:t>
      </w:r>
      <w:proofErr w:type="spellEnd"/>
      <w:r w:rsidRPr="00710766">
        <w:rPr>
          <w:i/>
          <w:iCs/>
        </w:rPr>
        <w:t xml:space="preserve"> </w:t>
      </w:r>
      <w:proofErr w:type="spellStart"/>
      <w:r w:rsidRPr="00710766">
        <w:rPr>
          <w:i/>
          <w:iCs/>
        </w:rPr>
        <w:t>Özgürlüğü</w:t>
      </w:r>
      <w:proofErr w:type="spellEnd"/>
      <w:r w:rsidRPr="00710766">
        <w:rPr>
          <w:i/>
          <w:iCs/>
        </w:rPr>
        <w:t xml:space="preserve"> </w:t>
      </w:r>
      <w:proofErr w:type="spellStart"/>
      <w:r w:rsidRPr="00710766">
        <w:rPr>
          <w:i/>
          <w:iCs/>
        </w:rPr>
        <w:t>Derneği</w:t>
      </w:r>
      <w:proofErr w:type="spellEnd"/>
      <w:r w:rsidRPr="00710766">
        <w:rPr>
          <w:i/>
          <w:iCs/>
        </w:rPr>
        <w:t xml:space="preserve"> </w:t>
      </w:r>
      <w:r w:rsidRPr="00710766">
        <w:t>(Association pour la liberté d</w:t>
      </w:r>
      <w:r w:rsidRPr="00710766" w:rsidR="00710766">
        <w:t>’</w:t>
      </w:r>
      <w:r w:rsidRPr="00710766">
        <w:t>expression), que le président de la section avait autorisée à se porter tierce intervenante,</w:t>
      </w:r>
    </w:p>
    <w:p w:rsidRPr="00710766" w:rsidR="004344E6" w:rsidP="00710766" w:rsidRDefault="004344E6" w14:paraId="304E1259" w14:textId="77777777">
      <w:pPr>
        <w:pStyle w:val="JuPara"/>
      </w:pPr>
      <w:r w:rsidRPr="00710766">
        <w:t xml:space="preserve">Après en avoir délibéré en chambre du conseil le </w:t>
      </w:r>
      <w:r w:rsidRPr="00710766" w:rsidR="002A531E">
        <w:t>6 juillet 2021</w:t>
      </w:r>
      <w:r w:rsidRPr="00710766">
        <w:t>,</w:t>
      </w:r>
    </w:p>
    <w:p w:rsidRPr="00710766" w:rsidR="00876F03" w:rsidP="00710766" w:rsidRDefault="004344E6" w14:paraId="3E22B0BB" w14:textId="04104769">
      <w:pPr>
        <w:pStyle w:val="JuPara"/>
      </w:pPr>
      <w:r w:rsidRPr="00710766">
        <w:t>Rend l</w:t>
      </w:r>
      <w:r w:rsidRPr="00710766" w:rsidR="00710766">
        <w:t>’</w:t>
      </w:r>
      <w:r w:rsidRPr="00710766">
        <w:t>arrêt que voici</w:t>
      </w:r>
      <w:r w:rsidRPr="00710766" w:rsidR="00876F03">
        <w:t>, adopté à cette date :</w:t>
      </w:r>
    </w:p>
    <w:p w:rsidRPr="00710766" w:rsidR="002A531E" w:rsidP="00710766" w:rsidRDefault="002A531E" w14:paraId="53E2CBF3" w14:textId="77777777">
      <w:pPr>
        <w:pStyle w:val="JuHHead"/>
      </w:pPr>
      <w:r w:rsidRPr="00710766">
        <w:rPr>
          <w:caps w:val="0"/>
        </w:rPr>
        <w:t>INTRODUCTION</w:t>
      </w:r>
    </w:p>
    <w:p w:rsidRPr="00710766" w:rsidR="002A531E" w:rsidP="00710766" w:rsidRDefault="002A531E" w14:paraId="3EB71733" w14:textId="73EEC464">
      <w:pPr>
        <w:pStyle w:val="JuPara"/>
      </w:pPr>
      <w:r w:rsidRPr="00710766">
        <w:fldChar w:fldCharType="begin"/>
      </w:r>
      <w:r w:rsidRPr="00710766">
        <w:instrText xml:space="preserve"> SEQ level0 \*arabic </w:instrText>
      </w:r>
      <w:r w:rsidRPr="00710766">
        <w:fldChar w:fldCharType="separate"/>
      </w:r>
      <w:r w:rsidRPr="00710766" w:rsidR="00710766">
        <w:rPr>
          <w:noProof/>
        </w:rPr>
        <w:t>1</w:t>
      </w:r>
      <w:r w:rsidRPr="00710766">
        <w:fldChar w:fldCharType="end"/>
      </w:r>
      <w:r w:rsidRPr="00710766">
        <w:t>.  L</w:t>
      </w:r>
      <w:r w:rsidRPr="00710766" w:rsidR="00710766">
        <w:t>’</w:t>
      </w:r>
      <w:r w:rsidRPr="00710766">
        <w:t>affaire porte sur la mise et le maintien en détention d</w:t>
      </w:r>
      <w:r w:rsidRPr="00710766" w:rsidR="00710766">
        <w:t>’</w:t>
      </w:r>
      <w:r w:rsidRPr="00710766">
        <w:t>un ancien maire de Siirt, agglomération située dans le sud-est de la Turquie, en raison de ses activités et déclarations.</w:t>
      </w:r>
    </w:p>
    <w:p w:rsidRPr="00710766" w:rsidR="002A531E" w:rsidP="00710766" w:rsidRDefault="002A531E" w14:paraId="1101C4EA" w14:textId="77777777">
      <w:pPr>
        <w:pStyle w:val="JuHHead"/>
      </w:pPr>
      <w:bookmarkStart w:name="_Hlk36126677" w:id="2"/>
      <w:r w:rsidRPr="00710766">
        <w:t>EN FAIT</w:t>
      </w:r>
    </w:p>
    <w:bookmarkEnd w:id="2"/>
    <w:p w:rsidRPr="00710766" w:rsidR="002A531E" w:rsidP="00710766" w:rsidRDefault="002A531E" w14:paraId="0BEC0021" w14:textId="61D6312D">
      <w:pPr>
        <w:pStyle w:val="JuPara"/>
      </w:pPr>
      <w:r w:rsidRPr="00710766">
        <w:fldChar w:fldCharType="begin"/>
      </w:r>
      <w:r w:rsidRPr="00710766">
        <w:instrText xml:space="preserve"> SEQ level0 \*arabic </w:instrText>
      </w:r>
      <w:r w:rsidRPr="00710766">
        <w:fldChar w:fldCharType="separate"/>
      </w:r>
      <w:r w:rsidRPr="00710766" w:rsidR="00710766">
        <w:rPr>
          <w:noProof/>
        </w:rPr>
        <w:t>2</w:t>
      </w:r>
      <w:r w:rsidRPr="00710766">
        <w:fldChar w:fldCharType="end"/>
      </w:r>
      <w:r w:rsidRPr="00710766">
        <w:t>.  Le requérant, qui est né en 1970, était détenu à Bolu au moment de l</w:t>
      </w:r>
      <w:r w:rsidRPr="00710766" w:rsidR="00710766">
        <w:t>’</w:t>
      </w:r>
      <w:r w:rsidRPr="00710766">
        <w:t>introduction de la requête. Lors des élections municipales du 30 mars 2014, il avait été élu maire de Siirt sous l</w:t>
      </w:r>
      <w:r w:rsidRPr="00710766" w:rsidR="00710766">
        <w:t>’</w:t>
      </w:r>
      <w:r w:rsidRPr="00710766">
        <w:t>étiquette du parti BDP (</w:t>
      </w:r>
      <w:proofErr w:type="spellStart"/>
      <w:r w:rsidRPr="00710766">
        <w:rPr>
          <w:i/>
          <w:iCs/>
        </w:rPr>
        <w:t>Bar</w:t>
      </w:r>
      <w:r w:rsidRPr="00710766">
        <w:rPr>
          <w:rFonts w:cstheme="minorHAnsi"/>
          <w:i/>
          <w:iCs/>
        </w:rPr>
        <w:t>ış</w:t>
      </w:r>
      <w:proofErr w:type="spellEnd"/>
      <w:r w:rsidRPr="00710766">
        <w:rPr>
          <w:i/>
          <w:iCs/>
        </w:rPr>
        <w:t xml:space="preserve"> </w:t>
      </w:r>
      <w:proofErr w:type="spellStart"/>
      <w:r w:rsidRPr="00710766">
        <w:rPr>
          <w:i/>
          <w:iCs/>
        </w:rPr>
        <w:t>ve</w:t>
      </w:r>
      <w:proofErr w:type="spellEnd"/>
      <w:r w:rsidRPr="00710766">
        <w:rPr>
          <w:i/>
          <w:iCs/>
        </w:rPr>
        <w:t xml:space="preserve"> </w:t>
      </w:r>
      <w:proofErr w:type="spellStart"/>
      <w:r w:rsidRPr="00710766">
        <w:rPr>
          <w:i/>
          <w:iCs/>
        </w:rPr>
        <w:t>Demokrasi</w:t>
      </w:r>
      <w:proofErr w:type="spellEnd"/>
      <w:r w:rsidRPr="00710766">
        <w:rPr>
          <w:i/>
          <w:iCs/>
        </w:rPr>
        <w:t xml:space="preserve"> </w:t>
      </w:r>
      <w:proofErr w:type="spellStart"/>
      <w:r w:rsidRPr="00710766">
        <w:rPr>
          <w:i/>
          <w:iCs/>
        </w:rPr>
        <w:t>Partisi</w:t>
      </w:r>
      <w:proofErr w:type="spellEnd"/>
      <w:r w:rsidRPr="00710766">
        <w:t>, « Parti de la paix et de la démocratie »). À la suite de son placement en détention provisoire le 16 novembre 2016, il avait été relevé de ses fonctions. Il a été représenté par M</w:t>
      </w:r>
      <w:r w:rsidRPr="00710766">
        <w:rPr>
          <w:vertAlign w:val="superscript"/>
        </w:rPr>
        <w:t>es</w:t>
      </w:r>
      <w:r w:rsidRPr="00710766">
        <w:t xml:space="preserve"> M. </w:t>
      </w:r>
      <w:proofErr w:type="spellStart"/>
      <w:r w:rsidRPr="00710766">
        <w:t>Beştaş</w:t>
      </w:r>
      <w:proofErr w:type="spellEnd"/>
      <w:r w:rsidRPr="00710766">
        <w:t xml:space="preserve"> et M. </w:t>
      </w:r>
      <w:proofErr w:type="spellStart"/>
      <w:r w:rsidRPr="00710766">
        <w:rPr>
          <w:rFonts w:cstheme="minorHAnsi"/>
        </w:rPr>
        <w:t>Ö</w:t>
      </w:r>
      <w:r w:rsidRPr="00710766">
        <w:t>zdemir</w:t>
      </w:r>
      <w:proofErr w:type="spellEnd"/>
      <w:r w:rsidRPr="00710766">
        <w:t>, avocats à Diyarbakır.</w:t>
      </w:r>
    </w:p>
    <w:p w:rsidRPr="00710766" w:rsidR="002A531E" w:rsidP="00710766" w:rsidRDefault="002A531E" w14:paraId="77CDB186" w14:textId="181BBF62">
      <w:pPr>
        <w:pStyle w:val="JuPara"/>
      </w:pPr>
      <w:r w:rsidRPr="00710766">
        <w:fldChar w:fldCharType="begin"/>
      </w:r>
      <w:r w:rsidRPr="00710766">
        <w:instrText xml:space="preserve"> SEQ level0 \*arabic </w:instrText>
      </w:r>
      <w:r w:rsidRPr="00710766">
        <w:fldChar w:fldCharType="separate"/>
      </w:r>
      <w:r w:rsidRPr="00710766" w:rsidR="00710766">
        <w:rPr>
          <w:noProof/>
        </w:rPr>
        <w:t>3</w:t>
      </w:r>
      <w:r w:rsidRPr="00710766">
        <w:fldChar w:fldCharType="end"/>
      </w:r>
      <w:r w:rsidRPr="00710766">
        <w:t>.  </w:t>
      </w:r>
      <w:r w:rsidRPr="00710766" w:rsidR="00865F8F">
        <w:t>Le Gouvernement est représenté par s</w:t>
      </w:r>
      <w:r w:rsidRPr="00710766" w:rsidR="00D166C2">
        <w:t>es</w:t>
      </w:r>
      <w:r w:rsidRPr="00710766" w:rsidR="00865F8F">
        <w:t xml:space="preserve"> Co-Agents, M. </w:t>
      </w:r>
      <w:proofErr w:type="spellStart"/>
      <w:r w:rsidRPr="00710766" w:rsidR="00865F8F">
        <w:t>Hacı</w:t>
      </w:r>
      <w:proofErr w:type="spellEnd"/>
      <w:r w:rsidRPr="00710766" w:rsidR="00865F8F">
        <w:t xml:space="preserve"> Ali </w:t>
      </w:r>
      <w:proofErr w:type="spellStart"/>
      <w:r w:rsidRPr="00710766" w:rsidR="00865F8F">
        <w:t>Açıkgül</w:t>
      </w:r>
      <w:proofErr w:type="spellEnd"/>
      <w:r w:rsidRPr="00710766" w:rsidR="00865F8F">
        <w:t xml:space="preserve"> et M</w:t>
      </w:r>
      <w:r w:rsidRPr="00710766" w:rsidR="00865F8F">
        <w:rPr>
          <w:vertAlign w:val="superscript"/>
        </w:rPr>
        <w:t>me</w:t>
      </w:r>
      <w:r w:rsidRPr="00710766" w:rsidR="00865F8F">
        <w:t xml:space="preserve"> </w:t>
      </w:r>
      <w:proofErr w:type="spellStart"/>
      <w:r w:rsidRPr="00710766" w:rsidR="00865F8F">
        <w:t>Çağla</w:t>
      </w:r>
      <w:proofErr w:type="spellEnd"/>
      <w:r w:rsidRPr="00710766" w:rsidR="00865F8F">
        <w:t xml:space="preserve"> </w:t>
      </w:r>
      <w:proofErr w:type="spellStart"/>
      <w:r w:rsidRPr="00710766" w:rsidR="00865F8F">
        <w:t>Pınar</w:t>
      </w:r>
      <w:proofErr w:type="spellEnd"/>
      <w:r w:rsidRPr="00710766" w:rsidR="00865F8F">
        <w:t xml:space="preserve"> </w:t>
      </w:r>
      <w:proofErr w:type="spellStart"/>
      <w:r w:rsidRPr="00710766" w:rsidR="00865F8F">
        <w:t>Tansu</w:t>
      </w:r>
      <w:proofErr w:type="spellEnd"/>
      <w:r w:rsidRPr="00710766" w:rsidR="00865F8F">
        <w:t xml:space="preserve"> </w:t>
      </w:r>
      <w:proofErr w:type="spellStart"/>
      <w:r w:rsidRPr="00710766" w:rsidR="00865F8F">
        <w:t>Seçkin</w:t>
      </w:r>
      <w:proofErr w:type="spellEnd"/>
      <w:r w:rsidRPr="00710766">
        <w:t>.</w:t>
      </w:r>
    </w:p>
    <w:p w:rsidRPr="00710766" w:rsidR="002A531E" w:rsidP="00710766" w:rsidRDefault="002A531E" w14:paraId="29206315" w14:textId="0FEB2DB7">
      <w:pPr>
        <w:pStyle w:val="JuPara"/>
      </w:pPr>
      <w:r w:rsidRPr="00710766">
        <w:fldChar w:fldCharType="begin"/>
      </w:r>
      <w:r w:rsidRPr="00710766">
        <w:instrText xml:space="preserve"> SEQ level0 \*arabic </w:instrText>
      </w:r>
      <w:r w:rsidRPr="00710766">
        <w:fldChar w:fldCharType="separate"/>
      </w:r>
      <w:r w:rsidRPr="00710766" w:rsidR="00710766">
        <w:rPr>
          <w:noProof/>
        </w:rPr>
        <w:t>4</w:t>
      </w:r>
      <w:r w:rsidRPr="00710766">
        <w:fldChar w:fldCharType="end"/>
      </w:r>
      <w:r w:rsidRPr="00710766">
        <w:t>.  Le 21 juillet 2016, au lendemain de la tentative de coup d</w:t>
      </w:r>
      <w:r w:rsidRPr="00710766" w:rsidR="00710766">
        <w:t>’</w:t>
      </w:r>
      <w:r w:rsidRPr="00710766">
        <w:t>état du 15 juillet 2016, le Représentant permanent de la Turquie auprès du Conseil de l</w:t>
      </w:r>
      <w:r w:rsidRPr="00710766" w:rsidR="00710766">
        <w:t>’</w:t>
      </w:r>
      <w:r w:rsidRPr="00710766">
        <w:t>Europe a transmis au Secrétaire Général du Conseil de l</w:t>
      </w:r>
      <w:r w:rsidRPr="00710766" w:rsidR="00710766">
        <w:t>’</w:t>
      </w:r>
      <w:r w:rsidRPr="00710766">
        <w:t>Europe une notification de dérogation, dont le texte est reproduit dans l</w:t>
      </w:r>
      <w:r w:rsidRPr="00710766" w:rsidR="00710766">
        <w:t>’</w:t>
      </w:r>
      <w:r w:rsidRPr="00710766">
        <w:t xml:space="preserve">arrêt </w:t>
      </w:r>
      <w:proofErr w:type="spellStart"/>
      <w:r w:rsidRPr="00710766">
        <w:rPr>
          <w:i/>
          <w:iCs/>
        </w:rPr>
        <w:t>Alparslan</w:t>
      </w:r>
      <w:proofErr w:type="spellEnd"/>
      <w:r w:rsidRPr="00710766">
        <w:rPr>
          <w:i/>
          <w:iCs/>
        </w:rPr>
        <w:t xml:space="preserve"> </w:t>
      </w:r>
      <w:proofErr w:type="spellStart"/>
      <w:r w:rsidRPr="00710766">
        <w:rPr>
          <w:i/>
          <w:iCs/>
        </w:rPr>
        <w:t>Altan</w:t>
      </w:r>
      <w:proofErr w:type="spellEnd"/>
      <w:r w:rsidRPr="00710766">
        <w:rPr>
          <w:i/>
          <w:iCs/>
        </w:rPr>
        <w:t xml:space="preserve"> c. Turquie </w:t>
      </w:r>
      <w:r w:rsidRPr="00710766">
        <w:t>(n</w:t>
      </w:r>
      <w:r w:rsidRPr="00710766">
        <w:rPr>
          <w:vertAlign w:val="superscript"/>
        </w:rPr>
        <w:t>o</w:t>
      </w:r>
      <w:r w:rsidRPr="00710766">
        <w:t> 12778/17, § 66, 16 avril 2019). L</w:t>
      </w:r>
      <w:r w:rsidRPr="00710766" w:rsidR="00710766">
        <w:t>’</w:t>
      </w:r>
      <w:r w:rsidRPr="00710766">
        <w:t>état d</w:t>
      </w:r>
      <w:r w:rsidRPr="00710766" w:rsidR="00710766">
        <w:t>’</w:t>
      </w:r>
      <w:r w:rsidRPr="00710766">
        <w:t>urgence a pris fin le 19 juillet 2018. L</w:t>
      </w:r>
      <w:r w:rsidRPr="00710766" w:rsidR="00710766">
        <w:t>’</w:t>
      </w:r>
      <w:r w:rsidRPr="00710766">
        <w:t>avis de dérogation a été retiré le 8 août 2018.</w:t>
      </w:r>
    </w:p>
    <w:bookmarkStart w:name="paragraph5" w:id="3"/>
    <w:p w:rsidRPr="00710766" w:rsidR="002A531E" w:rsidP="00710766" w:rsidRDefault="002A531E" w14:paraId="5A85EAC7" w14:textId="60874D82">
      <w:pPr>
        <w:pStyle w:val="JuPara"/>
      </w:pPr>
      <w:r w:rsidRPr="00710766">
        <w:fldChar w:fldCharType="begin"/>
      </w:r>
      <w:r w:rsidRPr="00710766">
        <w:instrText xml:space="preserve"> SEQ level0 \*arabic </w:instrText>
      </w:r>
      <w:r w:rsidRPr="00710766">
        <w:fldChar w:fldCharType="separate"/>
      </w:r>
      <w:r w:rsidRPr="00710766" w:rsidR="00710766">
        <w:rPr>
          <w:noProof/>
        </w:rPr>
        <w:t>5</w:t>
      </w:r>
      <w:r w:rsidRPr="00710766">
        <w:fldChar w:fldCharType="end"/>
      </w:r>
      <w:bookmarkEnd w:id="3"/>
      <w:r w:rsidRPr="00710766">
        <w:t>.  Le 16 novembre 2016, le requérant fut arrêté pour appartenance à une organisation terroriste (article 314 § 2 du code pénal – ci-après « le CP ») et propagande en faveur d</w:t>
      </w:r>
      <w:r w:rsidRPr="00710766" w:rsidR="00710766">
        <w:t>’</w:t>
      </w:r>
      <w:r w:rsidRPr="00710766">
        <w:t>une telle organisation (article 7 § 2 de la loi sur la lutte contre le terrorisme – ci-après « la loi n</w:t>
      </w:r>
      <w:r w:rsidRPr="00710766">
        <w:rPr>
          <w:vertAlign w:val="superscript"/>
        </w:rPr>
        <w:t>o</w:t>
      </w:r>
      <w:r w:rsidRPr="00710766">
        <w:t> 3713 »). Le même jour, assisté par ses avocats, il fut interrogé par le procureur de la République sur sa présence aux obsèques d</w:t>
      </w:r>
      <w:r w:rsidRPr="00710766" w:rsidR="00710766">
        <w:t>’</w:t>
      </w:r>
      <w:r w:rsidRPr="00710766">
        <w:t>un grand nombre de membres du PKK (Parti des travailleurs du Kurdistan, une organisation illégale armée) tués par les forces de l</w:t>
      </w:r>
      <w:r w:rsidRPr="00710766" w:rsidR="00710766">
        <w:t>’</w:t>
      </w:r>
      <w:r w:rsidRPr="00710766">
        <w:t xml:space="preserve">ordre, sa participation à des rassemblements publics et ses déclarations lors de certains rassemblements publics organisés par son parti ou par le Parti démocratique des peuples (HDP). Il fut notamment interrogé sur sa déclaration du 28 mars 2015, au cours de laquelle il avait tenu les propos suivants : « Je tiens à présenter mes salutations et mon respect à tous les martyrs de la liberté, en la personne de notre ami </w:t>
      </w:r>
      <w:proofErr w:type="spellStart"/>
      <w:r w:rsidRPr="00710766">
        <w:t>Mahsun</w:t>
      </w:r>
      <w:proofErr w:type="spellEnd"/>
      <w:r w:rsidRPr="00710766">
        <w:t xml:space="preserve"> </w:t>
      </w:r>
      <w:proofErr w:type="spellStart"/>
      <w:r w:rsidRPr="00710766">
        <w:t>Korkmaz</w:t>
      </w:r>
      <w:proofErr w:type="spellEnd"/>
      <w:r w:rsidRPr="00710766">
        <w:t xml:space="preserve"> [l</w:t>
      </w:r>
      <w:r w:rsidRPr="00710766" w:rsidR="00710766">
        <w:t>’</w:t>
      </w:r>
      <w:r w:rsidRPr="00710766">
        <w:t>un des fondateurs du PKK, tué par les forces de l</w:t>
      </w:r>
      <w:r w:rsidRPr="00710766" w:rsidR="00710766">
        <w:t>’</w:t>
      </w:r>
      <w:r w:rsidRPr="00710766">
        <w:t>ordre] ». Le requérant reconnut les faits qui lui étaient reprochés mais soutint que les accusations portées contre lui étaient liées à ses discours politiques, dont la teneur était d</w:t>
      </w:r>
      <w:r w:rsidRPr="00710766" w:rsidR="00710766">
        <w:t>’</w:t>
      </w:r>
      <w:r w:rsidRPr="00710766">
        <w:t>après lui protégée par son droit à la liberté d</w:t>
      </w:r>
      <w:r w:rsidRPr="00710766" w:rsidR="00710766">
        <w:t>’</w:t>
      </w:r>
      <w:r w:rsidRPr="00710766">
        <w:t>expression. À propos de sa présence à un grand nombre d</w:t>
      </w:r>
      <w:r w:rsidRPr="00710766" w:rsidR="00710766">
        <w:t>’</w:t>
      </w:r>
      <w:r w:rsidRPr="00710766">
        <w:t>obsèques et de rassemblements publics, il expliqua que c</w:t>
      </w:r>
      <w:r w:rsidRPr="00710766" w:rsidR="00710766">
        <w:t>’</w:t>
      </w:r>
      <w:r w:rsidRPr="00710766">
        <w:t>était en sa qualité de maire, sans poursuivre un quelconque agenda politique, qu</w:t>
      </w:r>
      <w:r w:rsidRPr="00710766" w:rsidR="00710766">
        <w:t>’</w:t>
      </w:r>
      <w:r w:rsidRPr="00710766">
        <w:t>il avait assisté à plusieurs milliers d</w:t>
      </w:r>
      <w:r w:rsidRPr="00710766" w:rsidR="00710766">
        <w:t>’</w:t>
      </w:r>
      <w:r w:rsidRPr="00710766">
        <w:t>obsèques et à de nombreux rassemblements politiques.</w:t>
      </w:r>
    </w:p>
    <w:p w:rsidRPr="00710766" w:rsidR="002A531E" w:rsidP="00710766" w:rsidRDefault="002A531E" w14:paraId="5E8CBF70" w14:textId="7B369733">
      <w:pPr>
        <w:pStyle w:val="JuPara"/>
      </w:pPr>
      <w:r w:rsidRPr="00710766">
        <w:fldChar w:fldCharType="begin"/>
      </w:r>
      <w:r w:rsidRPr="00710766">
        <w:instrText xml:space="preserve"> SEQ level0 \*arabic </w:instrText>
      </w:r>
      <w:r w:rsidRPr="00710766">
        <w:fldChar w:fldCharType="separate"/>
      </w:r>
      <w:r w:rsidRPr="00710766" w:rsidR="00710766">
        <w:rPr>
          <w:noProof/>
        </w:rPr>
        <w:t>6</w:t>
      </w:r>
      <w:r w:rsidRPr="00710766">
        <w:fldChar w:fldCharType="end"/>
      </w:r>
      <w:r w:rsidRPr="00710766">
        <w:t>.  Le même jour, le requérant fut traduit devant un juge de paix. Il réitéra les déclarations qu</w:t>
      </w:r>
      <w:r w:rsidRPr="00710766" w:rsidR="00710766">
        <w:t>’</w:t>
      </w:r>
      <w:r w:rsidRPr="00710766">
        <w:t>il avait faites devant le parquet. Ses avocats, alléguant qu</w:t>
      </w:r>
      <w:r w:rsidRPr="00710766" w:rsidR="00710766">
        <w:t>’</w:t>
      </w:r>
      <w:r w:rsidRPr="00710766">
        <w:t>il n</w:t>
      </w:r>
      <w:r w:rsidRPr="00710766" w:rsidR="00710766">
        <w:t>’</w:t>
      </w:r>
      <w:r w:rsidRPr="00710766">
        <w:t>existait aucune preuve à charge contre le requérant et que les faits qui étaient reprochés à l</w:t>
      </w:r>
      <w:r w:rsidRPr="00710766" w:rsidR="00710766">
        <w:t>’</w:t>
      </w:r>
      <w:r w:rsidRPr="00710766">
        <w:t>intéressé relevaient des activités ordinaires d</w:t>
      </w:r>
      <w:r w:rsidRPr="00710766" w:rsidR="00710766">
        <w:t>’</w:t>
      </w:r>
      <w:r w:rsidRPr="00710766">
        <w:t>un maire et n</w:t>
      </w:r>
      <w:r w:rsidRPr="00710766" w:rsidR="00710766">
        <w:t>’</w:t>
      </w:r>
      <w:r w:rsidRPr="00710766">
        <w:t>étaient pas constitutifs d</w:t>
      </w:r>
      <w:r w:rsidRPr="00710766" w:rsidR="00710766">
        <w:t>’</w:t>
      </w:r>
      <w:r w:rsidRPr="00710766">
        <w:t>une infraction,</w:t>
      </w:r>
      <w:r w:rsidRPr="00710766" w:rsidDel="00587B93">
        <w:t xml:space="preserve"> </w:t>
      </w:r>
      <w:r w:rsidRPr="00710766">
        <w:t>demandèrent l</w:t>
      </w:r>
      <w:r w:rsidRPr="00710766" w:rsidR="00710766">
        <w:t>’</w:t>
      </w:r>
      <w:r w:rsidRPr="00710766">
        <w:t>élargissement de leur client. Ils arguèrent également que le placement en détention provisoire était une mesure trop sévère et que d</w:t>
      </w:r>
      <w:r w:rsidRPr="00710766" w:rsidR="00710766">
        <w:t>’</w:t>
      </w:r>
      <w:r w:rsidRPr="00710766">
        <w:t>autres mesures, telles que la libération sous caution ou le placement sous contrôle judiciaire, auraient pu être envisagées. À cet égard, ils expliquèrent que leur client était maire, qu</w:t>
      </w:r>
      <w:r w:rsidRPr="00710766" w:rsidR="00710766">
        <w:t>’</w:t>
      </w:r>
      <w:r w:rsidRPr="00710766">
        <w:t>il avait un domicile fixe et que le risque qu</w:t>
      </w:r>
      <w:r w:rsidRPr="00710766" w:rsidR="00710766">
        <w:t>’</w:t>
      </w:r>
      <w:r w:rsidRPr="00710766">
        <w:t>il prît la fuite était inexistant.</w:t>
      </w:r>
    </w:p>
    <w:bookmarkStart w:name="paragraph7" w:id="4"/>
    <w:p w:rsidRPr="00710766" w:rsidR="002A531E" w:rsidP="00710766" w:rsidRDefault="002A531E" w14:paraId="58992226" w14:textId="32939F0B">
      <w:pPr>
        <w:pStyle w:val="JuPara"/>
      </w:pPr>
      <w:r w:rsidRPr="00710766">
        <w:fldChar w:fldCharType="begin"/>
      </w:r>
      <w:r w:rsidRPr="00710766">
        <w:instrText xml:space="preserve"> SEQ level0 \*arabic </w:instrText>
      </w:r>
      <w:r w:rsidRPr="00710766">
        <w:fldChar w:fldCharType="separate"/>
      </w:r>
      <w:r w:rsidRPr="00710766" w:rsidR="00710766">
        <w:rPr>
          <w:noProof/>
        </w:rPr>
        <w:t>7</w:t>
      </w:r>
      <w:r w:rsidRPr="00710766">
        <w:fldChar w:fldCharType="end"/>
      </w:r>
      <w:bookmarkEnd w:id="4"/>
      <w:r w:rsidRPr="00710766">
        <w:t>.  À l</w:t>
      </w:r>
      <w:r w:rsidRPr="00710766" w:rsidR="00710766">
        <w:t>’</w:t>
      </w:r>
      <w:r w:rsidRPr="00710766">
        <w:t>issue de l</w:t>
      </w:r>
      <w:r w:rsidRPr="00710766" w:rsidR="00710766">
        <w:t>’</w:t>
      </w:r>
      <w:r w:rsidRPr="00710766">
        <w:t>audition, le juge de paix ordonna la mise en détention provisoire du requérant. Il considéra que les soupçons qui pesaient sur le requérant étaient étayés par des preuves concrètes : participation aux obsèques de membres du PKK – obsèques au cours desquelles des véhicules appartenant à la municipalité avait été utilisés avec l</w:t>
      </w:r>
      <w:r w:rsidRPr="00710766" w:rsidR="00710766">
        <w:t>’</w:t>
      </w:r>
      <w:r w:rsidRPr="00710766">
        <w:t>autorisation du suspect –, actes de propagande en faveur d</w:t>
      </w:r>
      <w:r w:rsidRPr="00710766" w:rsidR="00710766">
        <w:t>’</w:t>
      </w:r>
      <w:r w:rsidRPr="00710766">
        <w:t>une organisation terroriste lors d</w:t>
      </w:r>
      <w:r w:rsidRPr="00710766" w:rsidR="00710766">
        <w:t>’</w:t>
      </w:r>
      <w:r w:rsidRPr="00710766">
        <w:t>autres obsèques, participation à des défilés ou rassemblements publics au cours desquels des actes de propagande terroriste avaient été menés, et notamment des slogans tels que « Le PKK est le peuple, le peuple est ici, ne cherche pas dans les montagnes, les partisans d</w:t>
      </w:r>
      <w:r w:rsidRPr="00710766" w:rsidR="00710766">
        <w:t>’</w:t>
      </w:r>
      <w:r w:rsidRPr="00710766">
        <w:t xml:space="preserve">Abdullah </w:t>
      </w:r>
      <w:r w:rsidRPr="00710766">
        <w:rPr>
          <w:rFonts w:cstheme="minorHAnsi"/>
        </w:rPr>
        <w:t>Ö</w:t>
      </w:r>
      <w:r w:rsidRPr="00710766">
        <w:t>calan (« </w:t>
      </w:r>
      <w:proofErr w:type="spellStart"/>
      <w:r w:rsidRPr="00710766">
        <w:t>apocu</w:t>
      </w:r>
      <w:proofErr w:type="spellEnd"/>
      <w:r w:rsidRPr="00710766">
        <w:t xml:space="preserve"> ») sont partout, on va gagner en résistant » scandés, et participation à des sit-in organisés pour protester contre la mesure de couvre-feu prise pour le district de </w:t>
      </w:r>
      <w:proofErr w:type="spellStart"/>
      <w:r w:rsidRPr="00710766">
        <w:t>Silvan</w:t>
      </w:r>
      <w:proofErr w:type="spellEnd"/>
      <w:r w:rsidRPr="00710766">
        <w:t>. Il dit que le requérant avait participé à de nombreuses manifestations, réunions et activités organisées par le PKK. Par ailleurs, il fonda sa décision d</w:t>
      </w:r>
      <w:r w:rsidRPr="00710766" w:rsidR="00710766">
        <w:t>’</w:t>
      </w:r>
      <w:r w:rsidRPr="00710766">
        <w:t>une part sur la nature de l</w:t>
      </w:r>
      <w:r w:rsidRPr="00710766" w:rsidR="00710766">
        <w:t>’</w:t>
      </w:r>
      <w:r w:rsidRPr="00710766">
        <w:t>infraction d</w:t>
      </w:r>
      <w:r w:rsidRPr="00710766" w:rsidR="00710766">
        <w:t>’</w:t>
      </w:r>
      <w:r w:rsidRPr="00710766">
        <w:t>appartenance à une organisation armée, au sens de l</w:t>
      </w:r>
      <w:r w:rsidRPr="00710766" w:rsidR="00710766">
        <w:t>’</w:t>
      </w:r>
      <w:r w:rsidRPr="00710766">
        <w:t>article 314 § 2 du CP, et le fait que celle-ci figurait parmi les infractions dites « cataloguées » énumérées à l</w:t>
      </w:r>
      <w:r w:rsidRPr="00710766" w:rsidR="00710766">
        <w:t>’</w:t>
      </w:r>
      <w:r w:rsidRPr="00710766">
        <w:t>article 100 § 3 du code de procédure pénale (ci-après « le CPP »), et d</w:t>
      </w:r>
      <w:r w:rsidRPr="00710766" w:rsidR="00710766">
        <w:t>’</w:t>
      </w:r>
      <w:r w:rsidRPr="00710766">
        <w:t>autre part sur l</w:t>
      </w:r>
      <w:r w:rsidRPr="00710766" w:rsidR="00710766">
        <w:t>’</w:t>
      </w:r>
      <w:r w:rsidRPr="00710766">
        <w:t>existence d</w:t>
      </w:r>
      <w:r w:rsidRPr="00710766" w:rsidR="00710766">
        <w:t>’</w:t>
      </w:r>
      <w:r w:rsidRPr="00710766">
        <w:t>un risque d</w:t>
      </w:r>
      <w:r w:rsidRPr="00710766" w:rsidR="00710766">
        <w:t>’</w:t>
      </w:r>
      <w:r w:rsidRPr="00710766">
        <w:t>altération des preuves et la présence d</w:t>
      </w:r>
      <w:r w:rsidRPr="00710766" w:rsidR="00710766">
        <w:t>’</w:t>
      </w:r>
      <w:r w:rsidRPr="00710766">
        <w:t xml:space="preserve">éléments concrets donnant à penser que le suspect pouvait prendre la fuite. Il estima enfin que la détention apparaissait </w:t>
      </w:r>
      <w:proofErr w:type="gramStart"/>
      <w:r w:rsidRPr="00710766">
        <w:t>être</w:t>
      </w:r>
      <w:proofErr w:type="gramEnd"/>
      <w:r w:rsidRPr="00710766">
        <w:t xml:space="preserve"> une mesure proportionnée à ce stade, et qu</w:t>
      </w:r>
      <w:r w:rsidRPr="00710766" w:rsidR="00710766">
        <w:t>’</w:t>
      </w:r>
      <w:r w:rsidRPr="00710766">
        <w:t>une mesure de contrôle judiciaire serait insuffisante dans la mesure où la peine minimale encourue pour l</w:t>
      </w:r>
      <w:r w:rsidRPr="00710766" w:rsidR="00710766">
        <w:t>’</w:t>
      </w:r>
      <w:r w:rsidRPr="00710766">
        <w:t>infraction prévue à l</w:t>
      </w:r>
      <w:r w:rsidRPr="00710766" w:rsidR="00710766">
        <w:t>’</w:t>
      </w:r>
      <w:r w:rsidRPr="00710766">
        <w:t>article 314 § 2 du CP était de cinq ans d</w:t>
      </w:r>
      <w:r w:rsidRPr="00710766" w:rsidR="00710766">
        <w:t>’</w:t>
      </w:r>
      <w:r w:rsidRPr="00710766">
        <w:t>emprisonnement.</w:t>
      </w:r>
    </w:p>
    <w:p w:rsidRPr="00710766" w:rsidR="002A531E" w:rsidP="00710766" w:rsidRDefault="002A531E" w14:paraId="05BFEC51" w14:textId="3BF86657">
      <w:pPr>
        <w:pStyle w:val="JuPara"/>
      </w:pPr>
      <w:r w:rsidRPr="00710766">
        <w:fldChar w:fldCharType="begin"/>
      </w:r>
      <w:r w:rsidRPr="00710766">
        <w:instrText xml:space="preserve"> SEQ level0 \*arabic </w:instrText>
      </w:r>
      <w:r w:rsidRPr="00710766">
        <w:fldChar w:fldCharType="separate"/>
      </w:r>
      <w:r w:rsidRPr="00710766" w:rsidR="00710766">
        <w:rPr>
          <w:noProof/>
        </w:rPr>
        <w:t>8</w:t>
      </w:r>
      <w:r w:rsidRPr="00710766">
        <w:fldChar w:fldCharType="end"/>
      </w:r>
      <w:r w:rsidRPr="00710766">
        <w:t>.  Les parties n</w:t>
      </w:r>
      <w:r w:rsidRPr="00710766" w:rsidR="00710766">
        <w:t>’</w:t>
      </w:r>
      <w:r w:rsidRPr="00710766">
        <w:t>ont fourni aucune information sur les décisions relatives au maintien en détention du requérant ayant précédé le dépôt de l</w:t>
      </w:r>
      <w:r w:rsidRPr="00710766" w:rsidR="00710766">
        <w:t>’</w:t>
      </w:r>
      <w:r w:rsidRPr="00710766">
        <w:t>acte d</w:t>
      </w:r>
      <w:r w:rsidRPr="00710766" w:rsidR="00710766">
        <w:t>’</w:t>
      </w:r>
      <w:r w:rsidRPr="00710766">
        <w:t>accusation le 8 décembre 2016.</w:t>
      </w:r>
    </w:p>
    <w:p w:rsidRPr="00710766" w:rsidR="002A531E" w:rsidP="00710766" w:rsidRDefault="002A531E" w14:paraId="2ED9911B" w14:textId="57984C3E">
      <w:pPr>
        <w:pStyle w:val="JuPara"/>
      </w:pPr>
      <w:r w:rsidRPr="00710766">
        <w:fldChar w:fldCharType="begin"/>
      </w:r>
      <w:r w:rsidRPr="00710766">
        <w:instrText xml:space="preserve"> SEQ level0 \*arabic </w:instrText>
      </w:r>
      <w:r w:rsidRPr="00710766">
        <w:fldChar w:fldCharType="separate"/>
      </w:r>
      <w:r w:rsidRPr="00710766" w:rsidR="00710766">
        <w:rPr>
          <w:noProof/>
        </w:rPr>
        <w:t>9</w:t>
      </w:r>
      <w:r w:rsidRPr="00710766">
        <w:fldChar w:fldCharType="end"/>
      </w:r>
      <w:r w:rsidRPr="00710766">
        <w:t>.  Le 8 décembre 2016, le parquet de Siirt déposa un acte d</w:t>
      </w:r>
      <w:r w:rsidRPr="00710766" w:rsidR="00710766">
        <w:t>’</w:t>
      </w:r>
      <w:r w:rsidRPr="00710766">
        <w:t>accusation contre le requérant. Il reprochait notamment à l</w:t>
      </w:r>
      <w:r w:rsidRPr="00710766" w:rsidR="00710766">
        <w:t>’</w:t>
      </w:r>
      <w:r w:rsidRPr="00710766">
        <w:t>intéressé d</w:t>
      </w:r>
      <w:r w:rsidRPr="00710766" w:rsidR="00710766">
        <w:t>’</w:t>
      </w:r>
      <w:r w:rsidRPr="00710766">
        <w:t>avoir fait de la propagande en faveur d</w:t>
      </w:r>
      <w:r w:rsidRPr="00710766" w:rsidR="00710766">
        <w:t>’</w:t>
      </w:r>
      <w:r w:rsidRPr="00710766">
        <w:t>une organisation terroriste et d</w:t>
      </w:r>
      <w:r w:rsidRPr="00710766" w:rsidR="00710766">
        <w:t>’</w:t>
      </w:r>
      <w:r w:rsidRPr="00710766">
        <w:t>être membre d</w:t>
      </w:r>
      <w:r w:rsidRPr="00710766" w:rsidR="00710766">
        <w:t>’</w:t>
      </w:r>
      <w:r w:rsidRPr="00710766">
        <w:t>une organisation terroriste armée. Concernant l</w:t>
      </w:r>
      <w:r w:rsidRPr="00710766" w:rsidR="00710766">
        <w:t>’</w:t>
      </w:r>
      <w:r w:rsidRPr="00710766">
        <w:t>infraction d</w:t>
      </w:r>
      <w:r w:rsidRPr="00710766" w:rsidR="00710766">
        <w:t>’</w:t>
      </w:r>
      <w:r w:rsidRPr="00710766">
        <w:t>appartenance à une organisation armée, il tenait compte, entre autres, du fait que le requérant avait participé à vingt défilés, rassemblements publics ou obsèques organisés sur instruction des dirigeants d</w:t>
      </w:r>
      <w:r w:rsidRPr="00710766" w:rsidR="00710766">
        <w:t>’</w:t>
      </w:r>
      <w:r w:rsidRPr="00710766">
        <w:t>une organisation terroriste, événements qui, selon lui, avaient été transformés en activités de propagande en faveur d</w:t>
      </w:r>
      <w:r w:rsidRPr="00710766" w:rsidR="00710766">
        <w:t>’</w:t>
      </w:r>
      <w:r w:rsidRPr="00710766">
        <w:t>une organisation terroriste. Il considérait que ces activités étaient susceptibles de remplir les critères – « continuité, diversité et intensité » – définis par la Cour de cassation comme devant être réunis pour que l</w:t>
      </w:r>
      <w:r w:rsidRPr="00710766" w:rsidR="00710766">
        <w:t>’</w:t>
      </w:r>
      <w:r w:rsidRPr="00710766">
        <w:t>infraction d</w:t>
      </w:r>
      <w:r w:rsidRPr="00710766" w:rsidR="00710766">
        <w:t>’</w:t>
      </w:r>
      <w:r w:rsidRPr="00710766">
        <w:t>appartenance à une organisation terroriste fût constituée.</w:t>
      </w:r>
    </w:p>
    <w:bookmarkStart w:name="paragraph10" w:id="5"/>
    <w:p w:rsidRPr="00710766" w:rsidR="002A531E" w:rsidP="00710766" w:rsidRDefault="002A531E" w14:paraId="6BA07CB1" w14:textId="264FFFE8">
      <w:pPr>
        <w:pStyle w:val="JuPara"/>
      </w:pPr>
      <w:r w:rsidRPr="00710766">
        <w:fldChar w:fldCharType="begin"/>
      </w:r>
      <w:r w:rsidRPr="00710766">
        <w:instrText xml:space="preserve"> SEQ level0 \*arabic </w:instrText>
      </w:r>
      <w:r w:rsidRPr="00710766">
        <w:fldChar w:fldCharType="separate"/>
      </w:r>
      <w:r w:rsidRPr="00710766" w:rsidR="00710766">
        <w:rPr>
          <w:noProof/>
        </w:rPr>
        <w:t>10</w:t>
      </w:r>
      <w:r w:rsidRPr="00710766">
        <w:fldChar w:fldCharType="end"/>
      </w:r>
      <w:bookmarkEnd w:id="5"/>
      <w:r w:rsidRPr="00710766">
        <w:t>.  Le 30 décembre 2016, la cour d</w:t>
      </w:r>
      <w:r w:rsidRPr="00710766" w:rsidR="00710766">
        <w:t>’</w:t>
      </w:r>
      <w:r w:rsidRPr="00710766">
        <w:t>assises de Siirt décida de prolonger le maintien en détention provisoire du requérant. Elle ordonna en outre la jonction de deux autres procédures pénales du chef de propagande terroriste qui avaient été ouvertes contre lui.</w:t>
      </w:r>
    </w:p>
    <w:p w:rsidRPr="00710766" w:rsidR="002A531E" w:rsidP="00710766" w:rsidRDefault="002A531E" w14:paraId="06DC81DF" w14:textId="290C9959">
      <w:pPr>
        <w:pStyle w:val="JuPara"/>
        <w:rPr>
          <w:rFonts w:cstheme="minorHAnsi"/>
          <w:color w:val="000000"/>
        </w:rPr>
      </w:pPr>
      <w:r w:rsidRPr="00710766">
        <w:fldChar w:fldCharType="begin"/>
      </w:r>
      <w:r w:rsidRPr="00710766">
        <w:instrText xml:space="preserve"> SEQ level0 \*arabic </w:instrText>
      </w:r>
      <w:r w:rsidRPr="00710766">
        <w:fldChar w:fldCharType="separate"/>
      </w:r>
      <w:r w:rsidRPr="00710766" w:rsidR="00710766">
        <w:rPr>
          <w:noProof/>
        </w:rPr>
        <w:t>11</w:t>
      </w:r>
      <w:r w:rsidRPr="00710766">
        <w:fldChar w:fldCharType="end"/>
      </w:r>
      <w:r w:rsidRPr="00710766">
        <w:t>.  À l</w:t>
      </w:r>
      <w:r w:rsidRPr="00710766" w:rsidR="00710766">
        <w:t>’</w:t>
      </w:r>
      <w:r w:rsidRPr="00710766">
        <w:t>audience du 16 février 2017, le requérant présenta sa défense. Il expliqua le contexte dans lequel les activités en question avaient été menées, alléguant que c</w:t>
      </w:r>
      <w:r w:rsidRPr="00710766" w:rsidR="00710766">
        <w:t>’</w:t>
      </w:r>
      <w:r w:rsidRPr="00710766">
        <w:t>était en sa qualité de maire qu</w:t>
      </w:r>
      <w:r w:rsidRPr="00710766" w:rsidR="00710766">
        <w:t>’</w:t>
      </w:r>
      <w:r w:rsidRPr="00710766">
        <w:t>il avait participé à la plupart d</w:t>
      </w:r>
      <w:r w:rsidRPr="00710766" w:rsidR="00710766">
        <w:t>’</w:t>
      </w:r>
      <w:r w:rsidRPr="00710766">
        <w:t>entre elles – obsèques ou rassemblements publics légalement organisés notamment. Il soutint également que les déclarations qu</w:t>
      </w:r>
      <w:r w:rsidRPr="00710766" w:rsidR="00710766">
        <w:t>’</w:t>
      </w:r>
      <w:r w:rsidRPr="00710766">
        <w:t>il avait faites lors de ces réunions devaient être lues dans leur globalité, sans perdre de vue qu</w:t>
      </w:r>
      <w:r w:rsidRPr="00710766" w:rsidR="00710766">
        <w:t>’</w:t>
      </w:r>
      <w:r w:rsidRPr="00710766">
        <w:t>elles avaient été prononcées à l</w:t>
      </w:r>
      <w:r w:rsidRPr="00710766" w:rsidR="00710766">
        <w:t>’</w:t>
      </w:r>
      <w:r w:rsidRPr="00710766">
        <w:t xml:space="preserve">époque du processus de paix, connu sous le nom de « processus de résolution », qui avait été entamé afin de trouver une solution pacifique et permanente à la question kurde (pour de plus amples informations sur ce point, voir </w:t>
      </w:r>
      <w:proofErr w:type="spellStart"/>
      <w:r w:rsidRPr="00710766">
        <w:rPr>
          <w:rFonts w:cstheme="minorHAnsi"/>
          <w:i/>
          <w:color w:val="000000"/>
        </w:rPr>
        <w:t>Selahattin</w:t>
      </w:r>
      <w:proofErr w:type="spellEnd"/>
      <w:r w:rsidRPr="00710766">
        <w:rPr>
          <w:rFonts w:cstheme="minorHAnsi"/>
          <w:i/>
          <w:color w:val="000000"/>
        </w:rPr>
        <w:t xml:space="preserve"> </w:t>
      </w:r>
      <w:proofErr w:type="spellStart"/>
      <w:r w:rsidRPr="00710766">
        <w:rPr>
          <w:rFonts w:cstheme="minorHAnsi"/>
          <w:i/>
          <w:color w:val="000000"/>
        </w:rPr>
        <w:t>Demirtaş</w:t>
      </w:r>
      <w:proofErr w:type="spellEnd"/>
      <w:r w:rsidRPr="00710766">
        <w:rPr>
          <w:rFonts w:cstheme="minorHAnsi"/>
          <w:i/>
          <w:color w:val="000000"/>
        </w:rPr>
        <w:t xml:space="preserve"> c. Turquie (n</w:t>
      </w:r>
      <w:r w:rsidRPr="00710766">
        <w:rPr>
          <w:rFonts w:cstheme="minorHAnsi"/>
          <w:i/>
          <w:color w:val="000000"/>
          <w:vertAlign w:val="superscript"/>
        </w:rPr>
        <w:t>o</w:t>
      </w:r>
      <w:r w:rsidRPr="00710766">
        <w:rPr>
          <w:rFonts w:cstheme="minorHAnsi"/>
          <w:i/>
          <w:color w:val="000000"/>
        </w:rPr>
        <w:t> 2)</w:t>
      </w:r>
      <w:r w:rsidRPr="00710766">
        <w:rPr>
          <w:rFonts w:cstheme="minorHAnsi"/>
          <w:color w:val="000000"/>
        </w:rPr>
        <w:t xml:space="preserve"> [GC], n</w:t>
      </w:r>
      <w:r w:rsidRPr="00710766">
        <w:rPr>
          <w:rFonts w:cstheme="minorHAnsi"/>
          <w:color w:val="000000"/>
          <w:vertAlign w:val="superscript"/>
        </w:rPr>
        <w:t>o</w:t>
      </w:r>
      <w:r w:rsidRPr="00710766">
        <w:rPr>
          <w:rFonts w:cstheme="minorHAnsi"/>
          <w:color w:val="000000"/>
        </w:rPr>
        <w:t> 14305/17, § 28, 22 décembre 2020).</w:t>
      </w:r>
    </w:p>
    <w:p w:rsidRPr="00710766" w:rsidR="002A531E" w:rsidP="00710766" w:rsidRDefault="002A531E" w14:paraId="546F0D52" w14:textId="79018D7D">
      <w:pPr>
        <w:pStyle w:val="JuPara"/>
        <w:rPr>
          <w:rFonts w:cstheme="minorHAnsi"/>
          <w:color w:val="000000"/>
        </w:rPr>
      </w:pPr>
      <w:r w:rsidRPr="00710766">
        <w:rPr>
          <w:rFonts w:cstheme="minorHAnsi"/>
          <w:color w:val="000000"/>
        </w:rPr>
        <w:fldChar w:fldCharType="begin"/>
      </w:r>
      <w:r w:rsidRPr="00710766">
        <w:rPr>
          <w:rFonts w:cstheme="minorHAnsi"/>
          <w:color w:val="000000"/>
        </w:rPr>
        <w:instrText xml:space="preserve"> SEQ level0 \*arabic </w:instrText>
      </w:r>
      <w:r w:rsidRPr="00710766">
        <w:rPr>
          <w:rFonts w:cstheme="minorHAnsi"/>
          <w:color w:val="000000"/>
        </w:rPr>
        <w:fldChar w:fldCharType="separate"/>
      </w:r>
      <w:r w:rsidRPr="00710766" w:rsidR="00710766">
        <w:rPr>
          <w:rFonts w:cstheme="minorHAnsi"/>
          <w:noProof/>
          <w:color w:val="000000"/>
        </w:rPr>
        <w:t>12</w:t>
      </w:r>
      <w:r w:rsidRPr="00710766">
        <w:rPr>
          <w:rFonts w:cstheme="minorHAnsi"/>
          <w:color w:val="000000"/>
        </w:rPr>
        <w:fldChar w:fldCharType="end"/>
      </w:r>
      <w:r w:rsidRPr="00710766">
        <w:rPr>
          <w:rFonts w:cstheme="minorHAnsi"/>
          <w:color w:val="000000"/>
        </w:rPr>
        <w:t>.  À l</w:t>
      </w:r>
      <w:r w:rsidRPr="00710766" w:rsidR="00710766">
        <w:rPr>
          <w:rFonts w:cstheme="minorHAnsi"/>
          <w:color w:val="000000"/>
        </w:rPr>
        <w:t>’</w:t>
      </w:r>
      <w:r w:rsidRPr="00710766">
        <w:rPr>
          <w:rFonts w:cstheme="minorHAnsi"/>
          <w:color w:val="000000"/>
        </w:rPr>
        <w:t>issue de cette audience, puis le 11 avril 2017, la cour d</w:t>
      </w:r>
      <w:r w:rsidRPr="00710766" w:rsidR="00710766">
        <w:rPr>
          <w:rFonts w:cstheme="minorHAnsi"/>
          <w:color w:val="000000"/>
        </w:rPr>
        <w:t>’</w:t>
      </w:r>
      <w:r w:rsidRPr="00710766">
        <w:rPr>
          <w:rFonts w:cstheme="minorHAnsi"/>
          <w:color w:val="000000"/>
        </w:rPr>
        <w:t>assises ordonna le maintien en détention provisoire du requérant pour les mêmes motifs que ceux qui avaient été retenus dans l</w:t>
      </w:r>
      <w:r w:rsidRPr="00710766" w:rsidR="00710766">
        <w:rPr>
          <w:rFonts w:cstheme="minorHAnsi"/>
          <w:color w:val="000000"/>
        </w:rPr>
        <w:t>’</w:t>
      </w:r>
      <w:r w:rsidRPr="00710766">
        <w:rPr>
          <w:rFonts w:cstheme="minorHAnsi"/>
          <w:color w:val="000000"/>
        </w:rPr>
        <w:t>ordonnance de mise en détention provisoire.</w:t>
      </w:r>
    </w:p>
    <w:p w:rsidRPr="00710766" w:rsidR="002A531E" w:rsidP="00710766" w:rsidRDefault="002A531E" w14:paraId="435EDD4D" w14:textId="02C9FEB9">
      <w:pPr>
        <w:pStyle w:val="JuPara"/>
        <w:rPr>
          <w:rFonts w:cstheme="minorHAnsi"/>
        </w:rPr>
      </w:pPr>
      <w:r w:rsidRPr="00710766">
        <w:rPr>
          <w:rFonts w:cstheme="minorHAnsi"/>
        </w:rPr>
        <w:fldChar w:fldCharType="begin"/>
      </w:r>
      <w:r w:rsidRPr="00710766">
        <w:rPr>
          <w:rFonts w:cstheme="minorHAnsi"/>
        </w:rPr>
        <w:instrText xml:space="preserve"> SEQ level0 \*arabic </w:instrText>
      </w:r>
      <w:r w:rsidRPr="00710766">
        <w:rPr>
          <w:rFonts w:cstheme="minorHAnsi"/>
        </w:rPr>
        <w:fldChar w:fldCharType="separate"/>
      </w:r>
      <w:r w:rsidRPr="00710766" w:rsidR="00710766">
        <w:rPr>
          <w:rFonts w:cstheme="minorHAnsi"/>
          <w:noProof/>
        </w:rPr>
        <w:t>13</w:t>
      </w:r>
      <w:r w:rsidRPr="00710766">
        <w:rPr>
          <w:rFonts w:cstheme="minorHAnsi"/>
        </w:rPr>
        <w:fldChar w:fldCharType="end"/>
      </w:r>
      <w:r w:rsidRPr="00710766">
        <w:rPr>
          <w:rFonts w:cstheme="minorHAnsi"/>
        </w:rPr>
        <w:t>.  Le 10 mai 2017, la cour d</w:t>
      </w:r>
      <w:r w:rsidRPr="00710766" w:rsidR="00710766">
        <w:rPr>
          <w:rFonts w:cstheme="minorHAnsi"/>
        </w:rPr>
        <w:t>’</w:t>
      </w:r>
      <w:r w:rsidRPr="00710766">
        <w:rPr>
          <w:rFonts w:cstheme="minorHAnsi"/>
        </w:rPr>
        <w:t xml:space="preserve">assises ordonna une nouvelle fois le maintien en détention du requérant pour </w:t>
      </w:r>
      <w:r w:rsidRPr="00710766">
        <w:rPr>
          <w:rFonts w:cstheme="minorHAnsi"/>
          <w:color w:val="000000"/>
        </w:rPr>
        <w:t>les mêmes motifs que ceux qui avaient été retenus précédemment</w:t>
      </w:r>
      <w:r w:rsidRPr="00710766">
        <w:rPr>
          <w:rFonts w:cstheme="minorHAnsi"/>
        </w:rPr>
        <w:t>. Le requérant introduisit un recours pour contester cette décision mais celui-ci fut rejeté le 23 mai 2017.</w:t>
      </w:r>
    </w:p>
    <w:p w:rsidRPr="00710766" w:rsidR="002A531E" w:rsidP="00710766" w:rsidRDefault="002A531E" w14:paraId="295CBCFF" w14:textId="5A4F1088">
      <w:pPr>
        <w:pStyle w:val="JuPara"/>
        <w:rPr>
          <w:rFonts w:eastAsia="Times New Roman" w:cstheme="minorHAnsi"/>
        </w:rPr>
      </w:pPr>
      <w:r w:rsidRPr="00710766">
        <w:rPr>
          <w:rFonts w:cstheme="minorHAnsi"/>
        </w:rPr>
        <w:fldChar w:fldCharType="begin"/>
      </w:r>
      <w:r w:rsidRPr="00710766">
        <w:rPr>
          <w:rFonts w:cstheme="minorHAnsi"/>
        </w:rPr>
        <w:instrText xml:space="preserve"> SEQ level0 \*arabic </w:instrText>
      </w:r>
      <w:r w:rsidRPr="00710766">
        <w:rPr>
          <w:rFonts w:cstheme="minorHAnsi"/>
        </w:rPr>
        <w:fldChar w:fldCharType="separate"/>
      </w:r>
      <w:r w:rsidRPr="00710766" w:rsidR="00710766">
        <w:rPr>
          <w:rFonts w:cstheme="minorHAnsi"/>
          <w:noProof/>
        </w:rPr>
        <w:t>14</w:t>
      </w:r>
      <w:r w:rsidRPr="00710766">
        <w:rPr>
          <w:rFonts w:cstheme="minorHAnsi"/>
        </w:rPr>
        <w:fldChar w:fldCharType="end"/>
      </w:r>
      <w:r w:rsidRPr="00710766">
        <w:rPr>
          <w:rFonts w:cstheme="minorHAnsi"/>
        </w:rPr>
        <w:t>.  Le 5 juillet 2017, le requérant saisit la Cour constitutionnelle (ci-après « la CCT ») d</w:t>
      </w:r>
      <w:r w:rsidRPr="00710766" w:rsidR="00710766">
        <w:rPr>
          <w:rFonts w:cstheme="minorHAnsi"/>
        </w:rPr>
        <w:t>’</w:t>
      </w:r>
      <w:r w:rsidRPr="00710766">
        <w:rPr>
          <w:rFonts w:cstheme="minorHAnsi"/>
        </w:rPr>
        <w:t>un recours individuel pour se plaindre de sa mise et son maintien en détention provisoire, incompatibles selon lui avec les exigences de l</w:t>
      </w:r>
      <w:r w:rsidRPr="00710766" w:rsidR="00710766">
        <w:rPr>
          <w:rFonts w:cstheme="minorHAnsi"/>
        </w:rPr>
        <w:t>’</w:t>
      </w:r>
      <w:r w:rsidRPr="00710766">
        <w:rPr>
          <w:rFonts w:cstheme="minorHAnsi"/>
        </w:rPr>
        <w:t>article 100 du CPP. Il estimait qu</w:t>
      </w:r>
      <w:r w:rsidRPr="00710766" w:rsidR="00710766">
        <w:rPr>
          <w:rFonts w:cstheme="minorHAnsi"/>
        </w:rPr>
        <w:t>’</w:t>
      </w:r>
      <w:r w:rsidRPr="00710766">
        <w:rPr>
          <w:rFonts w:cstheme="minorHAnsi"/>
        </w:rPr>
        <w:t>il n</w:t>
      </w:r>
      <w:r w:rsidRPr="00710766" w:rsidR="00710766">
        <w:rPr>
          <w:rFonts w:cstheme="minorHAnsi"/>
        </w:rPr>
        <w:t>’</w:t>
      </w:r>
      <w:r w:rsidRPr="00710766">
        <w:rPr>
          <w:rFonts w:cstheme="minorHAnsi"/>
        </w:rPr>
        <w:t>existait aucun élément de preuve attestant l</w:t>
      </w:r>
      <w:r w:rsidRPr="00710766" w:rsidR="00710766">
        <w:rPr>
          <w:rFonts w:cstheme="minorHAnsi"/>
        </w:rPr>
        <w:t>’</w:t>
      </w:r>
      <w:r w:rsidRPr="00710766">
        <w:rPr>
          <w:rFonts w:cstheme="minorHAnsi"/>
        </w:rPr>
        <w:t>existence de raisons plausibles de le soupçonner d</w:t>
      </w:r>
      <w:r w:rsidRPr="00710766" w:rsidR="00710766">
        <w:rPr>
          <w:rFonts w:cstheme="minorHAnsi"/>
        </w:rPr>
        <w:t>’</w:t>
      </w:r>
      <w:r w:rsidRPr="00710766">
        <w:rPr>
          <w:rFonts w:cstheme="minorHAnsi"/>
        </w:rPr>
        <w:t>avoir commis une infraction pénale, dans la mesure où les faits reprochés étaient des activités politiques qu</w:t>
      </w:r>
      <w:r w:rsidRPr="00710766" w:rsidR="00710766">
        <w:rPr>
          <w:rFonts w:cstheme="minorHAnsi"/>
        </w:rPr>
        <w:t>’</w:t>
      </w:r>
      <w:r w:rsidRPr="00710766">
        <w:rPr>
          <w:rFonts w:cstheme="minorHAnsi"/>
        </w:rPr>
        <w:t>il avait menées en qualité d</w:t>
      </w:r>
      <w:r w:rsidRPr="00710766" w:rsidR="00710766">
        <w:rPr>
          <w:rFonts w:cstheme="minorHAnsi"/>
        </w:rPr>
        <w:t>’</w:t>
      </w:r>
      <w:r w:rsidRPr="00710766">
        <w:rPr>
          <w:rFonts w:cstheme="minorHAnsi"/>
        </w:rPr>
        <w:t>élu et de maire. En outre, il soutenait que les autorités judiciaires n</w:t>
      </w:r>
      <w:r w:rsidRPr="00710766" w:rsidR="00710766">
        <w:rPr>
          <w:rFonts w:cstheme="minorHAnsi"/>
        </w:rPr>
        <w:t>’</w:t>
      </w:r>
      <w:r w:rsidRPr="00710766">
        <w:rPr>
          <w:rFonts w:cstheme="minorHAnsi"/>
        </w:rPr>
        <w:t>avaient pas suffisamment motivé leurs décisions relatives à sa mise et son maintien en détention provisoire. Invoquant l</w:t>
      </w:r>
      <w:r w:rsidRPr="00710766" w:rsidR="00710766">
        <w:rPr>
          <w:rFonts w:cstheme="minorHAnsi"/>
        </w:rPr>
        <w:t>’</w:t>
      </w:r>
      <w:r w:rsidRPr="00710766">
        <w:rPr>
          <w:rFonts w:cstheme="minorHAnsi"/>
        </w:rPr>
        <w:t xml:space="preserve">article 109 du CPP, il arguait par ailleurs que les </w:t>
      </w:r>
      <w:r w:rsidRPr="00710766">
        <w:rPr>
          <w:rFonts w:eastAsia="Times New Roman" w:cstheme="minorHAnsi"/>
        </w:rPr>
        <w:t>autorités judiciaires internes n</w:t>
      </w:r>
      <w:r w:rsidRPr="00710766" w:rsidR="00710766">
        <w:rPr>
          <w:rFonts w:eastAsia="Times New Roman" w:cstheme="minorHAnsi"/>
        </w:rPr>
        <w:t>’</w:t>
      </w:r>
      <w:r w:rsidRPr="00710766">
        <w:rPr>
          <w:rFonts w:eastAsia="Times New Roman" w:cstheme="minorHAnsi"/>
        </w:rPr>
        <w:t>avaient pas tenu compte de la possibilité de mettre en place des mesures alternatives à la détention provisoire, et qu</w:t>
      </w:r>
      <w:r w:rsidRPr="00710766" w:rsidR="00710766">
        <w:rPr>
          <w:rFonts w:eastAsia="Times New Roman" w:cstheme="minorHAnsi"/>
        </w:rPr>
        <w:t>’</w:t>
      </w:r>
      <w:r w:rsidRPr="00710766">
        <w:rPr>
          <w:rFonts w:eastAsia="Times New Roman" w:cstheme="minorHAnsi"/>
        </w:rPr>
        <w:t>elles avaient omis d</w:t>
      </w:r>
      <w:r w:rsidRPr="00710766" w:rsidR="00710766">
        <w:rPr>
          <w:rFonts w:eastAsia="Times New Roman" w:cstheme="minorHAnsi"/>
        </w:rPr>
        <w:t>’</w:t>
      </w:r>
      <w:r w:rsidRPr="00710766">
        <w:rPr>
          <w:rFonts w:eastAsia="Times New Roman" w:cstheme="minorHAnsi"/>
        </w:rPr>
        <w:t>expliquer en quoi pareilles mesures n</w:t>
      </w:r>
      <w:r w:rsidRPr="00710766" w:rsidR="00710766">
        <w:rPr>
          <w:rFonts w:eastAsia="Times New Roman" w:cstheme="minorHAnsi"/>
        </w:rPr>
        <w:t>’</w:t>
      </w:r>
      <w:r w:rsidRPr="00710766">
        <w:rPr>
          <w:rFonts w:eastAsia="Times New Roman" w:cstheme="minorHAnsi"/>
        </w:rPr>
        <w:t>auraient pas pu être mises en œuvre dans son cas. Le requérant dénonçait également la durée de sa détention provisoire. Enfin, il soutenait que sa détention provisoire s</w:t>
      </w:r>
      <w:r w:rsidRPr="00710766" w:rsidR="00710766">
        <w:rPr>
          <w:rFonts w:eastAsia="Times New Roman" w:cstheme="minorHAnsi"/>
        </w:rPr>
        <w:t>’</w:t>
      </w:r>
      <w:r w:rsidRPr="00710766">
        <w:rPr>
          <w:rFonts w:eastAsia="Times New Roman" w:cstheme="minorHAnsi"/>
        </w:rPr>
        <w:t>analysait en une violation de son droit à la liberté d</w:t>
      </w:r>
      <w:r w:rsidRPr="00710766" w:rsidR="00710766">
        <w:rPr>
          <w:rFonts w:eastAsia="Times New Roman" w:cstheme="minorHAnsi"/>
        </w:rPr>
        <w:t>’</w:t>
      </w:r>
      <w:r w:rsidRPr="00710766">
        <w:rPr>
          <w:rFonts w:eastAsia="Times New Roman" w:cstheme="minorHAnsi"/>
        </w:rPr>
        <w:t>expression et de son droit à la liberté de mener des activités politiques.</w:t>
      </w:r>
    </w:p>
    <w:bookmarkStart w:name="paragraph14" w:id="6"/>
    <w:p w:rsidRPr="00710766" w:rsidR="002A531E" w:rsidP="00710766" w:rsidRDefault="002A531E" w14:paraId="65CB5D4C" w14:textId="384E165B">
      <w:pPr>
        <w:pStyle w:val="JuPara"/>
        <w:rPr>
          <w:rFonts w:eastAsia="Times New Roman" w:cstheme="minorHAnsi"/>
        </w:rPr>
      </w:pPr>
      <w:r w:rsidRPr="00710766">
        <w:rPr>
          <w:rFonts w:eastAsia="Times New Roman" w:cstheme="minorHAnsi"/>
        </w:rPr>
        <w:fldChar w:fldCharType="begin"/>
      </w:r>
      <w:r w:rsidRPr="00710766">
        <w:rPr>
          <w:rFonts w:eastAsia="Times New Roman" w:cstheme="minorHAnsi"/>
        </w:rPr>
        <w:instrText xml:space="preserve"> SEQ level0 \*arabic </w:instrText>
      </w:r>
      <w:r w:rsidRPr="00710766">
        <w:rPr>
          <w:rFonts w:eastAsia="Times New Roman" w:cstheme="minorHAnsi"/>
        </w:rPr>
        <w:fldChar w:fldCharType="separate"/>
      </w:r>
      <w:r w:rsidRPr="00710766" w:rsidR="00710766">
        <w:rPr>
          <w:rFonts w:eastAsia="Times New Roman" w:cstheme="minorHAnsi"/>
          <w:noProof/>
        </w:rPr>
        <w:t>15</w:t>
      </w:r>
      <w:r w:rsidRPr="00710766">
        <w:rPr>
          <w:rFonts w:eastAsia="Times New Roman" w:cstheme="minorHAnsi"/>
        </w:rPr>
        <w:fldChar w:fldCharType="end"/>
      </w:r>
      <w:bookmarkEnd w:id="6"/>
      <w:r w:rsidRPr="00710766">
        <w:rPr>
          <w:rFonts w:eastAsia="Times New Roman" w:cstheme="minorHAnsi"/>
        </w:rPr>
        <w:t>.  Jusqu</w:t>
      </w:r>
      <w:r w:rsidRPr="00710766" w:rsidR="00710766">
        <w:rPr>
          <w:rFonts w:eastAsia="Times New Roman" w:cstheme="minorHAnsi"/>
        </w:rPr>
        <w:t>’</w:t>
      </w:r>
      <w:r w:rsidRPr="00710766">
        <w:rPr>
          <w:rFonts w:eastAsia="Times New Roman" w:cstheme="minorHAnsi"/>
        </w:rPr>
        <w:t>au prononcé de son arrêt, le 6 juillet 2018, la cour d</w:t>
      </w:r>
      <w:r w:rsidRPr="00710766" w:rsidR="00710766">
        <w:rPr>
          <w:rFonts w:eastAsia="Times New Roman" w:cstheme="minorHAnsi"/>
        </w:rPr>
        <w:t>’</w:t>
      </w:r>
      <w:r w:rsidRPr="00710766">
        <w:rPr>
          <w:rFonts w:eastAsia="Times New Roman" w:cstheme="minorHAnsi"/>
        </w:rPr>
        <w:t>assises tint plus de dix audiences à l</w:t>
      </w:r>
      <w:r w:rsidRPr="00710766" w:rsidR="00710766">
        <w:rPr>
          <w:rFonts w:eastAsia="Times New Roman" w:cstheme="minorHAnsi"/>
        </w:rPr>
        <w:t>’</w:t>
      </w:r>
      <w:r w:rsidRPr="00710766">
        <w:rPr>
          <w:rFonts w:eastAsia="Times New Roman" w:cstheme="minorHAnsi"/>
        </w:rPr>
        <w:t xml:space="preserve">issue desquelles elle ordonna à chaque fois le maintien en détention du requérant pour </w:t>
      </w:r>
      <w:r w:rsidRPr="00710766">
        <w:rPr>
          <w:rFonts w:cstheme="minorHAnsi"/>
          <w:color w:val="000000"/>
        </w:rPr>
        <w:t>les mêmes motifs que ceux qui avaient été retenus précédemment.</w:t>
      </w:r>
    </w:p>
    <w:bookmarkStart w:name="paragraph16" w:id="7"/>
    <w:p w:rsidRPr="00710766" w:rsidR="002A531E" w:rsidP="00710766" w:rsidRDefault="002A531E" w14:paraId="45C72492" w14:textId="385DBB7A">
      <w:pPr>
        <w:pStyle w:val="JuPara"/>
        <w:rPr>
          <w:rFonts w:eastAsia="Times New Roman" w:cstheme="minorHAnsi"/>
        </w:rPr>
      </w:pPr>
      <w:r w:rsidRPr="00710766">
        <w:rPr>
          <w:rFonts w:eastAsia="Times New Roman" w:cstheme="minorHAnsi"/>
        </w:rPr>
        <w:fldChar w:fldCharType="begin"/>
      </w:r>
      <w:r w:rsidRPr="00710766">
        <w:rPr>
          <w:rFonts w:eastAsia="Times New Roman" w:cstheme="minorHAnsi"/>
        </w:rPr>
        <w:instrText xml:space="preserve"> SEQ level0 \*arabic </w:instrText>
      </w:r>
      <w:r w:rsidRPr="00710766">
        <w:rPr>
          <w:rFonts w:eastAsia="Times New Roman" w:cstheme="minorHAnsi"/>
        </w:rPr>
        <w:fldChar w:fldCharType="separate"/>
      </w:r>
      <w:r w:rsidRPr="00710766" w:rsidR="00710766">
        <w:rPr>
          <w:rFonts w:eastAsia="Times New Roman" w:cstheme="minorHAnsi"/>
          <w:noProof/>
        </w:rPr>
        <w:t>16</w:t>
      </w:r>
      <w:r w:rsidRPr="00710766">
        <w:rPr>
          <w:rFonts w:eastAsia="Times New Roman" w:cstheme="minorHAnsi"/>
        </w:rPr>
        <w:fldChar w:fldCharType="end"/>
      </w:r>
      <w:bookmarkEnd w:id="7"/>
      <w:r w:rsidRPr="00710766">
        <w:rPr>
          <w:rFonts w:eastAsia="Times New Roman" w:cstheme="minorHAnsi"/>
        </w:rPr>
        <w:t>.  Par un arrêt du 6 juillet 2018, la cour d</w:t>
      </w:r>
      <w:r w:rsidRPr="00710766" w:rsidR="00710766">
        <w:rPr>
          <w:rFonts w:eastAsia="Times New Roman" w:cstheme="minorHAnsi"/>
        </w:rPr>
        <w:t>’</w:t>
      </w:r>
      <w:r w:rsidRPr="00710766">
        <w:rPr>
          <w:rFonts w:eastAsia="Times New Roman" w:cstheme="minorHAnsi"/>
        </w:rPr>
        <w:t>assises condamna le requérant à une peine de dix ans et dix-huit jours d</w:t>
      </w:r>
      <w:r w:rsidRPr="00710766" w:rsidR="00710766">
        <w:rPr>
          <w:rFonts w:eastAsia="Times New Roman" w:cstheme="minorHAnsi"/>
        </w:rPr>
        <w:t>’</w:t>
      </w:r>
      <w:r w:rsidRPr="00710766">
        <w:rPr>
          <w:rFonts w:eastAsia="Times New Roman" w:cstheme="minorHAnsi"/>
        </w:rPr>
        <w:t>emprisonnement en application des articles 314 § 2 du CP et 7 § 2 de la loi n</w:t>
      </w:r>
      <w:r w:rsidRPr="00710766">
        <w:rPr>
          <w:rFonts w:eastAsia="Times New Roman" w:cstheme="minorHAnsi"/>
          <w:vertAlign w:val="superscript"/>
        </w:rPr>
        <w:t>o</w:t>
      </w:r>
      <w:r w:rsidRPr="00710766">
        <w:rPr>
          <w:rFonts w:eastAsia="Times New Roman" w:cstheme="minorHAnsi"/>
        </w:rPr>
        <w:t> 3713 sur la lutte contre le terrorisme. Elle considéra notamment qu</w:t>
      </w:r>
      <w:r w:rsidRPr="00710766" w:rsidR="00710766">
        <w:rPr>
          <w:rFonts w:eastAsia="Times New Roman" w:cstheme="minorHAnsi"/>
        </w:rPr>
        <w:t>’</w:t>
      </w:r>
      <w:r w:rsidRPr="00710766">
        <w:rPr>
          <w:rFonts w:eastAsia="Times New Roman" w:cstheme="minorHAnsi"/>
        </w:rPr>
        <w:t>il convenait de déclarer le requérant coupable des faits qui lui étaient reprochés compte tenu d</w:t>
      </w:r>
      <w:r w:rsidRPr="00710766" w:rsidR="00710766">
        <w:rPr>
          <w:rFonts w:eastAsia="Times New Roman" w:cstheme="minorHAnsi"/>
        </w:rPr>
        <w:t>’</w:t>
      </w:r>
      <w:r w:rsidRPr="00710766">
        <w:rPr>
          <w:rFonts w:eastAsia="Times New Roman" w:cstheme="minorHAnsi"/>
        </w:rPr>
        <w:t>une part de l</w:t>
      </w:r>
      <w:r w:rsidRPr="00710766" w:rsidR="00710766">
        <w:rPr>
          <w:rFonts w:eastAsia="Times New Roman" w:cstheme="minorHAnsi"/>
        </w:rPr>
        <w:t>’</w:t>
      </w:r>
      <w:r w:rsidRPr="00710766">
        <w:rPr>
          <w:rFonts w:eastAsia="Times New Roman" w:cstheme="minorHAnsi"/>
        </w:rPr>
        <w:t>intensité et de la continuité des activités en cause, et d</w:t>
      </w:r>
      <w:r w:rsidRPr="00710766" w:rsidR="00710766">
        <w:rPr>
          <w:rFonts w:eastAsia="Times New Roman" w:cstheme="minorHAnsi"/>
        </w:rPr>
        <w:t>’</w:t>
      </w:r>
      <w:r w:rsidRPr="00710766">
        <w:rPr>
          <w:rFonts w:eastAsia="Times New Roman" w:cstheme="minorHAnsi"/>
        </w:rPr>
        <w:t>autre part du fait que le requérant avait pris part en tant qu</w:t>
      </w:r>
      <w:r w:rsidRPr="00710766" w:rsidR="00710766">
        <w:rPr>
          <w:rFonts w:eastAsia="Times New Roman" w:cstheme="minorHAnsi"/>
        </w:rPr>
        <w:t>’</w:t>
      </w:r>
      <w:r w:rsidRPr="00710766">
        <w:rPr>
          <w:rFonts w:eastAsia="Times New Roman" w:cstheme="minorHAnsi"/>
        </w:rPr>
        <w:t>organisateur ou participant à vingt-huit activités menées sur instruction d</w:t>
      </w:r>
      <w:r w:rsidRPr="00710766" w:rsidR="00710766">
        <w:rPr>
          <w:rFonts w:eastAsia="Times New Roman" w:cstheme="minorHAnsi"/>
        </w:rPr>
        <w:t>’</w:t>
      </w:r>
      <w:r w:rsidRPr="00710766">
        <w:rPr>
          <w:rFonts w:eastAsia="Times New Roman" w:cstheme="minorHAnsi"/>
        </w:rPr>
        <w:t>une organisation terroriste.</w:t>
      </w:r>
    </w:p>
    <w:bookmarkStart w:name="paragraph15" w:id="8"/>
    <w:p w:rsidRPr="00710766" w:rsidR="002A531E" w:rsidP="00710766" w:rsidRDefault="002A531E" w14:paraId="03D2C777" w14:textId="078C4EB2">
      <w:pPr>
        <w:pStyle w:val="JuPara"/>
      </w:pPr>
      <w:r w:rsidRPr="00710766">
        <w:rPr>
          <w:rFonts w:eastAsia="Times New Roman" w:cstheme="minorHAnsi"/>
        </w:rPr>
        <w:fldChar w:fldCharType="begin"/>
      </w:r>
      <w:r w:rsidRPr="00710766">
        <w:rPr>
          <w:rFonts w:eastAsia="Times New Roman" w:cstheme="minorHAnsi"/>
        </w:rPr>
        <w:instrText xml:space="preserve"> SEQ level0 \*arabic </w:instrText>
      </w:r>
      <w:r w:rsidRPr="00710766">
        <w:rPr>
          <w:rFonts w:eastAsia="Times New Roman" w:cstheme="minorHAnsi"/>
        </w:rPr>
        <w:fldChar w:fldCharType="separate"/>
      </w:r>
      <w:r w:rsidRPr="00710766" w:rsidR="00710766">
        <w:rPr>
          <w:rFonts w:eastAsia="Times New Roman" w:cstheme="minorHAnsi"/>
          <w:noProof/>
        </w:rPr>
        <w:t>17</w:t>
      </w:r>
      <w:r w:rsidRPr="00710766">
        <w:rPr>
          <w:rFonts w:eastAsia="Times New Roman" w:cstheme="minorHAnsi"/>
        </w:rPr>
        <w:fldChar w:fldCharType="end"/>
      </w:r>
      <w:bookmarkEnd w:id="8"/>
      <w:r w:rsidRPr="00710766">
        <w:rPr>
          <w:rFonts w:eastAsia="Times New Roman" w:cstheme="minorHAnsi"/>
        </w:rPr>
        <w:t>.  </w:t>
      </w:r>
      <w:r w:rsidRPr="00710766">
        <w:t>Le 11 octobre 2018, la CCT rendit son arrêt (</w:t>
      </w:r>
      <w:proofErr w:type="spellStart"/>
      <w:r w:rsidRPr="00710766">
        <w:rPr>
          <w:i/>
          <w:iCs/>
        </w:rPr>
        <w:t>Tuncer</w:t>
      </w:r>
      <w:proofErr w:type="spellEnd"/>
      <w:r w:rsidRPr="00710766">
        <w:rPr>
          <w:i/>
          <w:iCs/>
        </w:rPr>
        <w:t xml:space="preserve"> </w:t>
      </w:r>
      <w:proofErr w:type="spellStart"/>
      <w:r w:rsidRPr="00710766">
        <w:rPr>
          <w:i/>
          <w:iCs/>
        </w:rPr>
        <w:t>Bak</w:t>
      </w:r>
      <w:r w:rsidRPr="00710766">
        <w:rPr>
          <w:rFonts w:cstheme="minorHAnsi"/>
          <w:i/>
          <w:iCs/>
        </w:rPr>
        <w:t>ı</w:t>
      </w:r>
      <w:r w:rsidRPr="00710766">
        <w:rPr>
          <w:i/>
          <w:iCs/>
        </w:rPr>
        <w:t>rhan</w:t>
      </w:r>
      <w:proofErr w:type="spellEnd"/>
      <w:r w:rsidRPr="00710766">
        <w:t>, n</w:t>
      </w:r>
      <w:r w:rsidRPr="00710766">
        <w:rPr>
          <w:vertAlign w:val="superscript"/>
        </w:rPr>
        <w:t>o</w:t>
      </w:r>
      <w:r w:rsidRPr="00710766">
        <w:t> 2017/28478). Elle décida à l</w:t>
      </w:r>
      <w:r w:rsidRPr="00710766" w:rsidR="00710766">
        <w:t>’</w:t>
      </w:r>
      <w:r w:rsidRPr="00710766">
        <w:t>unanimité de rejeter pour défaut manifeste de fondement les griefs que le requérant avait soulevés relativement à l</w:t>
      </w:r>
      <w:r w:rsidRPr="00710766" w:rsidR="00710766">
        <w:t>’</w:t>
      </w:r>
      <w:r w:rsidRPr="00710766">
        <w:t>absence alléguée de raisons plausibles de le soupçonner d</w:t>
      </w:r>
      <w:r w:rsidRPr="00710766" w:rsidR="00710766">
        <w:t>’</w:t>
      </w:r>
      <w:r w:rsidRPr="00710766">
        <w:t>avoir commis une infraction et à l</w:t>
      </w:r>
      <w:r w:rsidRPr="00710766" w:rsidR="00710766">
        <w:t>’</w:t>
      </w:r>
      <w:r w:rsidRPr="00710766">
        <w:t>absence alléguée de motifs propres à justifier la décision de le placer en détention, et de rejeter le grief tiré de l</w:t>
      </w:r>
      <w:r w:rsidRPr="00710766" w:rsidR="00710766">
        <w:t>’</w:t>
      </w:r>
      <w:r w:rsidRPr="00710766">
        <w:t>atteinte alléguée à son droit à la liberté d</w:t>
      </w:r>
      <w:r w:rsidRPr="00710766" w:rsidR="00710766">
        <w:t>’</w:t>
      </w:r>
      <w:r w:rsidRPr="00710766">
        <w:t>expression pour le même motif. Elle déclara en outre le grief relatif à la durée de la détention provisoire irrecevable au motif que le requérant avait omis d</w:t>
      </w:r>
      <w:r w:rsidRPr="00710766" w:rsidR="00710766">
        <w:t>’</w:t>
      </w:r>
      <w:r w:rsidRPr="00710766">
        <w:t>introduire une demande d</w:t>
      </w:r>
      <w:r w:rsidRPr="00710766" w:rsidR="00710766">
        <w:t>’</w:t>
      </w:r>
      <w:r w:rsidRPr="00710766">
        <w:t>indemnisation devant la cour d</w:t>
      </w:r>
      <w:r w:rsidRPr="00710766" w:rsidR="00710766">
        <w:t>’</w:t>
      </w:r>
      <w:r w:rsidRPr="00710766">
        <w:t>assises conformément à l</w:t>
      </w:r>
      <w:r w:rsidRPr="00710766" w:rsidR="00710766">
        <w:t>’</w:t>
      </w:r>
      <w:r w:rsidRPr="00710766">
        <w:t xml:space="preserve">article 141 § 1 d) du CPP. Enfin, elle déclara irrecevable pour incompatibilité </w:t>
      </w:r>
      <w:proofErr w:type="spellStart"/>
      <w:r w:rsidRPr="00710766">
        <w:rPr>
          <w:i/>
          <w:iCs/>
        </w:rPr>
        <w:t>ratione</w:t>
      </w:r>
      <w:proofErr w:type="spellEnd"/>
      <w:r w:rsidRPr="00710766">
        <w:rPr>
          <w:i/>
          <w:iCs/>
        </w:rPr>
        <w:t xml:space="preserve"> materiae</w:t>
      </w:r>
      <w:r w:rsidRPr="00710766">
        <w:t xml:space="preserve"> avec la Constitution le grief relatif à l</w:t>
      </w:r>
      <w:r w:rsidRPr="00710766" w:rsidR="00710766">
        <w:t>’</w:t>
      </w:r>
      <w:r w:rsidRPr="00710766">
        <w:t>atteinte alléguée au droit du requérant de mener des activités politiques.</w:t>
      </w:r>
    </w:p>
    <w:bookmarkStart w:name="paragraph18" w:id="9"/>
    <w:p w:rsidRPr="00710766" w:rsidR="002A531E" w:rsidP="00710766" w:rsidRDefault="002A531E" w14:paraId="483ACC37" w14:textId="053CD64E">
      <w:pPr>
        <w:pStyle w:val="JuPara"/>
        <w:rPr>
          <w:rFonts w:cstheme="minorHAnsi"/>
        </w:rPr>
      </w:pPr>
      <w:r w:rsidRPr="00710766">
        <w:rPr>
          <w:rFonts w:cstheme="minorHAnsi"/>
        </w:rPr>
        <w:fldChar w:fldCharType="begin"/>
      </w:r>
      <w:r w:rsidRPr="00710766">
        <w:rPr>
          <w:rFonts w:cstheme="minorHAnsi"/>
        </w:rPr>
        <w:instrText xml:space="preserve"> SEQ level0 \*arabic </w:instrText>
      </w:r>
      <w:r w:rsidRPr="00710766">
        <w:rPr>
          <w:rFonts w:cstheme="minorHAnsi"/>
        </w:rPr>
        <w:fldChar w:fldCharType="separate"/>
      </w:r>
      <w:r w:rsidRPr="00710766" w:rsidR="00710766">
        <w:rPr>
          <w:rFonts w:cstheme="minorHAnsi"/>
          <w:noProof/>
        </w:rPr>
        <w:t>18</w:t>
      </w:r>
      <w:r w:rsidRPr="00710766">
        <w:rPr>
          <w:rFonts w:cstheme="minorHAnsi"/>
        </w:rPr>
        <w:fldChar w:fldCharType="end"/>
      </w:r>
      <w:bookmarkEnd w:id="9"/>
      <w:r w:rsidRPr="00710766">
        <w:rPr>
          <w:rFonts w:cstheme="minorHAnsi"/>
        </w:rPr>
        <w:t>.  Le 26 octobre 2018, le tribunal régional de Gaziantep infirma l</w:t>
      </w:r>
      <w:r w:rsidRPr="00710766" w:rsidR="00710766">
        <w:rPr>
          <w:rFonts w:cstheme="minorHAnsi"/>
        </w:rPr>
        <w:t>’</w:t>
      </w:r>
      <w:r w:rsidRPr="00710766">
        <w:rPr>
          <w:rFonts w:cstheme="minorHAnsi"/>
        </w:rPr>
        <w:t>arrêt du 6 juillet 2018 et ordonna le maintien du requérant en détention provisoire.</w:t>
      </w:r>
    </w:p>
    <w:bookmarkStart w:name="paragraph17" w:id="10"/>
    <w:p w:rsidRPr="00710766" w:rsidR="002A531E" w:rsidP="00710766" w:rsidRDefault="002A531E" w14:paraId="12B9255D" w14:textId="441427DF">
      <w:pPr>
        <w:pStyle w:val="JuPara"/>
      </w:pPr>
      <w:r w:rsidRPr="00710766">
        <w:fldChar w:fldCharType="begin"/>
      </w:r>
      <w:r w:rsidRPr="00710766">
        <w:instrText xml:space="preserve"> SEQ level0 \*arabic </w:instrText>
      </w:r>
      <w:r w:rsidRPr="00710766">
        <w:fldChar w:fldCharType="separate"/>
      </w:r>
      <w:r w:rsidRPr="00710766" w:rsidR="00710766">
        <w:rPr>
          <w:noProof/>
        </w:rPr>
        <w:t>19</w:t>
      </w:r>
      <w:r w:rsidRPr="00710766">
        <w:fldChar w:fldCharType="end"/>
      </w:r>
      <w:bookmarkEnd w:id="10"/>
      <w:r w:rsidRPr="00710766">
        <w:t>.  Le 11 octobre 2019, la cour d</w:t>
      </w:r>
      <w:r w:rsidRPr="00710766" w:rsidR="00710766">
        <w:t>’</w:t>
      </w:r>
      <w:r w:rsidRPr="00710766">
        <w:t>assises de Siirt ordonna la mise en liberté provisoire du requérant.</w:t>
      </w:r>
    </w:p>
    <w:p w:rsidRPr="00710766" w:rsidR="002A531E" w:rsidP="00710766" w:rsidRDefault="002A531E" w14:paraId="63DB09EB" w14:textId="7A420E8C">
      <w:pPr>
        <w:pStyle w:val="JuPara"/>
      </w:pPr>
      <w:r w:rsidRPr="00710766">
        <w:fldChar w:fldCharType="begin"/>
      </w:r>
      <w:r w:rsidRPr="00710766">
        <w:instrText xml:space="preserve"> SEQ level0 \*arabic </w:instrText>
      </w:r>
      <w:r w:rsidRPr="00710766">
        <w:fldChar w:fldCharType="separate"/>
      </w:r>
      <w:r w:rsidRPr="00710766" w:rsidR="00710766">
        <w:rPr>
          <w:noProof/>
        </w:rPr>
        <w:t>20</w:t>
      </w:r>
      <w:r w:rsidRPr="00710766">
        <w:fldChar w:fldCharType="end"/>
      </w:r>
      <w:r w:rsidRPr="00710766">
        <w:t>.  Le 26 octobre 2019, la cour d</w:t>
      </w:r>
      <w:r w:rsidRPr="00710766" w:rsidR="00710766">
        <w:t>’</w:t>
      </w:r>
      <w:r w:rsidRPr="00710766">
        <w:t>assises de Siirt condamna à nouveau le requérant à une peine de dix ans et dix-huit jours d</w:t>
      </w:r>
      <w:r w:rsidRPr="00710766" w:rsidR="00710766">
        <w:t>’</w:t>
      </w:r>
      <w:r w:rsidRPr="00710766">
        <w:t>emprisonnement pour les mêmes chefs d</w:t>
      </w:r>
      <w:r w:rsidRPr="00710766" w:rsidR="00710766">
        <w:t>’</w:t>
      </w:r>
      <w:r w:rsidRPr="00710766">
        <w:t>inculpation.</w:t>
      </w:r>
    </w:p>
    <w:p w:rsidRPr="00710766" w:rsidR="002A531E" w:rsidP="00710766" w:rsidRDefault="002A531E" w14:paraId="651871DB" w14:textId="49BF0703">
      <w:pPr>
        <w:pStyle w:val="JuPara"/>
      </w:pPr>
      <w:r w:rsidRPr="00710766">
        <w:fldChar w:fldCharType="begin"/>
      </w:r>
      <w:r w:rsidRPr="00710766">
        <w:instrText xml:space="preserve"> SEQ level0 \*arabic </w:instrText>
      </w:r>
      <w:r w:rsidRPr="00710766">
        <w:fldChar w:fldCharType="separate"/>
      </w:r>
      <w:r w:rsidRPr="00710766" w:rsidR="00710766">
        <w:rPr>
          <w:noProof/>
        </w:rPr>
        <w:t>21</w:t>
      </w:r>
      <w:r w:rsidRPr="00710766">
        <w:fldChar w:fldCharType="end"/>
      </w:r>
      <w:r w:rsidRPr="00710766">
        <w:t>.  La procédure pénale est toujours pendante devant les juridictions pénales.</w:t>
      </w:r>
    </w:p>
    <w:p w:rsidRPr="00710766" w:rsidR="002A531E" w:rsidP="00710766" w:rsidRDefault="002A531E" w14:paraId="75D4D791" w14:textId="77777777">
      <w:pPr>
        <w:pStyle w:val="JuHHead"/>
        <w:numPr>
          <w:ilvl w:val="0"/>
          <w:numId w:val="18"/>
        </w:numPr>
      </w:pPr>
      <w:bookmarkStart w:name="_Hlk36127227" w:id="11"/>
      <w:r w:rsidRPr="00710766">
        <w:rPr>
          <w:caps w:val="0"/>
        </w:rPr>
        <w:t>LE CADRE JURIDIQUE INTERNE PERTINENT</w:t>
      </w:r>
    </w:p>
    <w:bookmarkEnd w:id="11"/>
    <w:p w:rsidRPr="00710766" w:rsidR="002A531E" w:rsidP="00710766" w:rsidRDefault="002A531E" w14:paraId="015EBCEE" w14:textId="333BC2D3">
      <w:pPr>
        <w:pStyle w:val="JuPara"/>
      </w:pPr>
      <w:r w:rsidRPr="00710766">
        <w:fldChar w:fldCharType="begin"/>
      </w:r>
      <w:r w:rsidRPr="00710766">
        <w:instrText xml:space="preserve"> SEQ level0 \*arabic </w:instrText>
      </w:r>
      <w:r w:rsidRPr="00710766">
        <w:fldChar w:fldCharType="separate"/>
      </w:r>
      <w:r w:rsidRPr="00710766" w:rsidR="00710766">
        <w:rPr>
          <w:noProof/>
        </w:rPr>
        <w:t>22</w:t>
      </w:r>
      <w:r w:rsidRPr="00710766">
        <w:fldChar w:fldCharType="end"/>
      </w:r>
      <w:r w:rsidRPr="00710766">
        <w:t>.  </w:t>
      </w:r>
      <w:bookmarkStart w:name="_Hlk36127236" w:id="12"/>
      <w:r w:rsidRPr="00710766">
        <w:t>Les dispositions pertinentes du CP et du CPP sont citées dans l</w:t>
      </w:r>
      <w:r w:rsidRPr="00710766" w:rsidR="00710766">
        <w:t>’</w:t>
      </w:r>
      <w:r w:rsidRPr="00710766">
        <w:t xml:space="preserve">arrêt </w:t>
      </w:r>
      <w:proofErr w:type="spellStart"/>
      <w:r w:rsidRPr="00710766">
        <w:rPr>
          <w:i/>
          <w:iCs/>
        </w:rPr>
        <w:t>Selahattin</w:t>
      </w:r>
      <w:proofErr w:type="spellEnd"/>
      <w:r w:rsidRPr="00710766">
        <w:rPr>
          <w:i/>
          <w:iCs/>
        </w:rPr>
        <w:t xml:space="preserve"> </w:t>
      </w:r>
      <w:proofErr w:type="spellStart"/>
      <w:r w:rsidRPr="00710766">
        <w:rPr>
          <w:rFonts w:cstheme="minorHAnsi"/>
          <w:i/>
          <w:color w:val="000000"/>
        </w:rPr>
        <w:t>Demirtaş</w:t>
      </w:r>
      <w:proofErr w:type="spellEnd"/>
      <w:r w:rsidRPr="00710766">
        <w:rPr>
          <w:rFonts w:cstheme="minorHAnsi"/>
          <w:i/>
          <w:color w:val="000000"/>
        </w:rPr>
        <w:t xml:space="preserve"> </w:t>
      </w:r>
      <w:r w:rsidRPr="00710766">
        <w:rPr>
          <w:i/>
          <w:iCs/>
        </w:rPr>
        <w:t>(n</w:t>
      </w:r>
      <w:r w:rsidRPr="00710766">
        <w:rPr>
          <w:i/>
          <w:iCs/>
          <w:vertAlign w:val="superscript"/>
        </w:rPr>
        <w:t>o</w:t>
      </w:r>
      <w:r w:rsidRPr="00710766">
        <w:rPr>
          <w:i/>
          <w:iCs/>
        </w:rPr>
        <w:t> 2)</w:t>
      </w:r>
      <w:r w:rsidRPr="00710766">
        <w:t xml:space="preserve"> (précité, §§ 143, 147 et 150-157).</w:t>
      </w:r>
      <w:bookmarkEnd w:id="12"/>
    </w:p>
    <w:bookmarkStart w:name="ACMK100101" w:id="13"/>
    <w:p w:rsidRPr="00710766" w:rsidR="002A531E" w:rsidP="00710766" w:rsidRDefault="002A531E" w14:paraId="2A82B5A1" w14:textId="3D05EB83">
      <w:pPr>
        <w:pStyle w:val="JuPara"/>
      </w:pPr>
      <w:r w:rsidRPr="00710766">
        <w:fldChar w:fldCharType="begin"/>
      </w:r>
      <w:r w:rsidRPr="00710766">
        <w:instrText xml:space="preserve"> SEQ level0 \*arabic </w:instrText>
      </w:r>
      <w:r w:rsidRPr="00710766">
        <w:fldChar w:fldCharType="separate"/>
      </w:r>
      <w:r w:rsidRPr="00710766" w:rsidR="00710766">
        <w:rPr>
          <w:noProof/>
        </w:rPr>
        <w:t>23</w:t>
      </w:r>
      <w:r w:rsidRPr="00710766">
        <w:fldChar w:fldCharType="end"/>
      </w:r>
      <w:bookmarkEnd w:id="13"/>
      <w:r w:rsidRPr="00710766">
        <w:t>.  L</w:t>
      </w:r>
      <w:r w:rsidRPr="00710766" w:rsidR="00710766">
        <w:t>’</w:t>
      </w:r>
      <w:r w:rsidRPr="00710766">
        <w:t>article 100 §§ 1 et 2 du CPP se lit comme suit dans ses parties pertinentes en l</w:t>
      </w:r>
      <w:r w:rsidRPr="00710766" w:rsidR="00710766">
        <w:t>’</w:t>
      </w:r>
      <w:r w:rsidRPr="00710766">
        <w:t>espèce :</w:t>
      </w:r>
    </w:p>
    <w:p w:rsidRPr="00710766" w:rsidR="002A531E" w:rsidP="00710766" w:rsidRDefault="002A531E" w14:paraId="737E99AF" w14:textId="37BB0E01">
      <w:pPr>
        <w:pStyle w:val="JuQuot"/>
      </w:pPr>
      <w:r w:rsidRPr="00710766">
        <w:t>« 1. S</w:t>
      </w:r>
      <w:r w:rsidRPr="00710766" w:rsidR="00710766">
        <w:t>’</w:t>
      </w:r>
      <w:r w:rsidRPr="00710766">
        <w:t>il existe des éléments factuels qui démontrent l</w:t>
      </w:r>
      <w:r w:rsidRPr="00710766" w:rsidR="00710766">
        <w:t>’</w:t>
      </w:r>
      <w:r w:rsidRPr="00710766">
        <w:t>existence de forts soupçons quant à la commission de l</w:t>
      </w:r>
      <w:r w:rsidRPr="00710766" w:rsidR="00710766">
        <w:t>’</w:t>
      </w:r>
      <w:r w:rsidRPr="00710766">
        <w:t>infraction [reprochée] et un motif de détention provisoire, la détention provisoire peut être ordonnée à l</w:t>
      </w:r>
      <w:r w:rsidRPr="00710766" w:rsidR="00710766">
        <w:t>’</w:t>
      </w:r>
      <w:r w:rsidRPr="00710766">
        <w:t>égard d</w:t>
      </w:r>
      <w:r w:rsidRPr="00710766" w:rsidR="00710766">
        <w:t>’</w:t>
      </w:r>
      <w:r w:rsidRPr="00710766">
        <w:t>un suspect ou d</w:t>
      </w:r>
      <w:r w:rsidRPr="00710766" w:rsidR="00710766">
        <w:t>’</w:t>
      </w:r>
      <w:r w:rsidRPr="00710766">
        <w:t>un accusé. Elle ne peut être prononcée que proportionnellement à la peine ou à la mesure préventive susceptibles d</w:t>
      </w:r>
      <w:r w:rsidRPr="00710766" w:rsidR="00710766">
        <w:t>’</w:t>
      </w:r>
      <w:r w:rsidRPr="00710766">
        <w:t>être imposées eu égard à l</w:t>
      </w:r>
      <w:r w:rsidRPr="00710766" w:rsidR="00710766">
        <w:t>’</w:t>
      </w:r>
      <w:r w:rsidRPr="00710766">
        <w:t>importance de l</w:t>
      </w:r>
      <w:r w:rsidRPr="00710766" w:rsidR="00710766">
        <w:t>’</w:t>
      </w:r>
      <w:r w:rsidRPr="00710766">
        <w:t>affaire.</w:t>
      </w:r>
    </w:p>
    <w:p w:rsidRPr="00710766" w:rsidR="002A531E" w:rsidP="00710766" w:rsidRDefault="002A531E" w14:paraId="5ADABCC1" w14:textId="2A54F6D0">
      <w:pPr>
        <w:pStyle w:val="JuQuot"/>
      </w:pPr>
      <w:r w:rsidRPr="00710766">
        <w:t>2. Dans les cas énumérés ci-dessous, il peut être considéré qu</w:t>
      </w:r>
      <w:r w:rsidRPr="00710766" w:rsidR="00710766">
        <w:t>’</w:t>
      </w:r>
      <w:r w:rsidRPr="00710766">
        <w:t>il existe un motif de détention :</w:t>
      </w:r>
    </w:p>
    <w:p w:rsidRPr="00710766" w:rsidR="002A531E" w:rsidP="00710766" w:rsidRDefault="002A531E" w14:paraId="1488292F" w14:textId="321D4770">
      <w:pPr>
        <w:pStyle w:val="JuQuot"/>
      </w:pPr>
      <w:r w:rsidRPr="00710766">
        <w:t>a) s</w:t>
      </w:r>
      <w:r w:rsidRPr="00710766" w:rsidR="00710766">
        <w:t>’</w:t>
      </w:r>
      <w:r w:rsidRPr="00710766">
        <w:t>il existe des faits concrets qui font naître le soupçon d</w:t>
      </w:r>
      <w:r w:rsidRPr="00710766" w:rsidR="00710766">
        <w:t>’</w:t>
      </w:r>
      <w:r w:rsidRPr="00710766">
        <w:t>un risque de fuite (...) ;</w:t>
      </w:r>
    </w:p>
    <w:p w:rsidRPr="00710766" w:rsidR="002A531E" w:rsidP="00710766" w:rsidRDefault="002A531E" w14:paraId="46A0A739" w14:textId="45BE1ABD">
      <w:pPr>
        <w:pStyle w:val="JuQuot"/>
      </w:pPr>
      <w:r w:rsidRPr="00710766">
        <w:t>b) si le comportement du suspect ou de l</w:t>
      </w:r>
      <w:r w:rsidRPr="00710766" w:rsidR="00710766">
        <w:t>’</w:t>
      </w:r>
      <w:r w:rsidRPr="00710766">
        <w:t>accusé fait naître le soupçon</w:t>
      </w:r>
    </w:p>
    <w:p w:rsidRPr="00710766" w:rsidR="002A531E" w:rsidP="00710766" w:rsidRDefault="002A531E" w14:paraId="1C3C038F" w14:textId="17AD5759">
      <w:pPr>
        <w:pStyle w:val="JuQuot"/>
      </w:pPr>
      <w:r w:rsidRPr="00710766">
        <w:t>1. d</w:t>
      </w:r>
      <w:r w:rsidRPr="00710766" w:rsidR="00710766">
        <w:t>’</w:t>
      </w:r>
      <w:r w:rsidRPr="00710766">
        <w:t>un risque de destruction, de dissimulation ou d</w:t>
      </w:r>
      <w:r w:rsidRPr="00710766" w:rsidR="00710766">
        <w:t>’</w:t>
      </w:r>
      <w:r w:rsidRPr="00710766">
        <w:t>altération des preuves,</w:t>
      </w:r>
    </w:p>
    <w:p w:rsidRPr="00710766" w:rsidR="002A531E" w:rsidP="00710766" w:rsidRDefault="002A531E" w14:paraId="45615439" w14:textId="6F26E0ED">
      <w:pPr>
        <w:pStyle w:val="JuQuot"/>
      </w:pPr>
      <w:r w:rsidRPr="00710766">
        <w:t>2. d</w:t>
      </w:r>
      <w:r w:rsidRPr="00710766" w:rsidR="00710766">
        <w:t>’</w:t>
      </w:r>
      <w:r w:rsidRPr="00710766">
        <w:t>une tentative d</w:t>
      </w:r>
      <w:r w:rsidRPr="00710766" w:rsidR="00710766">
        <w:t>’</w:t>
      </w:r>
      <w:r w:rsidRPr="00710766">
        <w:t>exercice de pressions sur les témoins ou sur d</w:t>
      </w:r>
      <w:r w:rsidRPr="00710766" w:rsidR="00710766">
        <w:t>’</w:t>
      </w:r>
      <w:r w:rsidRPr="00710766">
        <w:t>autres personnes (...) »</w:t>
      </w:r>
    </w:p>
    <w:p w:rsidRPr="00710766" w:rsidR="002A531E" w:rsidP="00710766" w:rsidRDefault="002A531E" w14:paraId="41E8EF4A" w14:textId="73C8F0FC">
      <w:pPr>
        <w:pStyle w:val="JuPara"/>
      </w:pPr>
      <w:r w:rsidRPr="00710766">
        <w:t>Pour certaines infractions énumérées à l</w:t>
      </w:r>
      <w:r w:rsidRPr="00710766" w:rsidR="00710766">
        <w:t>’</w:t>
      </w:r>
      <w:r w:rsidRPr="00710766">
        <w:t>article 100 § 3 du CPP (les infractions dites « </w:t>
      </w:r>
      <w:r w:rsidRPr="00710766">
        <w:rPr>
          <w:bCs/>
        </w:rPr>
        <w:t>cataloguées</w:t>
      </w:r>
      <w:r w:rsidRPr="00710766">
        <w:t> »), il existe une présomption légale d</w:t>
      </w:r>
      <w:r w:rsidRPr="00710766" w:rsidR="00710766">
        <w:t>’</w:t>
      </w:r>
      <w:r w:rsidRPr="00710766">
        <w:t>existence de motifs de détention. Les parties pertinentes en l</w:t>
      </w:r>
      <w:r w:rsidRPr="00710766" w:rsidR="00710766">
        <w:t>’</w:t>
      </w:r>
      <w:r w:rsidRPr="00710766">
        <w:t>espèce de l</w:t>
      </w:r>
      <w:r w:rsidRPr="00710766" w:rsidR="00710766">
        <w:t>’</w:t>
      </w:r>
      <w:r w:rsidRPr="00710766">
        <w:t>article 100 § 3 du CPP se lisent comme suit :</w:t>
      </w:r>
    </w:p>
    <w:p w:rsidRPr="00710766" w:rsidR="002A531E" w:rsidP="00710766" w:rsidRDefault="002A531E" w14:paraId="2030C8E5" w14:textId="442AE910">
      <w:pPr>
        <w:pStyle w:val="JuQuot"/>
      </w:pPr>
      <w:r w:rsidRPr="00710766">
        <w:t>« 3) S</w:t>
      </w:r>
      <w:r w:rsidRPr="00710766" w:rsidR="00710766">
        <w:t>’</w:t>
      </w:r>
      <w:r w:rsidRPr="00710766">
        <w:t>il existe des éléments factuels qui démontrent l</w:t>
      </w:r>
      <w:r w:rsidRPr="00710766" w:rsidR="00710766">
        <w:t>’</w:t>
      </w:r>
      <w:r w:rsidRPr="00710766">
        <w:t>existence de forts soupçons quant à la commission des infractions citées ci-dessous, l</w:t>
      </w:r>
      <w:r w:rsidRPr="00710766" w:rsidR="00710766">
        <w:t>’</w:t>
      </w:r>
      <w:r w:rsidRPr="00710766">
        <w:t>existence d</w:t>
      </w:r>
      <w:r w:rsidRPr="00710766" w:rsidR="00710766">
        <w:t>’</w:t>
      </w:r>
      <w:r w:rsidRPr="00710766">
        <w:t>un motif de détention peut être présumée :</w:t>
      </w:r>
    </w:p>
    <w:p w:rsidRPr="00710766" w:rsidR="002A531E" w:rsidP="00710766" w:rsidRDefault="002A531E" w14:paraId="0A97B8F5" w14:textId="77777777">
      <w:pPr>
        <w:pStyle w:val="JuQuot"/>
      </w:pPr>
      <w:r w:rsidRPr="00710766">
        <w:t>a) pour les infractions suivantes réprimées par la loi n</w:t>
      </w:r>
      <w:r w:rsidRPr="00710766">
        <w:rPr>
          <w:vertAlign w:val="superscript"/>
        </w:rPr>
        <w:t>o</w:t>
      </w:r>
      <w:r w:rsidRPr="00710766">
        <w:t> 5237 du 26 septembre 2004 portant code pénal :</w:t>
      </w:r>
    </w:p>
    <w:p w:rsidRPr="00710766" w:rsidR="002A531E" w:rsidP="00710766" w:rsidRDefault="002A531E" w14:paraId="799F5895" w14:textId="77777777">
      <w:pPr>
        <w:pStyle w:val="JuQuot"/>
      </w:pPr>
      <w:r w:rsidRPr="00710766">
        <w:t>(...)</w:t>
      </w:r>
    </w:p>
    <w:p w:rsidRPr="00710766" w:rsidR="002A531E" w:rsidP="00710766" w:rsidRDefault="002A531E" w14:paraId="71163434" w14:textId="40660DD2">
      <w:pPr>
        <w:pStyle w:val="JuQuot"/>
      </w:pPr>
      <w:r w:rsidRPr="00710766">
        <w:t>11. infractions contre l</w:t>
      </w:r>
      <w:r w:rsidRPr="00710766" w:rsidR="00710766">
        <w:t>’</w:t>
      </w:r>
      <w:r w:rsidRPr="00710766">
        <w:t>ordre constitutionnel et le fonctionnement de ce système (articles 309, 310, 311, 313, 314, 315),</w:t>
      </w:r>
    </w:p>
    <w:p w:rsidRPr="00710766" w:rsidR="002A531E" w:rsidP="00710766" w:rsidRDefault="002A531E" w14:paraId="7BDD9444" w14:textId="77777777">
      <w:pPr>
        <w:pStyle w:val="JuQuot"/>
      </w:pPr>
      <w:r w:rsidRPr="00710766">
        <w:t>(...) »</w:t>
      </w:r>
    </w:p>
    <w:bookmarkStart w:name="paragraph20" w:id="14"/>
    <w:p w:rsidRPr="00710766" w:rsidR="002A531E" w:rsidP="00710766" w:rsidRDefault="002A531E" w14:paraId="7E8DEBC3" w14:textId="26FA1AB7">
      <w:pPr>
        <w:pStyle w:val="JuPara"/>
      </w:pPr>
      <w:r w:rsidRPr="00710766">
        <w:fldChar w:fldCharType="begin"/>
      </w:r>
      <w:r w:rsidRPr="00710766">
        <w:instrText xml:space="preserve"> SEQ level0 \*arabic </w:instrText>
      </w:r>
      <w:r w:rsidRPr="00710766">
        <w:fldChar w:fldCharType="separate"/>
      </w:r>
      <w:r w:rsidRPr="00710766" w:rsidR="00710766">
        <w:rPr>
          <w:noProof/>
        </w:rPr>
        <w:t>24</w:t>
      </w:r>
      <w:r w:rsidRPr="00710766">
        <w:fldChar w:fldCharType="end"/>
      </w:r>
      <w:bookmarkEnd w:id="14"/>
      <w:r w:rsidRPr="00710766">
        <w:t>.  L</w:t>
      </w:r>
      <w:r w:rsidRPr="00710766" w:rsidR="00710766">
        <w:t>’</w:t>
      </w:r>
      <w:r w:rsidRPr="00710766">
        <w:t>article 101 du CPP dispose que les décisions y relatives doivent être motivées en droit et en fait.</w:t>
      </w:r>
    </w:p>
    <w:p w:rsidRPr="00710766" w:rsidR="002A531E" w:rsidP="00710766" w:rsidRDefault="002A531E" w14:paraId="259A89CF" w14:textId="205CE1F6">
      <w:pPr>
        <w:pStyle w:val="JuPara"/>
      </w:pPr>
      <w:r w:rsidRPr="00710766">
        <w:fldChar w:fldCharType="begin"/>
      </w:r>
      <w:r w:rsidRPr="00710766">
        <w:instrText xml:space="preserve"> SEQ level0 \*arabic </w:instrText>
      </w:r>
      <w:r w:rsidRPr="00710766">
        <w:fldChar w:fldCharType="separate"/>
      </w:r>
      <w:r w:rsidRPr="00710766" w:rsidR="00710766">
        <w:rPr>
          <w:noProof/>
        </w:rPr>
        <w:t>25</w:t>
      </w:r>
      <w:r w:rsidRPr="00710766">
        <w:fldChar w:fldCharType="end"/>
      </w:r>
      <w:r w:rsidRPr="00710766">
        <w:t>.  L</w:t>
      </w:r>
      <w:r w:rsidRPr="00710766" w:rsidR="00710766">
        <w:t>’</w:t>
      </w:r>
      <w:r w:rsidRPr="00710766">
        <w:t>article 109 du CPP permet au juge de placer un suspect sous contrôle judiciaire au lieu d</w:t>
      </w:r>
      <w:r w:rsidRPr="00710766" w:rsidR="00710766">
        <w:t>’</w:t>
      </w:r>
      <w:r w:rsidRPr="00710766">
        <w:t>ordonner sa détention, même si les motifs de détention étaient établis.</w:t>
      </w:r>
    </w:p>
    <w:p w:rsidRPr="00710766" w:rsidR="002A531E" w:rsidP="00710766" w:rsidRDefault="002A531E" w14:paraId="34A58851" w14:textId="77777777">
      <w:pPr>
        <w:pStyle w:val="JuPara"/>
      </w:pPr>
    </w:p>
    <w:p w:rsidRPr="00710766" w:rsidR="002A531E" w:rsidP="00710766" w:rsidRDefault="002A531E" w14:paraId="4D6B5528" w14:textId="77777777">
      <w:pPr>
        <w:pStyle w:val="JuHHead"/>
      </w:pPr>
      <w:bookmarkStart w:name="_Hlk36127250" w:id="15"/>
      <w:r w:rsidRPr="00710766">
        <w:rPr>
          <w:caps w:val="0"/>
        </w:rPr>
        <w:t>EN DROIT</w:t>
      </w:r>
    </w:p>
    <w:p w:rsidRPr="00710766" w:rsidR="002A531E" w:rsidP="00710766" w:rsidRDefault="002A531E" w14:paraId="29AEAF2F" w14:textId="322DA26B">
      <w:pPr>
        <w:pStyle w:val="JuHIRoman"/>
      </w:pPr>
      <w:bookmarkStart w:name="_Hlk36127423" w:id="16"/>
      <w:bookmarkStart w:name="_Hlk34839031" w:id="17"/>
      <w:bookmarkEnd w:id="15"/>
      <w:r w:rsidRPr="00710766">
        <w:t>SUR LA VIOLATION ALLÉGUÉE DE L</w:t>
      </w:r>
      <w:r w:rsidRPr="00710766" w:rsidR="00710766">
        <w:t>’</w:t>
      </w:r>
      <w:r w:rsidRPr="00710766">
        <w:t>ARTICLE 5 §§ 1 ET 3 DE LA CONVENTION</w:t>
      </w:r>
    </w:p>
    <w:bookmarkEnd w:id="16"/>
    <w:p w:rsidRPr="00710766" w:rsidR="002A531E" w:rsidP="00710766" w:rsidRDefault="002A531E" w14:paraId="2D8354C6" w14:textId="02E0A293">
      <w:pPr>
        <w:pStyle w:val="JuPara"/>
      </w:pPr>
      <w:r w:rsidRPr="00710766">
        <w:fldChar w:fldCharType="begin"/>
      </w:r>
      <w:r w:rsidRPr="00710766">
        <w:instrText xml:space="preserve"> SEQ level0 \*arabic </w:instrText>
      </w:r>
      <w:r w:rsidRPr="00710766">
        <w:fldChar w:fldCharType="separate"/>
      </w:r>
      <w:r w:rsidRPr="00710766" w:rsidR="00710766">
        <w:rPr>
          <w:noProof/>
        </w:rPr>
        <w:t>26</w:t>
      </w:r>
      <w:r w:rsidRPr="00710766">
        <w:fldChar w:fldCharType="end"/>
      </w:r>
      <w:r w:rsidRPr="00710766">
        <w:t>.  </w:t>
      </w:r>
      <w:bookmarkStart w:name="_Hlk36127508" w:id="18"/>
      <w:r w:rsidRPr="00710766">
        <w:t>Le requérant se plaint de sa mise et son maintien en détention provisoire, qu</w:t>
      </w:r>
      <w:r w:rsidRPr="00710766" w:rsidR="00710766">
        <w:t>’</w:t>
      </w:r>
      <w:r w:rsidRPr="00710766">
        <w:t>il estime arbitraires. Il allègue qu</w:t>
      </w:r>
      <w:r w:rsidRPr="00710766" w:rsidR="00710766">
        <w:t>’</w:t>
      </w:r>
      <w:r w:rsidRPr="00710766">
        <w:t>il n</w:t>
      </w:r>
      <w:r w:rsidRPr="00710766" w:rsidR="00710766">
        <w:t>’</w:t>
      </w:r>
      <w:r w:rsidRPr="00710766">
        <w:t>existait aucun élément de preuve quant à l</w:t>
      </w:r>
      <w:r w:rsidRPr="00710766" w:rsidR="00710766">
        <w:t>’</w:t>
      </w:r>
      <w:r w:rsidRPr="00710766">
        <w:t>existence de raisons plausibles de le soupçonner d</w:t>
      </w:r>
      <w:r w:rsidRPr="00710766" w:rsidR="00710766">
        <w:t>’</w:t>
      </w:r>
      <w:r w:rsidRPr="00710766">
        <w:t>avoir commis une infraction pénale rendant nécessaire son placement et son maintien en détention provisoire. Il soutient en outre que les juridictions internes n</w:t>
      </w:r>
      <w:r w:rsidRPr="00710766" w:rsidR="00710766">
        <w:t>’</w:t>
      </w:r>
      <w:r w:rsidRPr="00710766">
        <w:t>ont pas suffisamment motivé leurs décisions de mise et de maintien en détention provisoire.</w:t>
      </w:r>
    </w:p>
    <w:p w:rsidRPr="00710766" w:rsidR="002A531E" w:rsidP="00710766" w:rsidRDefault="002A531E" w14:paraId="2257FA56" w14:textId="45EF0EBE">
      <w:pPr>
        <w:pStyle w:val="JuPara"/>
      </w:pPr>
      <w:r w:rsidRPr="00710766">
        <w:t>Le requérant dénonce par ailleurs la durée de sa détention provisoire. Il soutient que les décisions relatives à son maintien en détention provisoire n</w:t>
      </w:r>
      <w:r w:rsidRPr="00710766" w:rsidR="00710766">
        <w:t>’</w:t>
      </w:r>
      <w:r w:rsidRPr="00710766">
        <w:t>étaient pas motivées. Il se plaint également de ce que les autorités internes n</w:t>
      </w:r>
      <w:r w:rsidRPr="00710766" w:rsidR="00710766">
        <w:t>’</w:t>
      </w:r>
      <w:r w:rsidRPr="00710766">
        <w:t>ont pas envisagé de mesures alternatives à la détention provisoire.</w:t>
      </w:r>
    </w:p>
    <w:p w:rsidRPr="00710766" w:rsidR="002A531E" w:rsidP="00710766" w:rsidRDefault="002A531E" w14:paraId="242B76E2" w14:textId="15CFB075">
      <w:pPr>
        <w:pStyle w:val="JuPara"/>
      </w:pPr>
      <w:r w:rsidRPr="00710766">
        <w:t>Il estime à ces égards qu</w:t>
      </w:r>
      <w:r w:rsidRPr="00710766" w:rsidR="00710766">
        <w:t>’</w:t>
      </w:r>
      <w:r w:rsidRPr="00710766">
        <w:t>il y a eu violation de l</w:t>
      </w:r>
      <w:r w:rsidRPr="00710766" w:rsidR="00710766">
        <w:t>’</w:t>
      </w:r>
      <w:r w:rsidRPr="00710766">
        <w:t>article 5 §§ 1 c) et 3 de la Convention, qui est ainsi libellé en ses parties pertinentes en l</w:t>
      </w:r>
      <w:r w:rsidRPr="00710766" w:rsidR="00710766">
        <w:t>’</w:t>
      </w:r>
      <w:r w:rsidRPr="00710766">
        <w:t>espèce :</w:t>
      </w:r>
    </w:p>
    <w:p w:rsidRPr="00710766" w:rsidR="002A531E" w:rsidP="00710766" w:rsidRDefault="002A531E" w14:paraId="327C7413" w14:textId="77777777">
      <w:pPr>
        <w:pStyle w:val="JuQuot"/>
      </w:pPr>
      <w:r w:rsidRPr="00710766">
        <w:t>« 1.  Toute personne a droit à la liberté et à la sûreté. Nul ne peut être privé de sa liberté, sauf dans les cas suivants et selon les voies légales :</w:t>
      </w:r>
    </w:p>
    <w:p w:rsidRPr="00710766" w:rsidR="002A531E" w:rsidP="00710766" w:rsidRDefault="002A531E" w14:paraId="6B7DCAAD" w14:textId="77777777">
      <w:pPr>
        <w:pStyle w:val="JuQuot"/>
      </w:pPr>
      <w:r w:rsidRPr="00710766">
        <w:t>(...)</w:t>
      </w:r>
    </w:p>
    <w:p w:rsidRPr="00710766" w:rsidR="002A531E" w:rsidP="00710766" w:rsidRDefault="002A531E" w14:paraId="53D53D84" w14:textId="78FFD234">
      <w:pPr>
        <w:pStyle w:val="JuQuot"/>
      </w:pPr>
      <w:r w:rsidRPr="00710766">
        <w:t>c)  s</w:t>
      </w:r>
      <w:r w:rsidRPr="00710766" w:rsidR="00710766">
        <w:t>’</w:t>
      </w:r>
      <w:r w:rsidRPr="00710766">
        <w:t>il a été arrêté et détenu en vue d</w:t>
      </w:r>
      <w:r w:rsidRPr="00710766" w:rsidR="00710766">
        <w:t>’</w:t>
      </w:r>
      <w:r w:rsidRPr="00710766">
        <w:t>être conduit devant l</w:t>
      </w:r>
      <w:r w:rsidRPr="00710766" w:rsidR="00710766">
        <w:t>’</w:t>
      </w:r>
      <w:r w:rsidRPr="00710766">
        <w:t>autorité judiciaire compétente, lorsqu</w:t>
      </w:r>
      <w:r w:rsidRPr="00710766" w:rsidR="00710766">
        <w:t>’</w:t>
      </w:r>
      <w:r w:rsidRPr="00710766">
        <w:t>il y a des raisons plausibles de soupçonner qu</w:t>
      </w:r>
      <w:r w:rsidRPr="00710766" w:rsidR="00710766">
        <w:t>’</w:t>
      </w:r>
      <w:r w:rsidRPr="00710766">
        <w:t>il a commis une infraction ou qu</w:t>
      </w:r>
      <w:r w:rsidRPr="00710766" w:rsidR="00710766">
        <w:t>’</w:t>
      </w:r>
      <w:r w:rsidRPr="00710766">
        <w:t>il y a des motifs raisonnables de croire à la nécessité de l</w:t>
      </w:r>
      <w:r w:rsidRPr="00710766" w:rsidR="00710766">
        <w:t>’</w:t>
      </w:r>
      <w:r w:rsidRPr="00710766">
        <w:t>empêcher de commettre une infraction ou de s</w:t>
      </w:r>
      <w:r w:rsidRPr="00710766" w:rsidR="00710766">
        <w:t>’</w:t>
      </w:r>
      <w:r w:rsidRPr="00710766">
        <w:t>enfuir après l</w:t>
      </w:r>
      <w:r w:rsidRPr="00710766" w:rsidR="00710766">
        <w:t>’</w:t>
      </w:r>
      <w:r w:rsidRPr="00710766">
        <w:t>accomplissement de celle-ci ;</w:t>
      </w:r>
    </w:p>
    <w:p w:rsidRPr="00710766" w:rsidR="002A531E" w:rsidP="00710766" w:rsidRDefault="002A531E" w14:paraId="36A5D5BC" w14:textId="77777777">
      <w:pPr>
        <w:pStyle w:val="JuQuot"/>
      </w:pPr>
      <w:r w:rsidRPr="00710766">
        <w:t>(...)</w:t>
      </w:r>
    </w:p>
    <w:p w:rsidRPr="00710766" w:rsidR="002A531E" w:rsidP="00710766" w:rsidRDefault="002A531E" w14:paraId="13054C8A" w14:textId="02C9E573">
      <w:pPr>
        <w:pStyle w:val="JuQuot"/>
      </w:pPr>
      <w:r w:rsidRPr="00710766">
        <w:t>3.  Toute personne arrêtée ou détenue, dans les conditions prévues au paragraphe 1 c du présent article, doit être aussitôt traduite devant un juge ou un autre magistrat habilité par la loi à exercer des fonctions judiciaires et a le droit d</w:t>
      </w:r>
      <w:r w:rsidRPr="00710766" w:rsidR="00710766">
        <w:t>’</w:t>
      </w:r>
      <w:r w:rsidRPr="00710766">
        <w:t>être jugée dans un délai raisonnable, ou libérée pendant la procédure. La mise en liberté peut être subordonnée à une garantie assurant la comparution de l</w:t>
      </w:r>
      <w:r w:rsidRPr="00710766" w:rsidR="00710766">
        <w:t>’</w:t>
      </w:r>
      <w:r w:rsidRPr="00710766">
        <w:t>intéressé à l</w:t>
      </w:r>
      <w:r w:rsidRPr="00710766" w:rsidR="00710766">
        <w:t>’</w:t>
      </w:r>
      <w:r w:rsidRPr="00710766">
        <w:t>audience. »</w:t>
      </w:r>
      <w:bookmarkEnd w:id="18"/>
    </w:p>
    <w:p w:rsidRPr="00710766" w:rsidR="002A531E" w:rsidP="00710766" w:rsidRDefault="002A531E" w14:paraId="4D56094C" w14:textId="77777777">
      <w:pPr>
        <w:pStyle w:val="JuHA"/>
        <w:numPr>
          <w:ilvl w:val="2"/>
          <w:numId w:val="18"/>
        </w:numPr>
      </w:pPr>
      <w:bookmarkStart w:name="_Hlk36127545" w:id="19"/>
      <w:r w:rsidRPr="00710766">
        <w:t>Sur la recevabilité</w:t>
      </w:r>
      <w:bookmarkEnd w:id="19"/>
    </w:p>
    <w:bookmarkStart w:name="_Hlk36127606" w:id="20"/>
    <w:p w:rsidRPr="00710766" w:rsidR="002A531E" w:rsidP="00710766" w:rsidRDefault="002A531E" w14:paraId="78AF872A" w14:textId="4157B295">
      <w:pPr>
        <w:pStyle w:val="JuPara"/>
      </w:pPr>
      <w:r w:rsidRPr="00710766">
        <w:fldChar w:fldCharType="begin"/>
      </w:r>
      <w:r w:rsidRPr="00710766">
        <w:instrText xml:space="preserve"> SEQ level0 \*arabic </w:instrText>
      </w:r>
      <w:r w:rsidRPr="00710766">
        <w:fldChar w:fldCharType="separate"/>
      </w:r>
      <w:r w:rsidRPr="00710766" w:rsidR="00710766">
        <w:rPr>
          <w:noProof/>
        </w:rPr>
        <w:t>27</w:t>
      </w:r>
      <w:r w:rsidRPr="00710766">
        <w:fldChar w:fldCharType="end"/>
      </w:r>
      <w:r w:rsidRPr="00710766">
        <w:t>.  Exposant que l</w:t>
      </w:r>
      <w:r w:rsidRPr="00710766" w:rsidR="00710766">
        <w:t>’</w:t>
      </w:r>
      <w:r w:rsidRPr="00710766">
        <w:t>article 141 § 1 a) et d) du CPP permet aux personnes illégalement arrêtées ou injustement détenues d</w:t>
      </w:r>
      <w:r w:rsidRPr="00710766" w:rsidR="00710766">
        <w:t>’</w:t>
      </w:r>
      <w:r w:rsidRPr="00710766">
        <w:t>obtenir une indemnisation, le Gouvernement soutient que le requérant a été remis en liberté à l</w:t>
      </w:r>
      <w:r w:rsidRPr="00710766" w:rsidR="00710766">
        <w:t>’</w:t>
      </w:r>
      <w:r w:rsidRPr="00710766">
        <w:t>issue de sa détention provisoire et qu</w:t>
      </w:r>
      <w:r w:rsidRPr="00710766" w:rsidR="00710766">
        <w:t>’</w:t>
      </w:r>
      <w:r w:rsidRPr="00710766">
        <w:t>il aurait donc pu, et dû, introduire sur le fondement de cette disposition une action en indemnisation concernant ses griefs fondés sur l</w:t>
      </w:r>
      <w:r w:rsidRPr="00710766" w:rsidR="00710766">
        <w:t>’</w:t>
      </w:r>
      <w:r w:rsidRPr="00710766">
        <w:t>article 5 §§ 1 et 3 de la Convention. À cet égard, il déduit de la jurisprudence bien établie de la Cour de cassation qu</w:t>
      </w:r>
      <w:r w:rsidRPr="00710766" w:rsidR="00710766">
        <w:t>’</w:t>
      </w:r>
      <w:r w:rsidRPr="00710766">
        <w:t>il n</w:t>
      </w:r>
      <w:r w:rsidRPr="00710766" w:rsidR="00710766">
        <w:t>’</w:t>
      </w:r>
      <w:r w:rsidRPr="00710766">
        <w:t>est pas nécessaire d</w:t>
      </w:r>
      <w:r w:rsidRPr="00710766" w:rsidR="00710766">
        <w:t>’</w:t>
      </w:r>
      <w:r w:rsidRPr="00710766">
        <w:t>attendre une décision définitive sur le fond de l</w:t>
      </w:r>
      <w:r w:rsidRPr="00710766" w:rsidR="00710766">
        <w:t>’</w:t>
      </w:r>
      <w:r w:rsidRPr="00710766">
        <w:t>affaire pour introduire en application de l</w:t>
      </w:r>
      <w:r w:rsidRPr="00710766" w:rsidR="00710766">
        <w:t>’</w:t>
      </w:r>
      <w:r w:rsidRPr="00710766">
        <w:t>article 141 du CPP une demande d</w:t>
      </w:r>
      <w:r w:rsidRPr="00710766" w:rsidR="00710766">
        <w:t>’</w:t>
      </w:r>
      <w:r w:rsidRPr="00710766">
        <w:t>indemnisation d</w:t>
      </w:r>
      <w:r w:rsidRPr="00710766" w:rsidR="00710766">
        <w:t>’</w:t>
      </w:r>
      <w:r w:rsidRPr="00710766">
        <w:t>une détention provisoire d</w:t>
      </w:r>
      <w:r w:rsidRPr="00710766" w:rsidR="00710766">
        <w:t>’</w:t>
      </w:r>
      <w:r w:rsidRPr="00710766">
        <w:t>une durée excessive et obtenir une décision sur cette demande.</w:t>
      </w:r>
    </w:p>
    <w:p w:rsidRPr="00710766" w:rsidR="002A531E" w:rsidP="00710766" w:rsidRDefault="002A531E" w14:paraId="00E15F4E" w14:textId="2212CC59">
      <w:pPr>
        <w:pStyle w:val="JuPara"/>
      </w:pPr>
      <w:r w:rsidRPr="00710766">
        <w:fldChar w:fldCharType="begin"/>
      </w:r>
      <w:r w:rsidRPr="00710766">
        <w:instrText xml:space="preserve"> SEQ level0 \*arabic </w:instrText>
      </w:r>
      <w:r w:rsidRPr="00710766">
        <w:fldChar w:fldCharType="separate"/>
      </w:r>
      <w:r w:rsidRPr="00710766" w:rsidR="00710766">
        <w:rPr>
          <w:noProof/>
        </w:rPr>
        <w:t>28</w:t>
      </w:r>
      <w:r w:rsidRPr="00710766">
        <w:fldChar w:fldCharType="end"/>
      </w:r>
      <w:r w:rsidRPr="00710766">
        <w:t>.  Le requérant réitère ses griefs.</w:t>
      </w:r>
    </w:p>
    <w:p w:rsidRPr="00710766" w:rsidR="002A531E" w:rsidP="00710766" w:rsidRDefault="002A531E" w14:paraId="6111EF5A" w14:textId="689D0024">
      <w:pPr>
        <w:pStyle w:val="JuPara"/>
      </w:pPr>
      <w:r w:rsidRPr="00710766">
        <w:fldChar w:fldCharType="begin"/>
      </w:r>
      <w:r w:rsidRPr="00710766">
        <w:instrText xml:space="preserve"> SEQ level0 \*arabic </w:instrText>
      </w:r>
      <w:r w:rsidRPr="00710766">
        <w:fldChar w:fldCharType="separate"/>
      </w:r>
      <w:r w:rsidRPr="00710766" w:rsidR="00710766">
        <w:rPr>
          <w:noProof/>
        </w:rPr>
        <w:t>29</w:t>
      </w:r>
      <w:r w:rsidRPr="00710766">
        <w:fldChar w:fldCharType="end"/>
      </w:r>
      <w:r w:rsidRPr="00710766">
        <w:t>.  </w:t>
      </w:r>
      <w:bookmarkStart w:name="_Hlk71624412" w:id="21"/>
      <w:r w:rsidRPr="00710766">
        <w:t>La Cour rappelle que, dans une situation où le requérant ne se plaint pas uniquement de la durée de sa détention provisoire mais conteste également l</w:t>
      </w:r>
      <w:r w:rsidRPr="00710766" w:rsidR="00710766">
        <w:t>’</w:t>
      </w:r>
      <w:r w:rsidRPr="00710766">
        <w:t>absence alléguée de raisons plausibles de soupçonner un individu d</w:t>
      </w:r>
      <w:r w:rsidRPr="00710766" w:rsidR="00710766">
        <w:t>’</w:t>
      </w:r>
      <w:r w:rsidRPr="00710766">
        <w:t>avoir commis une infraction ou l</w:t>
      </w:r>
      <w:r w:rsidRPr="00710766" w:rsidR="00710766">
        <w:t>’</w:t>
      </w:r>
      <w:r w:rsidRPr="00710766">
        <w:t>absence alléguée de motifs pertinents et suffisants propres à justifier une détention provisoire au sens de l</w:t>
      </w:r>
      <w:r w:rsidRPr="00710766" w:rsidR="00710766">
        <w:t>’</w:t>
      </w:r>
      <w:r w:rsidRPr="00710766">
        <w:t>article 5 §§ 1 et 3 de la Convention, la Grande Chambre a déjà conclu qu</w:t>
      </w:r>
      <w:r w:rsidRPr="00710766" w:rsidR="00710766">
        <w:t>’</w:t>
      </w:r>
      <w:r w:rsidRPr="00710766">
        <w:t>« une action en réparation fondée sur l</w:t>
      </w:r>
      <w:r w:rsidRPr="00710766" w:rsidR="00710766">
        <w:t>’</w:t>
      </w:r>
      <w:r w:rsidRPr="00710766">
        <w:t>article 141 § 1 a) et d) du CPP ne peut pas être considérée comme une voie de recours effective » (</w:t>
      </w:r>
      <w:proofErr w:type="spellStart"/>
      <w:r w:rsidRPr="00710766">
        <w:rPr>
          <w:i/>
          <w:iCs/>
        </w:rPr>
        <w:t>Selahattin</w:t>
      </w:r>
      <w:proofErr w:type="spellEnd"/>
      <w:r w:rsidRPr="00710766">
        <w:rPr>
          <w:i/>
          <w:iCs/>
        </w:rPr>
        <w:t xml:space="preserve"> </w:t>
      </w:r>
      <w:proofErr w:type="spellStart"/>
      <w:r w:rsidRPr="00710766">
        <w:rPr>
          <w:i/>
          <w:iCs/>
        </w:rPr>
        <w:t>Demirtaş</w:t>
      </w:r>
      <w:proofErr w:type="spellEnd"/>
      <w:r w:rsidRPr="00710766">
        <w:rPr>
          <w:i/>
          <w:iCs/>
        </w:rPr>
        <w:t xml:space="preserve"> c. Turquie</w:t>
      </w:r>
      <w:r w:rsidRPr="00710766">
        <w:t xml:space="preserve"> (</w:t>
      </w:r>
      <w:r w:rsidRPr="00710766">
        <w:rPr>
          <w:i/>
          <w:iCs/>
        </w:rPr>
        <w:t>no 2</w:t>
      </w:r>
      <w:r w:rsidRPr="00710766">
        <w:t>), [GC], n</w:t>
      </w:r>
      <w:r w:rsidRPr="00710766">
        <w:rPr>
          <w:vertAlign w:val="superscript"/>
        </w:rPr>
        <w:t>o</w:t>
      </w:r>
      <w:r w:rsidRPr="00710766">
        <w:t xml:space="preserve"> 14305/17, §§ 212-214, 22 décembre 2020). Elle ne voit aucune raison de s</w:t>
      </w:r>
      <w:r w:rsidRPr="00710766" w:rsidR="00710766">
        <w:t>’</w:t>
      </w:r>
      <w:r w:rsidRPr="00710766">
        <w:t>écarter de cette conclusion</w:t>
      </w:r>
      <w:bookmarkEnd w:id="21"/>
      <w:r w:rsidRPr="00710766">
        <w:t>, dans la mesure où le Gouvernement n</w:t>
      </w:r>
      <w:r w:rsidRPr="00710766" w:rsidR="00710766">
        <w:t>’</w:t>
      </w:r>
      <w:r w:rsidRPr="00710766">
        <w:t>a fourni aucune décision interne indiquant que, dans des circonstances similaires à celles de la présente affaire, un recours tel que prévu à l</w:t>
      </w:r>
      <w:r w:rsidRPr="00710766" w:rsidR="00710766">
        <w:t>’</w:t>
      </w:r>
      <w:r w:rsidRPr="00710766">
        <w:t>article 141 § 1 d) du CPP a pu aboutir pour un tel grief.</w:t>
      </w:r>
    </w:p>
    <w:p w:rsidRPr="00710766" w:rsidR="002A531E" w:rsidP="00710766" w:rsidRDefault="002A531E" w14:paraId="08183C7F" w14:textId="66578A3A">
      <w:pPr>
        <w:pStyle w:val="JuPara"/>
      </w:pPr>
      <w:r w:rsidRPr="00710766">
        <w:fldChar w:fldCharType="begin"/>
      </w:r>
      <w:r w:rsidRPr="00710766">
        <w:instrText xml:space="preserve"> SEQ level0 \*arabic </w:instrText>
      </w:r>
      <w:r w:rsidRPr="00710766">
        <w:fldChar w:fldCharType="separate"/>
      </w:r>
      <w:r w:rsidRPr="00710766" w:rsidR="00710766">
        <w:rPr>
          <w:noProof/>
        </w:rPr>
        <w:t>30</w:t>
      </w:r>
      <w:r w:rsidRPr="00710766">
        <w:fldChar w:fldCharType="end"/>
      </w:r>
      <w:r w:rsidRPr="00710766">
        <w:t>.  Il s</w:t>
      </w:r>
      <w:r w:rsidRPr="00710766" w:rsidR="00710766">
        <w:t>’</w:t>
      </w:r>
      <w:r w:rsidRPr="00710766">
        <w:t>ensuit que l</w:t>
      </w:r>
      <w:r w:rsidRPr="00710766" w:rsidR="00710766">
        <w:t>’</w:t>
      </w:r>
      <w:r w:rsidRPr="00710766">
        <w:t>exception de non-épuisement des voies de recours internes soulevée par le Gouvernement ne saurait être retenue.</w:t>
      </w:r>
    </w:p>
    <w:p w:rsidRPr="00710766" w:rsidR="002A531E" w:rsidP="00710766" w:rsidRDefault="002A531E" w14:paraId="24D58930" w14:textId="6DD24231">
      <w:pPr>
        <w:pStyle w:val="JuPara"/>
      </w:pPr>
      <w:r w:rsidRPr="00710766">
        <w:fldChar w:fldCharType="begin"/>
      </w:r>
      <w:r w:rsidRPr="00710766">
        <w:instrText xml:space="preserve"> SEQ level0 \*arabic </w:instrText>
      </w:r>
      <w:r w:rsidRPr="00710766">
        <w:fldChar w:fldCharType="separate"/>
      </w:r>
      <w:r w:rsidRPr="00710766" w:rsidR="00710766">
        <w:rPr>
          <w:noProof/>
        </w:rPr>
        <w:t>31</w:t>
      </w:r>
      <w:r w:rsidRPr="00710766">
        <w:fldChar w:fldCharType="end"/>
      </w:r>
      <w:r w:rsidRPr="00710766">
        <w:t>.  Constatant que les griefs tirés d</w:t>
      </w:r>
      <w:r w:rsidRPr="00710766" w:rsidR="00710766">
        <w:t>’</w:t>
      </w:r>
      <w:r w:rsidRPr="00710766">
        <w:t>une absence de raisons plausibles de soupçonner le requérant d</w:t>
      </w:r>
      <w:r w:rsidRPr="00710766" w:rsidR="00710766">
        <w:t>’</w:t>
      </w:r>
      <w:r w:rsidRPr="00710766">
        <w:t>avoir commis une infraction (art. 5 § 1 c)), d</w:t>
      </w:r>
      <w:r w:rsidRPr="00710766" w:rsidR="00710766">
        <w:t>’</w:t>
      </w:r>
      <w:r w:rsidRPr="00710766">
        <w:t>un défaut de motivation des décisions relatives à la détention provisoire (art. 5 §§ 1 c) et 3) et de la durée de la détention provisoire (art. 5 § 3) ne sont pas manifestement mal fondés au sens de l</w:t>
      </w:r>
      <w:r w:rsidRPr="00710766" w:rsidR="00710766">
        <w:t>’</w:t>
      </w:r>
      <w:r w:rsidRPr="00710766">
        <w:t>article 35 § 3 a) de la Convention et qu</w:t>
      </w:r>
      <w:r w:rsidRPr="00710766" w:rsidR="00710766">
        <w:t>’</w:t>
      </w:r>
      <w:r w:rsidRPr="00710766">
        <w:t>ils ne se heurtent à aucun autre motif d</w:t>
      </w:r>
      <w:r w:rsidRPr="00710766" w:rsidR="00710766">
        <w:t>’</w:t>
      </w:r>
      <w:r w:rsidRPr="00710766">
        <w:t>irrecevabilité, la Cour les déclare recevables.</w:t>
      </w:r>
    </w:p>
    <w:p w:rsidRPr="00710766" w:rsidR="002A531E" w:rsidP="00710766" w:rsidRDefault="002A531E" w14:paraId="2EFCC0FE" w14:textId="77777777">
      <w:pPr>
        <w:pStyle w:val="JuHA"/>
        <w:numPr>
          <w:ilvl w:val="2"/>
          <w:numId w:val="18"/>
        </w:numPr>
      </w:pPr>
      <w:bookmarkStart w:name="_Hlk36127650" w:id="22"/>
      <w:bookmarkEnd w:id="20"/>
      <w:r w:rsidRPr="00710766">
        <w:t>Sur le fond</w:t>
      </w:r>
      <w:bookmarkEnd w:id="22"/>
    </w:p>
    <w:p w:rsidRPr="00710766" w:rsidR="002A531E" w:rsidP="00710766" w:rsidRDefault="002A531E" w14:paraId="31849FD9" w14:textId="0DE66C57">
      <w:pPr>
        <w:pStyle w:val="JuPara"/>
      </w:pPr>
      <w:r w:rsidRPr="00710766">
        <w:fldChar w:fldCharType="begin"/>
      </w:r>
      <w:r w:rsidRPr="00710766">
        <w:instrText xml:space="preserve"> SEQ level0 \*arabic </w:instrText>
      </w:r>
      <w:r w:rsidRPr="00710766">
        <w:fldChar w:fldCharType="separate"/>
      </w:r>
      <w:r w:rsidRPr="00710766" w:rsidR="00710766">
        <w:rPr>
          <w:noProof/>
        </w:rPr>
        <w:t>32</w:t>
      </w:r>
      <w:r w:rsidRPr="00710766">
        <w:fldChar w:fldCharType="end"/>
      </w:r>
      <w:r w:rsidRPr="00710766">
        <w:t>.  Le requérant réitère ses griefs.</w:t>
      </w:r>
    </w:p>
    <w:p w:rsidRPr="00710766" w:rsidR="002A531E" w:rsidP="00710766" w:rsidRDefault="002A531E" w14:paraId="47F51DED" w14:textId="14752460">
      <w:pPr>
        <w:pStyle w:val="JuPara"/>
      </w:pPr>
      <w:r w:rsidRPr="00710766">
        <w:fldChar w:fldCharType="begin"/>
      </w:r>
      <w:r w:rsidRPr="00710766">
        <w:instrText xml:space="preserve"> SEQ level0 \*arabic </w:instrText>
      </w:r>
      <w:r w:rsidRPr="00710766">
        <w:fldChar w:fldCharType="separate"/>
      </w:r>
      <w:r w:rsidRPr="00710766" w:rsidR="00710766">
        <w:rPr>
          <w:noProof/>
        </w:rPr>
        <w:t>33</w:t>
      </w:r>
      <w:r w:rsidRPr="00710766">
        <w:fldChar w:fldCharType="end"/>
      </w:r>
      <w:r w:rsidRPr="00710766">
        <w:t>.  Le Gouvernement conteste la thèse du requérant. Il indique également qu</w:t>
      </w:r>
      <w:r w:rsidRPr="00710766" w:rsidR="00710766">
        <w:t>’</w:t>
      </w:r>
      <w:r w:rsidRPr="00710766">
        <w:t>il convient d</w:t>
      </w:r>
      <w:r w:rsidRPr="00710766" w:rsidR="00710766">
        <w:t>’</w:t>
      </w:r>
      <w:r w:rsidRPr="00710766">
        <w:t>examiner tous les griefs du requérant en ayant à l</w:t>
      </w:r>
      <w:r w:rsidRPr="00710766" w:rsidR="00710766">
        <w:t>’</w:t>
      </w:r>
      <w:r w:rsidRPr="00710766">
        <w:t>esprit la dérogation notifiée le 21 juillet 2016 au Secrétaire Général du Conseil de l</w:t>
      </w:r>
      <w:r w:rsidRPr="00710766" w:rsidR="00710766">
        <w:t>’</w:t>
      </w:r>
      <w:r w:rsidRPr="00710766">
        <w:t>Europe au titre de l</w:t>
      </w:r>
      <w:r w:rsidRPr="00710766" w:rsidR="00710766">
        <w:t>’</w:t>
      </w:r>
      <w:r w:rsidRPr="00710766">
        <w:t>article 15 de la Convention.</w:t>
      </w:r>
    </w:p>
    <w:p w:rsidRPr="00710766" w:rsidR="002A531E" w:rsidP="00710766" w:rsidRDefault="002A531E" w14:paraId="2189DBA0" w14:textId="60C26CE3">
      <w:pPr>
        <w:pStyle w:val="JuPara"/>
      </w:pPr>
      <w:r w:rsidRPr="00710766">
        <w:fldChar w:fldCharType="begin"/>
      </w:r>
      <w:r w:rsidRPr="00710766">
        <w:instrText xml:space="preserve"> SEQ level0 \*arabic </w:instrText>
      </w:r>
      <w:r w:rsidRPr="00710766">
        <w:fldChar w:fldCharType="separate"/>
      </w:r>
      <w:r w:rsidRPr="00710766" w:rsidR="00710766">
        <w:rPr>
          <w:noProof/>
        </w:rPr>
        <w:t>34</w:t>
      </w:r>
      <w:r w:rsidRPr="00710766">
        <w:fldChar w:fldCharType="end"/>
      </w:r>
      <w:r w:rsidRPr="00710766">
        <w:t>.  L</w:t>
      </w:r>
      <w:r w:rsidRPr="00710766" w:rsidR="00710766">
        <w:t>’</w:t>
      </w:r>
      <w:r w:rsidRPr="00710766">
        <w:t xml:space="preserve">association </w:t>
      </w:r>
      <w:proofErr w:type="spellStart"/>
      <w:r w:rsidRPr="00710766">
        <w:rPr>
          <w:i/>
          <w:iCs/>
        </w:rPr>
        <w:t>İfade</w:t>
      </w:r>
      <w:proofErr w:type="spellEnd"/>
      <w:r w:rsidRPr="00710766">
        <w:rPr>
          <w:i/>
          <w:iCs/>
        </w:rPr>
        <w:t xml:space="preserve"> </w:t>
      </w:r>
      <w:proofErr w:type="spellStart"/>
      <w:r w:rsidRPr="00710766">
        <w:rPr>
          <w:i/>
          <w:iCs/>
        </w:rPr>
        <w:t>Özgürlüğü</w:t>
      </w:r>
      <w:proofErr w:type="spellEnd"/>
      <w:r w:rsidRPr="00710766">
        <w:rPr>
          <w:i/>
          <w:iCs/>
        </w:rPr>
        <w:t xml:space="preserve"> </w:t>
      </w:r>
      <w:proofErr w:type="spellStart"/>
      <w:r w:rsidRPr="00710766">
        <w:rPr>
          <w:i/>
          <w:iCs/>
        </w:rPr>
        <w:t>Derneği</w:t>
      </w:r>
      <w:proofErr w:type="spellEnd"/>
      <w:r w:rsidRPr="00710766">
        <w:t xml:space="preserve"> a fourni des informations sur la notion de propagande terroriste et sur les mesures qui furent prises après la tentative de coup d</w:t>
      </w:r>
      <w:r w:rsidRPr="00710766" w:rsidR="00710766">
        <w:t>’</w:t>
      </w:r>
      <w:r w:rsidRPr="00710766">
        <w:t>état du 15 juillet 2016 dans le but de relever les maires des villes du sud-est de la Turquie de leurs fonctions.</w:t>
      </w:r>
    </w:p>
    <w:bookmarkStart w:name="_Hlk36127691" w:id="23"/>
    <w:p w:rsidRPr="00710766" w:rsidR="002A531E" w:rsidP="00710766" w:rsidRDefault="002A531E" w14:paraId="40BB4A63" w14:textId="45A981C7">
      <w:pPr>
        <w:pStyle w:val="JuPara"/>
      </w:pPr>
      <w:r w:rsidRPr="00710766">
        <w:fldChar w:fldCharType="begin"/>
      </w:r>
      <w:r w:rsidRPr="00710766">
        <w:instrText xml:space="preserve"> SEQ level0 \*arabic </w:instrText>
      </w:r>
      <w:r w:rsidRPr="00710766">
        <w:fldChar w:fldCharType="separate"/>
      </w:r>
      <w:r w:rsidRPr="00710766" w:rsidR="00710766">
        <w:rPr>
          <w:noProof/>
        </w:rPr>
        <w:t>35</w:t>
      </w:r>
      <w:r w:rsidRPr="00710766">
        <w:fldChar w:fldCharType="end"/>
      </w:r>
      <w:r w:rsidRPr="00710766">
        <w:t>.  En l</w:t>
      </w:r>
      <w:r w:rsidRPr="00710766" w:rsidR="00710766">
        <w:t>’</w:t>
      </w:r>
      <w:r w:rsidRPr="00710766">
        <w:t>occurrence, la Cour observe que le requérant a été arrêté pour appartenance à une organisation armée et propagande terroriste, et qu</w:t>
      </w:r>
      <w:r w:rsidRPr="00710766" w:rsidR="00710766">
        <w:t>’</w:t>
      </w:r>
      <w:r w:rsidRPr="00710766">
        <w:t>il a par la suite été condamné pour ces chefs.</w:t>
      </w:r>
    </w:p>
    <w:p w:rsidRPr="00710766" w:rsidR="002A531E" w:rsidP="00710766" w:rsidRDefault="002A531E" w14:paraId="6C2199D2" w14:textId="1B6A8CBB">
      <w:pPr>
        <w:pStyle w:val="JuH1"/>
      </w:pPr>
      <w:bookmarkStart w:name="_Hlk70690179" w:id="24"/>
      <w:r w:rsidRPr="00710766">
        <w:t>Sur l</w:t>
      </w:r>
      <w:r w:rsidRPr="00710766" w:rsidR="00710766">
        <w:t>’</w:t>
      </w:r>
      <w:r w:rsidRPr="00710766">
        <w:t>absence alléguée de raisons plausibles de soupçonner le requérant d</w:t>
      </w:r>
      <w:r w:rsidRPr="00710766" w:rsidR="00710766">
        <w:t>’</w:t>
      </w:r>
      <w:r w:rsidRPr="00710766">
        <w:t>avoir commis une infraction</w:t>
      </w:r>
    </w:p>
    <w:bookmarkEnd w:id="24"/>
    <w:p w:rsidRPr="00710766" w:rsidR="002A531E" w:rsidP="00710766" w:rsidRDefault="002A531E" w14:paraId="6016EFAB" w14:textId="2B319801">
      <w:pPr>
        <w:pStyle w:val="JuPara"/>
      </w:pPr>
      <w:r w:rsidRPr="00710766">
        <w:fldChar w:fldCharType="begin"/>
      </w:r>
      <w:r w:rsidRPr="00710766">
        <w:instrText xml:space="preserve"> SEQ level0 \*arabic </w:instrText>
      </w:r>
      <w:r w:rsidRPr="00710766">
        <w:fldChar w:fldCharType="separate"/>
      </w:r>
      <w:r w:rsidRPr="00710766" w:rsidR="00710766">
        <w:rPr>
          <w:noProof/>
        </w:rPr>
        <w:t>36</w:t>
      </w:r>
      <w:r w:rsidRPr="00710766">
        <w:fldChar w:fldCharType="end"/>
      </w:r>
      <w:r w:rsidRPr="00710766">
        <w:t>.  La Cour observe qu</w:t>
      </w:r>
      <w:r w:rsidRPr="00710766" w:rsidR="00710766">
        <w:t>’</w:t>
      </w:r>
      <w:r w:rsidRPr="00710766">
        <w:t>en l</w:t>
      </w:r>
      <w:r w:rsidRPr="00710766" w:rsidR="00710766">
        <w:t>’</w:t>
      </w:r>
      <w:r w:rsidRPr="00710766">
        <w:t>espèce, le requérant a été placé en détention provisoire en application de l</w:t>
      </w:r>
      <w:r w:rsidRPr="00710766" w:rsidR="00710766">
        <w:t>’</w:t>
      </w:r>
      <w:r w:rsidRPr="00710766">
        <w:t>article 100 du CPP. À l</w:t>
      </w:r>
      <w:r w:rsidRPr="00710766" w:rsidR="00710766">
        <w:t>’</w:t>
      </w:r>
      <w:r w:rsidRPr="00710766">
        <w:t>appui de son constat d</w:t>
      </w:r>
      <w:r w:rsidRPr="00710766" w:rsidR="00710766">
        <w:t>’</w:t>
      </w:r>
      <w:r w:rsidRPr="00710766">
        <w:t>existence d</w:t>
      </w:r>
      <w:proofErr w:type="gramStart"/>
      <w:r w:rsidRPr="00710766" w:rsidR="00710766">
        <w:t>’</w:t>
      </w:r>
      <w:r w:rsidRPr="00710766">
        <w:t>«</w:t>
      </w:r>
      <w:proofErr w:type="gramEnd"/>
      <w:r w:rsidRPr="00710766">
        <w:t> éléments de preuves concrets » permettant de soupçonner le requérant d</w:t>
      </w:r>
      <w:r w:rsidRPr="00710766" w:rsidR="00710766">
        <w:t>’</w:t>
      </w:r>
      <w:r w:rsidRPr="00710766">
        <w:t>avoir commis une infraction, le juge de paix a cité de nombreuses activités du requérant, dont sa participation aux obsèques de membres décédés du PKK et à des rassemblements publics, ainsi que certains discours tenus par l</w:t>
      </w:r>
      <w:r w:rsidRPr="00710766" w:rsidR="00710766">
        <w:t>’</w:t>
      </w:r>
      <w:r w:rsidRPr="00710766">
        <w:t>intéressé lors de ces rassemblements (paragraphe </w:t>
      </w:r>
      <w:r w:rsidRPr="00710766">
        <w:fldChar w:fldCharType="begin"/>
      </w:r>
      <w:r w:rsidRPr="00710766">
        <w:instrText xml:space="preserve"> REF paragraph7 \h </w:instrText>
      </w:r>
      <w:r w:rsidRPr="00710766">
        <w:fldChar w:fldCharType="separate"/>
      </w:r>
      <w:r w:rsidRPr="00710766" w:rsidR="00710766">
        <w:rPr>
          <w:noProof/>
        </w:rPr>
        <w:t>7</w:t>
      </w:r>
      <w:r w:rsidRPr="00710766">
        <w:fldChar w:fldCharType="end"/>
      </w:r>
      <w:r w:rsidRPr="00710766">
        <w:t xml:space="preserve"> ci-dessus).</w:t>
      </w:r>
    </w:p>
    <w:p w:rsidRPr="00710766" w:rsidR="002A531E" w:rsidP="00710766" w:rsidRDefault="002A531E" w14:paraId="6AF55FFD" w14:textId="5FF828E0">
      <w:pPr>
        <w:pStyle w:val="JuPara"/>
      </w:pPr>
      <w:r w:rsidRPr="00710766">
        <w:fldChar w:fldCharType="begin"/>
      </w:r>
      <w:r w:rsidRPr="00710766">
        <w:instrText xml:space="preserve"> SEQ level0 \*arabic </w:instrText>
      </w:r>
      <w:r w:rsidRPr="00710766">
        <w:fldChar w:fldCharType="separate"/>
      </w:r>
      <w:r w:rsidRPr="00710766" w:rsidR="00710766">
        <w:rPr>
          <w:noProof/>
        </w:rPr>
        <w:t>37</w:t>
      </w:r>
      <w:r w:rsidRPr="00710766">
        <w:fldChar w:fldCharType="end"/>
      </w:r>
      <w:r w:rsidRPr="00710766">
        <w:t>.  La Cour observe qu</w:t>
      </w:r>
      <w:r w:rsidRPr="00710766" w:rsidR="00710766">
        <w:t>’</w:t>
      </w:r>
      <w:r w:rsidRPr="00710766">
        <w:t>ultérieurement, la procédure engagée contre le requérant s</w:t>
      </w:r>
      <w:r w:rsidRPr="00710766" w:rsidR="00710766">
        <w:t>’</w:t>
      </w:r>
      <w:r w:rsidRPr="00710766">
        <w:t>est soldée par sa condamnation en première instance sur le fondement des articles 314 § 2 du CP et 7 § 2 de la loi n</w:t>
      </w:r>
      <w:r w:rsidRPr="00710766">
        <w:rPr>
          <w:vertAlign w:val="superscript"/>
        </w:rPr>
        <w:t>o</w:t>
      </w:r>
      <w:r w:rsidRPr="00710766">
        <w:t> 3713. Elle relève en outre qu</w:t>
      </w:r>
      <w:r w:rsidRPr="00710766" w:rsidR="00710766">
        <w:t>’</w:t>
      </w:r>
      <w:r w:rsidRPr="00710766">
        <w:t>il ne faut pas perdre de vue que deux autres actions pénales avaient été jointes à l</w:t>
      </w:r>
      <w:r w:rsidRPr="00710766" w:rsidR="00710766">
        <w:t>’</w:t>
      </w:r>
      <w:r w:rsidRPr="00710766">
        <w:t>action pénale principale (paragraphe </w:t>
      </w:r>
      <w:r w:rsidRPr="00710766">
        <w:fldChar w:fldCharType="begin"/>
      </w:r>
      <w:r w:rsidRPr="00710766">
        <w:instrText xml:space="preserve"> REF paragraph10 \h </w:instrText>
      </w:r>
      <w:r w:rsidRPr="00710766">
        <w:fldChar w:fldCharType="separate"/>
      </w:r>
      <w:r w:rsidRPr="00710766" w:rsidR="00710766">
        <w:rPr>
          <w:noProof/>
        </w:rPr>
        <w:t>10</w:t>
      </w:r>
      <w:r w:rsidRPr="00710766">
        <w:fldChar w:fldCharType="end"/>
      </w:r>
      <w:r w:rsidRPr="00710766">
        <w:t xml:space="preserve"> ci-dessus) et que la condamnation prononcée à l</w:t>
      </w:r>
      <w:r w:rsidRPr="00710766" w:rsidR="00710766">
        <w:t>’</w:t>
      </w:r>
      <w:r w:rsidRPr="00710766">
        <w:t>encontre du requérant était fondée sur de nombreuses activités dont il n</w:t>
      </w:r>
      <w:r w:rsidRPr="00710766" w:rsidR="00710766">
        <w:t>’</w:t>
      </w:r>
      <w:r w:rsidRPr="00710766">
        <w:t>avait pas été fait mention initialement, au moment de la mise en détention provisoire de l</w:t>
      </w:r>
      <w:r w:rsidRPr="00710766" w:rsidR="00710766">
        <w:t>’</w:t>
      </w:r>
      <w:r w:rsidRPr="00710766">
        <w:t>intéressé.</w:t>
      </w:r>
    </w:p>
    <w:p w:rsidRPr="00710766" w:rsidR="002A531E" w:rsidP="00710766" w:rsidRDefault="000C0BA0" w14:paraId="62706A30" w14:textId="672E6C6B">
      <w:pPr>
        <w:pStyle w:val="JuPara"/>
      </w:pPr>
      <w:r>
        <w:rPr>
          <w:noProof/>
        </w:rPr>
        <w:fldChar w:fldCharType="begin"/>
      </w:r>
      <w:r>
        <w:rPr>
          <w:noProof/>
        </w:rPr>
        <w:instrText xml:space="preserve"> SEQ level0 \*arabic \* MERGEFORMAT </w:instrText>
      </w:r>
      <w:r>
        <w:rPr>
          <w:noProof/>
        </w:rPr>
        <w:fldChar w:fldCharType="separate"/>
      </w:r>
      <w:r w:rsidRPr="00710766" w:rsidR="00710766">
        <w:rPr>
          <w:noProof/>
        </w:rPr>
        <w:t>38</w:t>
      </w:r>
      <w:r>
        <w:rPr>
          <w:noProof/>
        </w:rPr>
        <w:fldChar w:fldCharType="end"/>
      </w:r>
      <w:r w:rsidRPr="00710766" w:rsidR="002A531E">
        <w:t>.  Par conséquent, elle estime qu</w:t>
      </w:r>
      <w:r w:rsidRPr="00710766" w:rsidR="00710766">
        <w:t>’</w:t>
      </w:r>
      <w:r w:rsidRPr="00710766" w:rsidR="002A531E">
        <w:t>eu égard aux circonstances de l</w:t>
      </w:r>
      <w:r w:rsidRPr="00710766" w:rsidR="00710766">
        <w:t>’</w:t>
      </w:r>
      <w:r w:rsidRPr="00710766" w:rsidR="002A531E">
        <w:t>espèce et à sa conclusion quant au grief formulé sous l</w:t>
      </w:r>
      <w:r w:rsidRPr="00710766" w:rsidR="00710766">
        <w:t>’</w:t>
      </w:r>
      <w:r w:rsidRPr="00710766" w:rsidR="002A531E">
        <w:t>angle de l</w:t>
      </w:r>
      <w:r w:rsidRPr="00710766" w:rsidR="00710766">
        <w:t>’</w:t>
      </w:r>
      <w:r w:rsidRPr="00710766" w:rsidR="002A531E">
        <w:t>article 5 § 3 de la Convention (paragraphe </w:t>
      </w:r>
      <w:r w:rsidRPr="00710766" w:rsidR="002A531E">
        <w:fldChar w:fldCharType="begin"/>
      </w:r>
      <w:r w:rsidRPr="00710766" w:rsidR="002A531E">
        <w:instrText xml:space="preserve"> REF paragraph49 \h </w:instrText>
      </w:r>
      <w:r w:rsidRPr="00710766" w:rsidR="002A531E">
        <w:fldChar w:fldCharType="separate"/>
      </w:r>
      <w:r w:rsidRPr="00710766" w:rsidR="00710766">
        <w:rPr>
          <w:rFonts w:eastAsia="Times New Roman" w:cstheme="minorHAnsi"/>
          <w:noProof/>
        </w:rPr>
        <w:t>58</w:t>
      </w:r>
      <w:r w:rsidRPr="00710766" w:rsidR="002A531E">
        <w:fldChar w:fldCharType="end"/>
      </w:r>
      <w:r w:rsidRPr="00710766" w:rsidR="002A531E">
        <w:t xml:space="preserve"> ci-dessous), il est inutile d</w:t>
      </w:r>
      <w:r w:rsidRPr="00710766" w:rsidR="00710766">
        <w:t>’</w:t>
      </w:r>
      <w:r w:rsidRPr="00710766" w:rsidR="002A531E">
        <w:t>examiner plus avant la question de savoir s</w:t>
      </w:r>
      <w:r w:rsidRPr="00710766" w:rsidR="00710766">
        <w:t>’</w:t>
      </w:r>
      <w:r w:rsidRPr="00710766" w:rsidR="002A531E">
        <w:t>il existait des raisons plausibles de soupçonner le requérant d</w:t>
      </w:r>
      <w:r w:rsidRPr="00710766" w:rsidR="00710766">
        <w:t>’</w:t>
      </w:r>
      <w:r w:rsidRPr="00710766" w:rsidR="002A531E">
        <w:t>avoir commis une infraction.</w:t>
      </w:r>
    </w:p>
    <w:p w:rsidRPr="00710766" w:rsidR="002A531E" w:rsidP="00710766" w:rsidRDefault="002A531E" w14:paraId="0DA6A841" w14:textId="2065A87A">
      <w:pPr>
        <w:pStyle w:val="JuPara"/>
      </w:pPr>
      <w:r w:rsidRPr="00710766">
        <w:fldChar w:fldCharType="begin"/>
      </w:r>
      <w:r w:rsidRPr="00710766">
        <w:instrText xml:space="preserve"> SEQ level0 \*arabic </w:instrText>
      </w:r>
      <w:r w:rsidRPr="00710766">
        <w:fldChar w:fldCharType="separate"/>
      </w:r>
      <w:r w:rsidRPr="00710766" w:rsidR="00710766">
        <w:rPr>
          <w:noProof/>
        </w:rPr>
        <w:t>39</w:t>
      </w:r>
      <w:r w:rsidRPr="00710766">
        <w:fldChar w:fldCharType="end"/>
      </w:r>
      <w:r w:rsidRPr="00710766">
        <w:t>.  À la lumière de ce qui précède, la Cour estime qu</w:t>
      </w:r>
      <w:r w:rsidRPr="00710766" w:rsidR="00710766">
        <w:t>’</w:t>
      </w:r>
      <w:r w:rsidRPr="00710766">
        <w:t>il n</w:t>
      </w:r>
      <w:r w:rsidRPr="00710766" w:rsidR="00710766">
        <w:t>’</w:t>
      </w:r>
      <w:r w:rsidRPr="00710766">
        <w:t>y a pas lieu de rechercher s</w:t>
      </w:r>
      <w:r w:rsidRPr="00710766" w:rsidR="00710766">
        <w:t>’</w:t>
      </w:r>
      <w:r w:rsidRPr="00710766">
        <w:t>il existait des raisons plausibles de soupçonner le requérant d</w:t>
      </w:r>
      <w:r w:rsidRPr="00710766" w:rsidR="00710766">
        <w:t>’</w:t>
      </w:r>
      <w:r w:rsidRPr="00710766">
        <w:t>avoir commis une infraction.</w:t>
      </w:r>
    </w:p>
    <w:p w:rsidRPr="00710766" w:rsidR="002A531E" w:rsidP="00710766" w:rsidRDefault="002A531E" w14:paraId="4D917FE8" w14:textId="64846F66">
      <w:pPr>
        <w:pStyle w:val="JuH1"/>
      </w:pPr>
      <w:r w:rsidRPr="00710766">
        <w:t>Sur l</w:t>
      </w:r>
      <w:r w:rsidRPr="00710766" w:rsidR="00710766">
        <w:t>’</w:t>
      </w:r>
      <w:r w:rsidRPr="00710766">
        <w:t>absence alléguée de motivation des décisions relatives à la détention provisoire</w:t>
      </w:r>
    </w:p>
    <w:p w:rsidRPr="00710766" w:rsidR="002A531E" w:rsidP="00710766" w:rsidRDefault="002A531E" w14:paraId="61E4CD42" w14:textId="210D6830">
      <w:pPr>
        <w:pStyle w:val="JuPara"/>
      </w:pPr>
      <w:r w:rsidRPr="00710766">
        <w:fldChar w:fldCharType="begin"/>
      </w:r>
      <w:r w:rsidRPr="00710766">
        <w:instrText xml:space="preserve"> SEQ level0 \*arabic </w:instrText>
      </w:r>
      <w:r w:rsidRPr="00710766">
        <w:fldChar w:fldCharType="separate"/>
      </w:r>
      <w:r w:rsidRPr="00710766" w:rsidR="00710766">
        <w:rPr>
          <w:noProof/>
        </w:rPr>
        <w:t>40</w:t>
      </w:r>
      <w:r w:rsidRPr="00710766">
        <w:fldChar w:fldCharType="end"/>
      </w:r>
      <w:r w:rsidRPr="00710766">
        <w:t>.  </w:t>
      </w:r>
      <w:r w:rsidRPr="00710766">
        <w:rPr>
          <w:rFonts w:eastAsia="Times New Roman" w:cstheme="minorHAnsi"/>
        </w:rPr>
        <w:t>La Cour renvoie aux principes généraux découlant de sa jurisprudence relative à l</w:t>
      </w:r>
      <w:r w:rsidRPr="00710766" w:rsidR="00710766">
        <w:rPr>
          <w:rFonts w:eastAsia="Times New Roman" w:cstheme="minorHAnsi"/>
        </w:rPr>
        <w:t>’</w:t>
      </w:r>
      <w:r w:rsidRPr="00710766">
        <w:rPr>
          <w:rFonts w:eastAsia="Times New Roman" w:cstheme="minorHAnsi"/>
        </w:rPr>
        <w:t>article 5 § 3 de la Convention concernant la justification d</w:t>
      </w:r>
      <w:r w:rsidRPr="00710766" w:rsidR="00710766">
        <w:rPr>
          <w:rFonts w:eastAsia="Times New Roman" w:cstheme="minorHAnsi"/>
        </w:rPr>
        <w:t>’</w:t>
      </w:r>
      <w:r w:rsidRPr="00710766">
        <w:rPr>
          <w:rFonts w:eastAsia="Times New Roman" w:cstheme="minorHAnsi"/>
        </w:rPr>
        <w:t>une détention tels qu</w:t>
      </w:r>
      <w:r w:rsidRPr="00710766" w:rsidR="00710766">
        <w:rPr>
          <w:rFonts w:eastAsia="Times New Roman" w:cstheme="minorHAnsi"/>
        </w:rPr>
        <w:t>’</w:t>
      </w:r>
      <w:r w:rsidRPr="00710766">
        <w:rPr>
          <w:rFonts w:eastAsia="Times New Roman" w:cstheme="minorHAnsi"/>
        </w:rPr>
        <w:t xml:space="preserve">ils sont décrits notamment dans les arrêts </w:t>
      </w:r>
      <w:proofErr w:type="spellStart"/>
      <w:r w:rsidRPr="00710766">
        <w:rPr>
          <w:i/>
        </w:rPr>
        <w:t>Buzadji</w:t>
      </w:r>
      <w:proofErr w:type="spellEnd"/>
      <w:r w:rsidRPr="00710766">
        <w:rPr>
          <w:i/>
        </w:rPr>
        <w:t xml:space="preserve"> c. République de Moldova</w:t>
      </w:r>
      <w:r w:rsidRPr="00710766">
        <w:t xml:space="preserve"> ([GC], n</w:t>
      </w:r>
      <w:r w:rsidRPr="00710766">
        <w:rPr>
          <w:vertAlign w:val="superscript"/>
        </w:rPr>
        <w:t>o</w:t>
      </w:r>
      <w:r w:rsidRPr="00710766">
        <w:t> 23755/07</w:t>
      </w:r>
      <w:r w:rsidRPr="00710766">
        <w:rPr>
          <w:snapToGrid w:val="0"/>
        </w:rPr>
        <w:t xml:space="preserve">, §§ 87-91 </w:t>
      </w:r>
      <w:r w:rsidRPr="00710766">
        <w:t>5 juillet</w:t>
      </w:r>
      <w:r w:rsidRPr="00710766">
        <w:rPr>
          <w:snapToGrid w:val="0"/>
        </w:rPr>
        <w:t xml:space="preserve"> 2016)</w:t>
      </w:r>
      <w:r w:rsidRPr="00710766">
        <w:rPr>
          <w:rFonts w:eastAsia="Times New Roman" w:cstheme="minorHAnsi"/>
        </w:rPr>
        <w:t xml:space="preserve"> et </w:t>
      </w:r>
      <w:bookmarkStart w:name="_Hlk71043859" w:id="25"/>
      <w:proofErr w:type="spellStart"/>
      <w:r w:rsidRPr="00710766">
        <w:rPr>
          <w:rFonts w:eastAsia="Times New Roman" w:cstheme="minorHAnsi"/>
          <w:i/>
          <w:iCs/>
        </w:rPr>
        <w:t>Merabishvili</w:t>
      </w:r>
      <w:bookmarkEnd w:id="25"/>
      <w:proofErr w:type="spellEnd"/>
      <w:r w:rsidRPr="00710766">
        <w:rPr>
          <w:rFonts w:eastAsia="Times New Roman" w:cstheme="minorHAnsi"/>
          <w:i/>
          <w:iCs/>
        </w:rPr>
        <w:t xml:space="preserve"> c. Géorgie</w:t>
      </w:r>
      <w:r w:rsidRPr="00710766">
        <w:rPr>
          <w:rFonts w:eastAsia="Times New Roman" w:cstheme="minorHAnsi"/>
        </w:rPr>
        <w:t xml:space="preserve"> ([GC], n</w:t>
      </w:r>
      <w:r w:rsidRPr="00710766">
        <w:rPr>
          <w:rFonts w:eastAsia="Times New Roman" w:cstheme="minorHAnsi"/>
          <w:vertAlign w:val="superscript"/>
        </w:rPr>
        <w:t>o</w:t>
      </w:r>
      <w:r w:rsidRPr="00710766">
        <w:rPr>
          <w:rFonts w:eastAsia="Times New Roman" w:cstheme="minorHAnsi"/>
        </w:rPr>
        <w:t> 72508/13, §§ 222-225, 28 novembre 2017).</w:t>
      </w:r>
    </w:p>
    <w:p w:rsidRPr="00710766" w:rsidR="002A531E" w:rsidP="00710766" w:rsidRDefault="002A531E" w14:paraId="21A33EFC" w14:textId="2A53DAE3">
      <w:pPr>
        <w:pStyle w:val="JuPara"/>
      </w:pPr>
      <w:r w:rsidRPr="00710766">
        <w:fldChar w:fldCharType="begin"/>
      </w:r>
      <w:r w:rsidRPr="00710766">
        <w:instrText xml:space="preserve"> SEQ level0 \*arabic </w:instrText>
      </w:r>
      <w:r w:rsidRPr="00710766">
        <w:fldChar w:fldCharType="separate"/>
      </w:r>
      <w:r w:rsidRPr="00710766" w:rsidR="00710766">
        <w:rPr>
          <w:noProof/>
        </w:rPr>
        <w:t>41</w:t>
      </w:r>
      <w:r w:rsidRPr="00710766">
        <w:fldChar w:fldCharType="end"/>
      </w:r>
      <w:r w:rsidRPr="00710766">
        <w:t>.  La Cour observe d</w:t>
      </w:r>
      <w:r w:rsidRPr="00710766" w:rsidR="00710766">
        <w:t>’</w:t>
      </w:r>
      <w:r w:rsidRPr="00710766">
        <w:t>emblée que le requérant était le maire d</w:t>
      </w:r>
      <w:r w:rsidRPr="00710766" w:rsidR="00710766">
        <w:t>’</w:t>
      </w:r>
      <w:r w:rsidRPr="00710766">
        <w:t>une ville. Elle note par ailleurs que devant le juge de paix, ses avocats ont soutenu notamment que le placement en détention provisoire de leur client était une mesure trop sévère et qu</w:t>
      </w:r>
      <w:r w:rsidRPr="00710766" w:rsidR="00710766">
        <w:t>’</w:t>
      </w:r>
      <w:r w:rsidRPr="00710766">
        <w:t>il convenait d</w:t>
      </w:r>
      <w:r w:rsidRPr="00710766" w:rsidR="00710766">
        <w:t>’</w:t>
      </w:r>
      <w:r w:rsidRPr="00710766">
        <w:t>envisager des mesures alternatives, comme une libération sous caution ou un placement sous contrôle judiciaire. Elle relève qu</w:t>
      </w:r>
      <w:r w:rsidRPr="00710766" w:rsidR="00710766">
        <w:t>’</w:t>
      </w:r>
      <w:r w:rsidRPr="00710766">
        <w:t>ils ont plaidé à cet égard que leur client était un élu local, qu</w:t>
      </w:r>
      <w:r w:rsidRPr="00710766" w:rsidR="00710766">
        <w:t>’</w:t>
      </w:r>
      <w:r w:rsidRPr="00710766">
        <w:t>il avait un domicile fixe et que le risque qu</w:t>
      </w:r>
      <w:r w:rsidRPr="00710766" w:rsidR="00710766">
        <w:t>’</w:t>
      </w:r>
      <w:r w:rsidRPr="00710766">
        <w:t>il prît la fuite était nul (paragraphe </w:t>
      </w:r>
      <w:r w:rsidRPr="00710766">
        <w:fldChar w:fldCharType="begin"/>
      </w:r>
      <w:r w:rsidRPr="00710766">
        <w:instrText xml:space="preserve"> REF paragraph5 \h </w:instrText>
      </w:r>
      <w:r w:rsidRPr="00710766">
        <w:fldChar w:fldCharType="separate"/>
      </w:r>
      <w:r w:rsidRPr="00710766" w:rsidR="00710766">
        <w:rPr>
          <w:noProof/>
        </w:rPr>
        <w:t>5</w:t>
      </w:r>
      <w:r w:rsidRPr="00710766">
        <w:fldChar w:fldCharType="end"/>
      </w:r>
      <w:r w:rsidRPr="00710766">
        <w:t xml:space="preserve"> ci-dessus).</w:t>
      </w:r>
    </w:p>
    <w:p w:rsidRPr="00710766" w:rsidR="002A531E" w:rsidP="00710766" w:rsidRDefault="002A531E" w14:paraId="0EB41381" w14:textId="23076210">
      <w:pPr>
        <w:pStyle w:val="JuPara"/>
      </w:pPr>
      <w:r w:rsidRPr="00710766">
        <w:fldChar w:fldCharType="begin"/>
      </w:r>
      <w:r w:rsidRPr="00710766">
        <w:instrText xml:space="preserve"> SEQ level0 \*arabic </w:instrText>
      </w:r>
      <w:r w:rsidRPr="00710766">
        <w:fldChar w:fldCharType="separate"/>
      </w:r>
      <w:r w:rsidRPr="00710766" w:rsidR="00710766">
        <w:rPr>
          <w:noProof/>
        </w:rPr>
        <w:t>42</w:t>
      </w:r>
      <w:r w:rsidRPr="00710766">
        <w:fldChar w:fldCharType="end"/>
      </w:r>
      <w:r w:rsidRPr="00710766">
        <w:t>.  Pour la Cour, les arguments du requérant étaient cruciaux aux fins de l</w:t>
      </w:r>
      <w:r w:rsidRPr="00710766" w:rsidR="00710766">
        <w:t>’</w:t>
      </w:r>
      <w:r w:rsidRPr="00710766">
        <w:t>examen de la nécessité de sa mise en détention provisoire. Par ailleurs, la Cour rappelle que selon sa jurisprudence constante, c</w:t>
      </w:r>
      <w:r w:rsidRPr="00710766" w:rsidR="00710766">
        <w:t>’</w:t>
      </w:r>
      <w:r w:rsidRPr="00710766">
        <w:t>est essentiellement sur la base des motifs figurant dans lesdites décisions et des faits non contestés indiqués par l</w:t>
      </w:r>
      <w:r w:rsidRPr="00710766" w:rsidR="00710766">
        <w:t>’</w:t>
      </w:r>
      <w:r w:rsidRPr="00710766">
        <w:t>intéressé dans ses moyens que la Cour doit déterminer s</w:t>
      </w:r>
      <w:r w:rsidRPr="00710766" w:rsidR="00710766">
        <w:t>’</w:t>
      </w:r>
      <w:r w:rsidRPr="00710766">
        <w:t>il y a eu ou non violation de l</w:t>
      </w:r>
      <w:r w:rsidRPr="00710766" w:rsidR="00710766">
        <w:t>’</w:t>
      </w:r>
      <w:r w:rsidRPr="00710766">
        <w:t>article 5 § 3 (</w:t>
      </w:r>
      <w:proofErr w:type="spellStart"/>
      <w:r w:rsidRPr="00710766">
        <w:rPr>
          <w:i/>
        </w:rPr>
        <w:t>Idalov</w:t>
      </w:r>
      <w:proofErr w:type="spellEnd"/>
      <w:r w:rsidRPr="00710766">
        <w:rPr>
          <w:i/>
        </w:rPr>
        <w:t xml:space="preserve"> c. Russie</w:t>
      </w:r>
      <w:r w:rsidRPr="00710766">
        <w:t xml:space="preserve"> [GC], n</w:t>
      </w:r>
      <w:r w:rsidRPr="00710766">
        <w:rPr>
          <w:vertAlign w:val="superscript"/>
        </w:rPr>
        <w:t>o</w:t>
      </w:r>
      <w:r w:rsidRPr="00710766">
        <w:t> 5826/03, § 141, 22 mai 2012).</w:t>
      </w:r>
    </w:p>
    <w:bookmarkStart w:name="_Hlk74585648" w:id="26"/>
    <w:p w:rsidRPr="00710766" w:rsidR="002A531E" w:rsidP="00710766" w:rsidRDefault="002A531E" w14:paraId="2D5CFA0E" w14:textId="49C649E8">
      <w:pPr>
        <w:pStyle w:val="JuPara"/>
      </w:pPr>
      <w:r w:rsidRPr="00710766">
        <w:fldChar w:fldCharType="begin"/>
      </w:r>
      <w:r w:rsidRPr="00710766">
        <w:instrText xml:space="preserve"> SEQ level0 \*arabic </w:instrText>
      </w:r>
      <w:r w:rsidRPr="00710766">
        <w:fldChar w:fldCharType="separate"/>
      </w:r>
      <w:r w:rsidRPr="00710766" w:rsidR="00710766">
        <w:rPr>
          <w:noProof/>
        </w:rPr>
        <w:t>43</w:t>
      </w:r>
      <w:r w:rsidRPr="00710766">
        <w:fldChar w:fldCharType="end"/>
      </w:r>
      <w:r w:rsidRPr="00710766">
        <w:t>.  À cet égard, la Cour observe qu</w:t>
      </w:r>
      <w:r w:rsidRPr="00710766" w:rsidR="00710766">
        <w:t>’</w:t>
      </w:r>
      <w:r w:rsidRPr="00710766">
        <w:t>en Turquie, comme le requiert la Convention, le droit interne commande aux autorités judiciaires compétentes d</w:t>
      </w:r>
      <w:r w:rsidRPr="00710766" w:rsidR="00710766">
        <w:t>’</w:t>
      </w:r>
      <w:r w:rsidRPr="00710766">
        <w:t>avancer des motifs « pertinents et suffisants » lorsqu</w:t>
      </w:r>
      <w:r w:rsidRPr="00710766" w:rsidR="00710766">
        <w:t>’</w:t>
      </w:r>
      <w:r w:rsidRPr="00710766">
        <w:t>elles examinent la nécessité de placer et de maintenir un suspect en détention provisoire. Il s</w:t>
      </w:r>
      <w:r w:rsidRPr="00710766" w:rsidR="00710766">
        <w:t>’</w:t>
      </w:r>
      <w:r w:rsidRPr="00710766">
        <w:t>agit d</w:t>
      </w:r>
      <w:r w:rsidRPr="00710766" w:rsidR="00710766">
        <w:t>’</w:t>
      </w:r>
      <w:r w:rsidRPr="00710766">
        <w:t>une obligation procédurale prévue à l</w:t>
      </w:r>
      <w:r w:rsidRPr="00710766" w:rsidR="00710766">
        <w:t>’</w:t>
      </w:r>
      <w:r w:rsidRPr="00710766">
        <w:t>article 101 du CPP, en vertu duquel les décisions de placement et de maintien en détention provisoire doivent être motivées en fait et en droit (paragraphe </w:t>
      </w:r>
      <w:r w:rsidRPr="00710766">
        <w:fldChar w:fldCharType="begin"/>
      </w:r>
      <w:r w:rsidRPr="00710766">
        <w:instrText xml:space="preserve"> REF paragraph20 \h </w:instrText>
      </w:r>
      <w:r w:rsidRPr="00710766">
        <w:fldChar w:fldCharType="separate"/>
      </w:r>
      <w:r w:rsidRPr="00710766" w:rsidR="00710766">
        <w:rPr>
          <w:noProof/>
        </w:rPr>
        <w:t>24</w:t>
      </w:r>
      <w:r w:rsidRPr="00710766">
        <w:fldChar w:fldCharType="end"/>
      </w:r>
      <w:r w:rsidRPr="00710766">
        <w:t xml:space="preserve"> ci-dessus). Par conséquent, en droit turc, cette exigence est intimement liée à l</w:t>
      </w:r>
      <w:r w:rsidRPr="00710766" w:rsidR="00710766">
        <w:t>’</w:t>
      </w:r>
      <w:r w:rsidRPr="00710766">
        <w:t>observation des « voies légales », au sens de l</w:t>
      </w:r>
      <w:r w:rsidRPr="00710766" w:rsidR="00710766">
        <w:t>’</w:t>
      </w:r>
      <w:r w:rsidRPr="00710766">
        <w:t>article 5 § 1 de la Convention, dans la mesure où la Convention renvoie pour l</w:t>
      </w:r>
      <w:r w:rsidRPr="00710766" w:rsidR="00710766">
        <w:t>’</w:t>
      </w:r>
      <w:r w:rsidRPr="00710766">
        <w:t>essentiel à la législation nationale et consacre l</w:t>
      </w:r>
      <w:r w:rsidRPr="00710766" w:rsidR="00710766">
        <w:t>’</w:t>
      </w:r>
      <w:r w:rsidRPr="00710766">
        <w:t>obligation d</w:t>
      </w:r>
      <w:r w:rsidRPr="00710766" w:rsidR="00710766">
        <w:t>’</w:t>
      </w:r>
      <w:r w:rsidRPr="00710766">
        <w:t>en observer les normes de fond comme de procédure (</w:t>
      </w:r>
      <w:proofErr w:type="spellStart"/>
      <w:r w:rsidRPr="00710766">
        <w:rPr>
          <w:i/>
        </w:rPr>
        <w:t>Mooren</w:t>
      </w:r>
      <w:proofErr w:type="spellEnd"/>
      <w:r w:rsidRPr="00710766">
        <w:rPr>
          <w:i/>
        </w:rPr>
        <w:t xml:space="preserve"> c. Allemagne</w:t>
      </w:r>
      <w:r w:rsidRPr="00710766">
        <w:t xml:space="preserve"> [GC], n</w:t>
      </w:r>
      <w:r w:rsidRPr="00710766">
        <w:rPr>
          <w:vertAlign w:val="superscript"/>
        </w:rPr>
        <w:t>o</w:t>
      </w:r>
      <w:r w:rsidRPr="00710766">
        <w:t> 11364/03</w:t>
      </w:r>
      <w:r w:rsidRPr="00710766">
        <w:rPr>
          <w:snapToGrid w:val="0"/>
        </w:rPr>
        <w:t xml:space="preserve">, § 72, </w:t>
      </w:r>
      <w:r w:rsidRPr="00710766">
        <w:t>9 juillet 2009), même si dans le cadre de la présente affaire, elle examinera cette question au regard de l</w:t>
      </w:r>
      <w:r w:rsidRPr="00710766" w:rsidR="00710766">
        <w:t>’</w:t>
      </w:r>
      <w:r w:rsidRPr="00710766">
        <w:t>article 5 § 3 de la Convention.</w:t>
      </w:r>
    </w:p>
    <w:bookmarkEnd w:id="26"/>
    <w:p w:rsidRPr="00710766" w:rsidR="002A531E" w:rsidP="00710766" w:rsidRDefault="002A531E" w14:paraId="62F1BBC8" w14:textId="014339B6">
      <w:pPr>
        <w:pStyle w:val="JuPara"/>
      </w:pPr>
      <w:r w:rsidRPr="00710766">
        <w:fldChar w:fldCharType="begin"/>
      </w:r>
      <w:r w:rsidRPr="00710766">
        <w:instrText xml:space="preserve"> SEQ level0 \*arabic </w:instrText>
      </w:r>
      <w:r w:rsidRPr="00710766">
        <w:fldChar w:fldCharType="separate"/>
      </w:r>
      <w:r w:rsidRPr="00710766" w:rsidR="00710766">
        <w:rPr>
          <w:noProof/>
        </w:rPr>
        <w:t>44</w:t>
      </w:r>
      <w:r w:rsidRPr="00710766">
        <w:fldChar w:fldCharType="end"/>
      </w:r>
      <w:r w:rsidRPr="00710766">
        <w:t>.  En l</w:t>
      </w:r>
      <w:r w:rsidRPr="00710766" w:rsidR="00710766">
        <w:t>’</w:t>
      </w:r>
      <w:r w:rsidRPr="00710766">
        <w:t>espèce, la Cour observe que le juge de paix a fondé sa décision d</w:t>
      </w:r>
      <w:r w:rsidRPr="00710766" w:rsidR="00710766">
        <w:t>’</w:t>
      </w:r>
      <w:r w:rsidRPr="00710766">
        <w:t>ordonner la mise en détention du requérant non seulement sur les activités qui étaient reprochées à l</w:t>
      </w:r>
      <w:r w:rsidRPr="00710766" w:rsidR="00710766">
        <w:t>’</w:t>
      </w:r>
      <w:r w:rsidRPr="00710766">
        <w:t>intéressé, mais aussi, d</w:t>
      </w:r>
      <w:r w:rsidRPr="00710766" w:rsidR="00710766">
        <w:t>’</w:t>
      </w:r>
      <w:r w:rsidRPr="00710766">
        <w:t>une part, sur la nature de l</w:t>
      </w:r>
      <w:r w:rsidRPr="00710766" w:rsidR="00710766">
        <w:t>’</w:t>
      </w:r>
      <w:r w:rsidRPr="00710766">
        <w:t>infraction d</w:t>
      </w:r>
      <w:r w:rsidRPr="00710766" w:rsidR="00710766">
        <w:t>’</w:t>
      </w:r>
      <w:r w:rsidRPr="00710766">
        <w:t>appartenance à une organisation armée au sens de l</w:t>
      </w:r>
      <w:r w:rsidRPr="00710766" w:rsidR="00710766">
        <w:t>’</w:t>
      </w:r>
      <w:r w:rsidRPr="00710766">
        <w:t>article 314 § 2 du CP et le fait que cette infraction figurait parmi les infractions dites « cataloguées » énumérées à l</w:t>
      </w:r>
      <w:r w:rsidRPr="00710766" w:rsidR="00710766">
        <w:t>’</w:t>
      </w:r>
      <w:r w:rsidRPr="00710766">
        <w:t>article 100 § 3 du CPP et, d</w:t>
      </w:r>
      <w:r w:rsidRPr="00710766" w:rsidR="00710766">
        <w:t>’</w:t>
      </w:r>
      <w:r w:rsidRPr="00710766">
        <w:t>autre part, sur l</w:t>
      </w:r>
      <w:r w:rsidRPr="00710766" w:rsidR="00710766">
        <w:t>’</w:t>
      </w:r>
      <w:r w:rsidRPr="00710766">
        <w:t>existence d</w:t>
      </w:r>
      <w:r w:rsidRPr="00710766" w:rsidR="00710766">
        <w:t>’</w:t>
      </w:r>
      <w:r w:rsidRPr="00710766">
        <w:t>un risque d</w:t>
      </w:r>
      <w:r w:rsidRPr="00710766" w:rsidR="00710766">
        <w:t>’</w:t>
      </w:r>
      <w:r w:rsidRPr="00710766">
        <w:t>altération des preuves et la présence d</w:t>
      </w:r>
      <w:r w:rsidRPr="00710766" w:rsidR="00710766">
        <w:t>’</w:t>
      </w:r>
      <w:r w:rsidRPr="00710766">
        <w:t xml:space="preserve">éléments concrets donnant à penser que le suspect pouvait prendre la fuite. Elle note en outre que le juge a estimé que la détention apparaissait </w:t>
      </w:r>
      <w:proofErr w:type="gramStart"/>
      <w:r w:rsidRPr="00710766">
        <w:t>être</w:t>
      </w:r>
      <w:proofErr w:type="gramEnd"/>
      <w:r w:rsidRPr="00710766">
        <w:t xml:space="preserve"> une mesure proportionnée à ce stade, et qu</w:t>
      </w:r>
      <w:r w:rsidRPr="00710766" w:rsidR="00710766">
        <w:t>’</w:t>
      </w:r>
      <w:r w:rsidRPr="00710766">
        <w:t>un contrôle judiciaire serait insuffisant dans la mesure où la peine minimale encourue pour l</w:t>
      </w:r>
      <w:r w:rsidRPr="00710766" w:rsidR="00710766">
        <w:t>’</w:t>
      </w:r>
      <w:r w:rsidRPr="00710766">
        <w:t>infraction prévue à l</w:t>
      </w:r>
      <w:r w:rsidRPr="00710766" w:rsidR="00710766">
        <w:t>’</w:t>
      </w:r>
      <w:r w:rsidRPr="00710766">
        <w:t>article 314 § 2 était de cinq ans d</w:t>
      </w:r>
      <w:r w:rsidRPr="00710766" w:rsidR="00710766">
        <w:t>’</w:t>
      </w:r>
      <w:r w:rsidRPr="00710766">
        <w:t>emprisonnement (paragraphe </w:t>
      </w:r>
      <w:r w:rsidRPr="00710766">
        <w:fldChar w:fldCharType="begin"/>
      </w:r>
      <w:r w:rsidRPr="00710766">
        <w:instrText xml:space="preserve"> REF paragraph7 \h </w:instrText>
      </w:r>
      <w:r w:rsidRPr="00710766">
        <w:fldChar w:fldCharType="separate"/>
      </w:r>
      <w:r w:rsidRPr="00710766" w:rsidR="00710766">
        <w:rPr>
          <w:noProof/>
        </w:rPr>
        <w:t>7</w:t>
      </w:r>
      <w:r w:rsidRPr="00710766">
        <w:fldChar w:fldCharType="end"/>
      </w:r>
      <w:r w:rsidRPr="00710766">
        <w:t xml:space="preserve"> ci-dessus).</w:t>
      </w:r>
    </w:p>
    <w:p w:rsidRPr="00710766" w:rsidR="002A531E" w:rsidP="00710766" w:rsidRDefault="002A531E" w14:paraId="6EBDD98B" w14:textId="6BF11E6F">
      <w:pPr>
        <w:pStyle w:val="JuPara"/>
      </w:pPr>
      <w:r w:rsidRPr="00710766">
        <w:fldChar w:fldCharType="begin"/>
      </w:r>
      <w:r w:rsidRPr="00710766">
        <w:instrText xml:space="preserve"> SEQ level0 \*arabic </w:instrText>
      </w:r>
      <w:r w:rsidRPr="00710766">
        <w:fldChar w:fldCharType="separate"/>
      </w:r>
      <w:r w:rsidRPr="00710766" w:rsidR="00710766">
        <w:rPr>
          <w:noProof/>
        </w:rPr>
        <w:t>45</w:t>
      </w:r>
      <w:r w:rsidRPr="00710766">
        <w:fldChar w:fldCharType="end"/>
      </w:r>
      <w:r w:rsidRPr="00710766">
        <w:t>.  La Cour examinera ci-dessous le caractère suffisant de ces motifs.</w:t>
      </w:r>
    </w:p>
    <w:p w:rsidRPr="00710766" w:rsidR="002A531E" w:rsidP="00710766" w:rsidRDefault="002A531E" w14:paraId="044FAD4D" w14:textId="0C849A04">
      <w:pPr>
        <w:pStyle w:val="JuHa0"/>
      </w:pPr>
      <w:r w:rsidRPr="00710766">
        <w:t>Sur la nature de l</w:t>
      </w:r>
      <w:r w:rsidRPr="00710766" w:rsidR="00710766">
        <w:t>’</w:t>
      </w:r>
      <w:r w:rsidRPr="00710766">
        <w:t>infraction ou la gravité de la peine encourue</w:t>
      </w:r>
    </w:p>
    <w:p w:rsidRPr="00710766" w:rsidR="002A531E" w:rsidP="00710766" w:rsidRDefault="002A531E" w14:paraId="7FB80390" w14:textId="322B4FFD">
      <w:pPr>
        <w:pStyle w:val="JuPara"/>
      </w:pPr>
      <w:r w:rsidRPr="00710766">
        <w:fldChar w:fldCharType="begin"/>
      </w:r>
      <w:r w:rsidRPr="00710766">
        <w:instrText xml:space="preserve"> SEQ level0 \*arabic </w:instrText>
      </w:r>
      <w:r w:rsidRPr="00710766">
        <w:fldChar w:fldCharType="separate"/>
      </w:r>
      <w:r w:rsidRPr="00710766" w:rsidR="00710766">
        <w:rPr>
          <w:noProof/>
        </w:rPr>
        <w:t>46</w:t>
      </w:r>
      <w:r w:rsidRPr="00710766">
        <w:fldChar w:fldCharType="end"/>
      </w:r>
      <w:r w:rsidRPr="00710766">
        <w:t>.  Pour ce qui est de la nature de l</w:t>
      </w:r>
      <w:r w:rsidRPr="00710766" w:rsidR="00710766">
        <w:t>’</w:t>
      </w:r>
      <w:r w:rsidRPr="00710766">
        <w:t>infraction, la Cour observe qu</w:t>
      </w:r>
      <w:r w:rsidRPr="00710766" w:rsidR="00710766">
        <w:t>’</w:t>
      </w:r>
      <w:r w:rsidRPr="00710766">
        <w:t>il ressort des motivations avancées par le juge de paix que ce dernier a considéré qu</w:t>
      </w:r>
      <w:r w:rsidRPr="00710766" w:rsidR="00710766">
        <w:t>’</w:t>
      </w:r>
      <w:r w:rsidRPr="00710766">
        <w:t>il s</w:t>
      </w:r>
      <w:r w:rsidRPr="00710766" w:rsidR="00710766">
        <w:t>’</w:t>
      </w:r>
      <w:r w:rsidRPr="00710766">
        <w:t>agissait d</w:t>
      </w:r>
      <w:r w:rsidRPr="00710766" w:rsidR="00710766">
        <w:t>’</w:t>
      </w:r>
      <w:r w:rsidRPr="00710766">
        <w:t>une infraction cataloguée. Cependant, même si, tel qu</w:t>
      </w:r>
      <w:r w:rsidRPr="00710766" w:rsidR="00710766">
        <w:t>’</w:t>
      </w:r>
      <w:r w:rsidRPr="00710766">
        <w:t>il ressort de l</w:t>
      </w:r>
      <w:r w:rsidRPr="00710766" w:rsidR="00710766">
        <w:t>’</w:t>
      </w:r>
      <w:r w:rsidRPr="00710766">
        <w:t>article 100 § 3 du CPP, le juge interne « peut » (et non « doit ») présumer l</w:t>
      </w:r>
      <w:r w:rsidRPr="00710766" w:rsidR="00710766">
        <w:t>’</w:t>
      </w:r>
      <w:r w:rsidRPr="00710766">
        <w:t>existence de motifs de détention (risques de fuite, d</w:t>
      </w:r>
      <w:r w:rsidRPr="00710766" w:rsidR="00710766">
        <w:t>’</w:t>
      </w:r>
      <w:r w:rsidRPr="00710766">
        <w:t>altération des preuves ou de pressions sur les témoins, les victimes et d</w:t>
      </w:r>
      <w:r w:rsidRPr="00710766" w:rsidR="00710766">
        <w:t>’</w:t>
      </w:r>
      <w:r w:rsidRPr="00710766">
        <w:t>autres personnes) pour ces types d</w:t>
      </w:r>
      <w:r w:rsidRPr="00710766" w:rsidR="00710766">
        <w:t>’</w:t>
      </w:r>
      <w:r w:rsidRPr="00710766">
        <w:t>infractions, ce seul élément ne rend pas la mise en détention du requérant justifiée dans la mesure où, selon la jurisprudence établie de la Cour, l</w:t>
      </w:r>
      <w:r w:rsidRPr="00710766" w:rsidR="00710766">
        <w:t>’</w:t>
      </w:r>
      <w:r w:rsidRPr="00710766">
        <w:t>existence de ces risques doit être dûment établie et le raisonnement des autorités à cet égard ne saurait être abstrait, général ou stéréotypé (</w:t>
      </w:r>
      <w:proofErr w:type="spellStart"/>
      <w:r w:rsidRPr="00710766">
        <w:rPr>
          <w:i/>
          <w:iCs/>
        </w:rPr>
        <w:t>Merabishvili</w:t>
      </w:r>
      <w:proofErr w:type="spellEnd"/>
      <w:r w:rsidRPr="00710766">
        <w:t>, précité, § 222).</w:t>
      </w:r>
    </w:p>
    <w:p w:rsidRPr="00710766" w:rsidR="002A531E" w:rsidP="00710766" w:rsidRDefault="002A531E" w14:paraId="516DAC0A" w14:textId="10EB04FF">
      <w:pPr>
        <w:pStyle w:val="JuPara"/>
      </w:pPr>
      <w:r w:rsidRPr="00710766">
        <w:fldChar w:fldCharType="begin"/>
      </w:r>
      <w:r w:rsidRPr="00710766">
        <w:instrText xml:space="preserve"> SEQ level0 \*arabic </w:instrText>
      </w:r>
      <w:r w:rsidRPr="00710766">
        <w:fldChar w:fldCharType="separate"/>
      </w:r>
      <w:r w:rsidRPr="00710766" w:rsidR="00710766">
        <w:rPr>
          <w:noProof/>
        </w:rPr>
        <w:t>47</w:t>
      </w:r>
      <w:r w:rsidRPr="00710766">
        <w:fldChar w:fldCharType="end"/>
      </w:r>
      <w:r w:rsidRPr="00710766">
        <w:t>.  En outre, la Cour réaffirme que tout système de détention provisoire automatique est en soi incompatible avec l</w:t>
      </w:r>
      <w:r w:rsidRPr="00710766" w:rsidR="00710766">
        <w:t>’</w:t>
      </w:r>
      <w:r w:rsidRPr="00710766">
        <w:t>article 5 § 3 de la Convention. Lorsque la loi prévoit une présomption concernant les motifs de détention provisoire, l</w:t>
      </w:r>
      <w:r w:rsidRPr="00710766" w:rsidR="00710766">
        <w:t>’</w:t>
      </w:r>
      <w:r w:rsidRPr="00710766">
        <w:t>existence de faits concrets aboutissant à déroger à la règle du respect de la liberté individuelle doit néanmoins être démontrée de façon convaincante. En outre, en droit turc, même lorsqu</w:t>
      </w:r>
      <w:r w:rsidRPr="00710766" w:rsidR="00710766">
        <w:t>’</w:t>
      </w:r>
      <w:r w:rsidRPr="00710766">
        <w:t>il s</w:t>
      </w:r>
      <w:r w:rsidRPr="00710766" w:rsidR="00710766">
        <w:t>’</w:t>
      </w:r>
      <w:r w:rsidRPr="00710766">
        <w:t>agit d</w:t>
      </w:r>
      <w:r w:rsidRPr="00710766" w:rsidR="00710766">
        <w:t>’</w:t>
      </w:r>
      <w:r w:rsidRPr="00710766">
        <w:t>une infraction dite « cataloguée », les autorités judiciaires ont l</w:t>
      </w:r>
      <w:r w:rsidRPr="00710766" w:rsidR="00710766">
        <w:t>’</w:t>
      </w:r>
      <w:r w:rsidRPr="00710766">
        <w:t>obligation d</w:t>
      </w:r>
      <w:r w:rsidRPr="00710766" w:rsidR="00710766">
        <w:t>’</w:t>
      </w:r>
      <w:r w:rsidRPr="00710766">
        <w:t>envisager tout d</w:t>
      </w:r>
      <w:r w:rsidRPr="00710766" w:rsidR="00710766">
        <w:t>’</w:t>
      </w:r>
      <w:r w:rsidRPr="00710766">
        <w:t>abord les mesures alternatives à la détention provisoire (</w:t>
      </w:r>
      <w:proofErr w:type="spellStart"/>
      <w:r w:rsidRPr="00710766">
        <w:rPr>
          <w:i/>
          <w:iCs/>
        </w:rPr>
        <w:t>Selahattin</w:t>
      </w:r>
      <w:proofErr w:type="spellEnd"/>
      <w:r w:rsidRPr="00710766">
        <w:rPr>
          <w:i/>
          <w:iCs/>
        </w:rPr>
        <w:t xml:space="preserve"> </w:t>
      </w:r>
      <w:proofErr w:type="spellStart"/>
      <w:r w:rsidRPr="00710766">
        <w:rPr>
          <w:rFonts w:cstheme="minorHAnsi"/>
          <w:i/>
          <w:color w:val="000000"/>
        </w:rPr>
        <w:t>Demirtaş</w:t>
      </w:r>
      <w:proofErr w:type="spellEnd"/>
      <w:r w:rsidRPr="00710766">
        <w:rPr>
          <w:rFonts w:cstheme="minorHAnsi"/>
          <w:i/>
          <w:color w:val="000000"/>
        </w:rPr>
        <w:t xml:space="preserve"> </w:t>
      </w:r>
      <w:r w:rsidRPr="00710766">
        <w:t>(</w:t>
      </w:r>
      <w:r w:rsidRPr="00710766">
        <w:rPr>
          <w:i/>
          <w:iCs/>
        </w:rPr>
        <w:t>n</w:t>
      </w:r>
      <w:r w:rsidRPr="00710766">
        <w:rPr>
          <w:i/>
          <w:iCs/>
          <w:vertAlign w:val="superscript"/>
        </w:rPr>
        <w:t>o</w:t>
      </w:r>
      <w:r w:rsidRPr="00710766">
        <w:rPr>
          <w:i/>
          <w:iCs/>
        </w:rPr>
        <w:t> 2</w:t>
      </w:r>
      <w:r w:rsidRPr="00710766">
        <w:t>), précité, § 190, et les références qui y sont citées). À cet égard, la Cour rappelle qu</w:t>
      </w:r>
      <w:r w:rsidRPr="00710766" w:rsidR="00710766">
        <w:t>’</w:t>
      </w:r>
      <w:r w:rsidRPr="00710766">
        <w:t>elle a déjà conclu que l</w:t>
      </w:r>
      <w:r w:rsidRPr="00710766" w:rsidR="00710766">
        <w:t>’</w:t>
      </w:r>
      <w:r w:rsidRPr="00710766">
        <w:t>existence d</w:t>
      </w:r>
      <w:r w:rsidRPr="00710766" w:rsidR="00710766">
        <w:t>’</w:t>
      </w:r>
      <w:r w:rsidRPr="00710766">
        <w:t>une telle présomption légale ne procurait, dans le cadre du contrôle que la Cour doit exercer aux fins de l</w:t>
      </w:r>
      <w:r w:rsidRPr="00710766" w:rsidR="00710766">
        <w:t>’</w:t>
      </w:r>
      <w:r w:rsidRPr="00710766">
        <w:t>article 5 § 3 de la Convention, aucun élément spécifique démontrant la nécessité du maintien en détention provisoire (</w:t>
      </w:r>
      <w:proofErr w:type="spellStart"/>
      <w:r w:rsidRPr="00710766">
        <w:rPr>
          <w:i/>
          <w:iCs/>
        </w:rPr>
        <w:t>Şık</w:t>
      </w:r>
      <w:proofErr w:type="spellEnd"/>
      <w:r w:rsidRPr="00710766">
        <w:rPr>
          <w:i/>
          <w:iCs/>
        </w:rPr>
        <w:t xml:space="preserve"> c. Turquie</w:t>
      </w:r>
      <w:r w:rsidRPr="00710766">
        <w:t>, n</w:t>
      </w:r>
      <w:r w:rsidRPr="00710766">
        <w:rPr>
          <w:vertAlign w:val="superscript"/>
        </w:rPr>
        <w:t>o</w:t>
      </w:r>
      <w:r w:rsidRPr="00710766">
        <w:t> </w:t>
      </w:r>
      <w:hyperlink w:tgtFrame="_blank" w:history="1" w:anchor="{%22appno%22:[%2253413/11%22]}" r:id="rId14">
        <w:r w:rsidRPr="00710766">
          <w:t>53413/11</w:t>
        </w:r>
      </w:hyperlink>
      <w:r w:rsidRPr="00710766">
        <w:t>, § 62, 8 juillet 2014).</w:t>
      </w:r>
    </w:p>
    <w:p w:rsidRPr="00710766" w:rsidR="002A531E" w:rsidP="00710766" w:rsidRDefault="002A531E" w14:paraId="776DD7DE" w14:textId="23D15FE6">
      <w:pPr>
        <w:pStyle w:val="JuPara"/>
      </w:pPr>
      <w:r w:rsidRPr="00710766">
        <w:fldChar w:fldCharType="begin"/>
      </w:r>
      <w:r w:rsidRPr="00710766">
        <w:instrText xml:space="preserve"> SEQ level0 \*arabic </w:instrText>
      </w:r>
      <w:r w:rsidRPr="00710766">
        <w:fldChar w:fldCharType="separate"/>
      </w:r>
      <w:r w:rsidRPr="00710766" w:rsidR="00710766">
        <w:rPr>
          <w:noProof/>
        </w:rPr>
        <w:t>48</w:t>
      </w:r>
      <w:r w:rsidRPr="00710766">
        <w:fldChar w:fldCharType="end"/>
      </w:r>
      <w:r w:rsidRPr="00710766">
        <w:t>.  La Cour observe également que le juge de paix avait noté que la peine minimale encourue pour l</w:t>
      </w:r>
      <w:r w:rsidRPr="00710766" w:rsidR="00710766">
        <w:t>’</w:t>
      </w:r>
      <w:r w:rsidRPr="00710766">
        <w:t>infraction prévue à l</w:t>
      </w:r>
      <w:r w:rsidRPr="00710766" w:rsidR="00710766">
        <w:t>’</w:t>
      </w:r>
      <w:r w:rsidRPr="00710766">
        <w:t>article 314 § 2 était de cinq ans d</w:t>
      </w:r>
      <w:r w:rsidRPr="00710766" w:rsidR="00710766">
        <w:t>’</w:t>
      </w:r>
      <w:r w:rsidRPr="00710766">
        <w:t xml:space="preserve">emprisonnement. </w:t>
      </w:r>
      <w:r w:rsidRPr="00710766">
        <w:rPr>
          <w:rFonts w:eastAsia="Times New Roman" w:cstheme="minorHAnsi"/>
        </w:rPr>
        <w:t>Il convient cependant de rappeler à cet égard que, si la gravité d</w:t>
      </w:r>
      <w:r w:rsidRPr="00710766" w:rsidR="00710766">
        <w:rPr>
          <w:rFonts w:eastAsia="Times New Roman" w:cstheme="minorHAnsi"/>
        </w:rPr>
        <w:t>’</w:t>
      </w:r>
      <w:r w:rsidRPr="00710766">
        <w:rPr>
          <w:rFonts w:eastAsia="Times New Roman" w:cstheme="minorHAnsi"/>
        </w:rPr>
        <w:t>une inculpation ou de la peine peut conduire les autorités judiciaires à placer et laisser le suspect en détention provisoire pour empêcher des tentatives de commission de nouvelles infractions, encore faut-il que les circonstances de la cause, et notamment les antécédents et la personnalité de l</w:t>
      </w:r>
      <w:r w:rsidRPr="00710766" w:rsidR="00710766">
        <w:rPr>
          <w:rFonts w:eastAsia="Times New Roman" w:cstheme="minorHAnsi"/>
        </w:rPr>
        <w:t>’</w:t>
      </w:r>
      <w:r w:rsidRPr="00710766">
        <w:rPr>
          <w:rFonts w:eastAsia="Times New Roman" w:cstheme="minorHAnsi"/>
        </w:rPr>
        <w:t>intéressé, rendent plausible le danger et adéquate la mesure (</w:t>
      </w:r>
      <w:r w:rsidRPr="00710766">
        <w:rPr>
          <w:rFonts w:eastAsia="Times New Roman" w:cstheme="minorHAnsi"/>
          <w:i/>
          <w:iCs/>
        </w:rPr>
        <w:t xml:space="preserve">Maksim </w:t>
      </w:r>
      <w:proofErr w:type="spellStart"/>
      <w:r w:rsidRPr="00710766">
        <w:rPr>
          <w:rFonts w:eastAsia="Times New Roman" w:cstheme="minorHAnsi"/>
          <w:i/>
          <w:iCs/>
        </w:rPr>
        <w:t>Savov</w:t>
      </w:r>
      <w:proofErr w:type="spellEnd"/>
      <w:r w:rsidRPr="00710766">
        <w:rPr>
          <w:rFonts w:eastAsia="Times New Roman" w:cstheme="minorHAnsi"/>
          <w:i/>
          <w:iCs/>
        </w:rPr>
        <w:t xml:space="preserve"> c. Bulgarie</w:t>
      </w:r>
      <w:r w:rsidRPr="00710766">
        <w:rPr>
          <w:rFonts w:eastAsia="Times New Roman" w:cstheme="minorHAnsi"/>
        </w:rPr>
        <w:t>, n</w:t>
      </w:r>
      <w:r w:rsidRPr="00710766">
        <w:rPr>
          <w:rFonts w:eastAsia="Times New Roman" w:cstheme="minorHAnsi"/>
          <w:vertAlign w:val="superscript"/>
        </w:rPr>
        <w:t>o</w:t>
      </w:r>
      <w:r w:rsidRPr="00710766">
        <w:rPr>
          <w:rFonts w:eastAsia="Times New Roman" w:cstheme="minorHAnsi"/>
        </w:rPr>
        <w:t> 28143/10, § 47, 13 octobre 2020). Or, cette condition n</w:t>
      </w:r>
      <w:r w:rsidRPr="00710766" w:rsidR="00710766">
        <w:rPr>
          <w:rFonts w:eastAsia="Times New Roman" w:cstheme="minorHAnsi"/>
        </w:rPr>
        <w:t>’</w:t>
      </w:r>
      <w:r w:rsidRPr="00710766">
        <w:rPr>
          <w:rFonts w:eastAsia="Times New Roman" w:cstheme="minorHAnsi"/>
        </w:rPr>
        <w:t>a pas été remplie, puisque les juridictions nationales n</w:t>
      </w:r>
      <w:r w:rsidRPr="00710766" w:rsidR="00710766">
        <w:rPr>
          <w:rFonts w:eastAsia="Times New Roman" w:cstheme="minorHAnsi"/>
        </w:rPr>
        <w:t>’</w:t>
      </w:r>
      <w:r w:rsidRPr="00710766">
        <w:rPr>
          <w:rFonts w:eastAsia="Times New Roman" w:cstheme="minorHAnsi"/>
        </w:rPr>
        <w:t>ont pas procédé à un examen individuel.</w:t>
      </w:r>
    </w:p>
    <w:p w:rsidRPr="00710766" w:rsidR="002A531E" w:rsidP="00710766" w:rsidRDefault="002A531E" w14:paraId="4BFF507D" w14:textId="4F51B759">
      <w:pPr>
        <w:pStyle w:val="JuPara"/>
      </w:pPr>
      <w:r w:rsidRPr="00710766">
        <w:fldChar w:fldCharType="begin"/>
      </w:r>
      <w:r w:rsidRPr="00710766">
        <w:instrText xml:space="preserve"> SEQ level0 \*arabic </w:instrText>
      </w:r>
      <w:r w:rsidRPr="00710766">
        <w:fldChar w:fldCharType="separate"/>
      </w:r>
      <w:r w:rsidRPr="00710766" w:rsidR="00710766">
        <w:rPr>
          <w:noProof/>
        </w:rPr>
        <w:t>49</w:t>
      </w:r>
      <w:r w:rsidRPr="00710766">
        <w:fldChar w:fldCharType="end"/>
      </w:r>
      <w:r w:rsidRPr="00710766">
        <w:t>.  La Cour conclut qu</w:t>
      </w:r>
      <w:r w:rsidRPr="00710766" w:rsidR="00710766">
        <w:t>’</w:t>
      </w:r>
      <w:r w:rsidRPr="00710766">
        <w:t>en l</w:t>
      </w:r>
      <w:r w:rsidRPr="00710766" w:rsidR="00710766">
        <w:t>’</w:t>
      </w:r>
      <w:r w:rsidRPr="00710766">
        <w:t>espèce, les motifs généraux – tels que la nature de l</w:t>
      </w:r>
      <w:r w:rsidRPr="00710766" w:rsidR="00710766">
        <w:t>’</w:t>
      </w:r>
      <w:r w:rsidRPr="00710766">
        <w:t>infraction, à savoir une infraction cataloguée, ou encore la gravité de la peine encourue – qui ont été invoqués étaient pertinents mais pas suffisants pour justifier la mise en détention du requérant.</w:t>
      </w:r>
    </w:p>
    <w:p w:rsidRPr="00710766" w:rsidR="002A531E" w:rsidP="00710766" w:rsidRDefault="002A531E" w14:paraId="1CBFBA88" w14:textId="77777777">
      <w:pPr>
        <w:pStyle w:val="JuHa0"/>
      </w:pPr>
      <w:r w:rsidRPr="00710766">
        <w:t>Sur le risque de fuite</w:t>
      </w:r>
    </w:p>
    <w:p w:rsidRPr="00710766" w:rsidR="002A531E" w:rsidP="00710766" w:rsidRDefault="002A531E" w14:paraId="0263B533" w14:textId="45896442">
      <w:pPr>
        <w:pStyle w:val="JuPara"/>
      </w:pPr>
      <w:r w:rsidRPr="00710766">
        <w:fldChar w:fldCharType="begin"/>
      </w:r>
      <w:r w:rsidRPr="00710766">
        <w:instrText xml:space="preserve"> SEQ level0 \*arabic </w:instrText>
      </w:r>
      <w:r w:rsidRPr="00710766">
        <w:fldChar w:fldCharType="separate"/>
      </w:r>
      <w:r w:rsidRPr="00710766" w:rsidR="00710766">
        <w:rPr>
          <w:noProof/>
        </w:rPr>
        <w:t>50</w:t>
      </w:r>
      <w:r w:rsidRPr="00710766">
        <w:fldChar w:fldCharType="end"/>
      </w:r>
      <w:r w:rsidRPr="00710766">
        <w:t>.  La Cour rappelle qu</w:t>
      </w:r>
      <w:r w:rsidRPr="00710766" w:rsidR="00710766">
        <w:t>’</w:t>
      </w:r>
      <w:r w:rsidRPr="00710766">
        <w:t>il convient d</w:t>
      </w:r>
      <w:r w:rsidRPr="00710766" w:rsidR="00710766">
        <w:t>’</w:t>
      </w:r>
      <w:r w:rsidRPr="00710766">
        <w:t>apprécier le risque de fuite à la lumière d</w:t>
      </w:r>
      <w:r w:rsidRPr="00710766" w:rsidR="00710766">
        <w:t>’</w:t>
      </w:r>
      <w:r w:rsidRPr="00710766">
        <w:t>éléments tenant à la personnalité de l</w:t>
      </w:r>
      <w:r w:rsidRPr="00710766" w:rsidR="00710766">
        <w:t>’</w:t>
      </w:r>
      <w:r w:rsidRPr="00710766">
        <w:t>intéressé, à son sens moral, à sa domiciliation, à sa profession, à ses ressources, à ses liens familiaux et à d</w:t>
      </w:r>
      <w:r w:rsidRPr="00710766" w:rsidR="00710766">
        <w:t>’</w:t>
      </w:r>
      <w:r w:rsidRPr="00710766">
        <w:t>autres types de liens avec le pays dans lequel il est poursuivi (</w:t>
      </w:r>
      <w:proofErr w:type="spellStart"/>
      <w:r w:rsidRPr="00710766">
        <w:rPr>
          <w:i/>
          <w:iCs/>
        </w:rPr>
        <w:t>Becciev</w:t>
      </w:r>
      <w:proofErr w:type="spellEnd"/>
      <w:r w:rsidRPr="00710766">
        <w:rPr>
          <w:i/>
          <w:iCs/>
        </w:rPr>
        <w:t xml:space="preserve"> c. Moldova</w:t>
      </w:r>
      <w:r w:rsidRPr="00710766">
        <w:t>, n</w:t>
      </w:r>
      <w:r w:rsidRPr="00710766">
        <w:rPr>
          <w:vertAlign w:val="superscript"/>
        </w:rPr>
        <w:t>o</w:t>
      </w:r>
      <w:r w:rsidRPr="00710766">
        <w:t> 9190/03, § 58, 4 octobre 2005).</w:t>
      </w:r>
    </w:p>
    <w:p w:rsidRPr="00710766" w:rsidR="002A531E" w:rsidP="00710766" w:rsidRDefault="002A531E" w14:paraId="462B0512" w14:textId="77EED6B6">
      <w:pPr>
        <w:pStyle w:val="JuPara"/>
      </w:pPr>
      <w:r w:rsidRPr="00710766">
        <w:fldChar w:fldCharType="begin"/>
      </w:r>
      <w:r w:rsidRPr="00710766">
        <w:instrText xml:space="preserve"> SEQ level0 \*arabic </w:instrText>
      </w:r>
      <w:r w:rsidRPr="00710766">
        <w:fldChar w:fldCharType="separate"/>
      </w:r>
      <w:r w:rsidRPr="00710766" w:rsidR="00710766">
        <w:rPr>
          <w:noProof/>
        </w:rPr>
        <w:t>51</w:t>
      </w:r>
      <w:r w:rsidRPr="00710766">
        <w:fldChar w:fldCharType="end"/>
      </w:r>
      <w:r w:rsidRPr="00710766">
        <w:t>.  Or, il apparaît clairement que les juridictions internes ne se sont pas livrées à pareil exercice en l</w:t>
      </w:r>
      <w:r w:rsidRPr="00710766" w:rsidR="00710766">
        <w:t>’</w:t>
      </w:r>
      <w:r w:rsidRPr="00710766">
        <w:t>espèce. En effet, il est difficile de déceler des éléments de nature à corroborer l</w:t>
      </w:r>
      <w:r w:rsidRPr="00710766" w:rsidR="00710766">
        <w:t>’</w:t>
      </w:r>
      <w:r w:rsidRPr="00710766">
        <w:t>allégation selon laquelle l</w:t>
      </w:r>
      <w:r w:rsidRPr="00710766" w:rsidR="00710766">
        <w:t>’</w:t>
      </w:r>
      <w:r w:rsidRPr="00710766">
        <w:t>intéressé risquait de tenter de se soustraire à la justice : il n</w:t>
      </w:r>
      <w:r w:rsidRPr="00710766" w:rsidR="00710766">
        <w:t>’</w:t>
      </w:r>
      <w:r w:rsidRPr="00710766">
        <w:t>a été établi ni que le requérant, maire d</w:t>
      </w:r>
      <w:r w:rsidRPr="00710766" w:rsidR="00710766">
        <w:t>’</w:t>
      </w:r>
      <w:r w:rsidRPr="00710766">
        <w:t>une ville à l</w:t>
      </w:r>
      <w:r w:rsidRPr="00710766" w:rsidR="00710766">
        <w:t>’</w:t>
      </w:r>
      <w:r w:rsidRPr="00710766">
        <w:t>époque des faits, n</w:t>
      </w:r>
      <w:r w:rsidRPr="00710766" w:rsidR="00710766">
        <w:t>’</w:t>
      </w:r>
      <w:r w:rsidRPr="00710766">
        <w:t>ait pas disposé d</w:t>
      </w:r>
      <w:r w:rsidRPr="00710766" w:rsidR="00710766">
        <w:t>’</w:t>
      </w:r>
      <w:r w:rsidRPr="00710766">
        <w:t>un domicile fixe, ni que les faits reprochés ou les peines encourues aient constitué des facteurs pouvant l</w:t>
      </w:r>
      <w:r w:rsidRPr="00710766" w:rsidR="00710766">
        <w:t>’</w:t>
      </w:r>
      <w:r w:rsidRPr="00710766">
        <w:t>inciter à se dérober à la justice.</w:t>
      </w:r>
    </w:p>
    <w:p w:rsidRPr="00710766" w:rsidR="002A531E" w:rsidP="00710766" w:rsidRDefault="002A531E" w14:paraId="7B6E6F6F" w14:textId="22E4F185">
      <w:pPr>
        <w:pStyle w:val="JuPara"/>
      </w:pPr>
      <w:r w:rsidRPr="00710766">
        <w:fldChar w:fldCharType="begin"/>
      </w:r>
      <w:r w:rsidRPr="00710766">
        <w:instrText xml:space="preserve"> SEQ level0 \*arabic </w:instrText>
      </w:r>
      <w:r w:rsidRPr="00710766">
        <w:fldChar w:fldCharType="separate"/>
      </w:r>
      <w:r w:rsidRPr="00710766" w:rsidR="00710766">
        <w:rPr>
          <w:noProof/>
        </w:rPr>
        <w:t>52</w:t>
      </w:r>
      <w:r w:rsidRPr="00710766">
        <w:fldChar w:fldCharType="end"/>
      </w:r>
      <w:r w:rsidRPr="00710766">
        <w:t>.  La Cour juge dès lors non convaincant dans une telle décision de mise en détention provisoire du maire d</w:t>
      </w:r>
      <w:r w:rsidRPr="00710766" w:rsidR="00710766">
        <w:t>’</w:t>
      </w:r>
      <w:r w:rsidRPr="00710766">
        <w:t>une ville l</w:t>
      </w:r>
      <w:r w:rsidRPr="00710766" w:rsidR="00710766">
        <w:t>’</w:t>
      </w:r>
      <w:r w:rsidRPr="00710766">
        <w:t>argument consistant à dire, sans avancer d</w:t>
      </w:r>
      <w:r w:rsidRPr="00710766" w:rsidR="00710766">
        <w:t>’</w:t>
      </w:r>
      <w:r w:rsidRPr="00710766">
        <w:t>éléments factuels ou individuels concrets, que l</w:t>
      </w:r>
      <w:r w:rsidRPr="00710766" w:rsidR="00710766">
        <w:t>’</w:t>
      </w:r>
      <w:r w:rsidRPr="00710766">
        <w:t>intéressé risquait de prendre la fuite.</w:t>
      </w:r>
    </w:p>
    <w:p w:rsidRPr="00710766" w:rsidR="002A531E" w:rsidP="00710766" w:rsidRDefault="002A531E" w14:paraId="56B5FBBF" w14:textId="0A298172">
      <w:pPr>
        <w:pStyle w:val="JuHa0"/>
      </w:pPr>
      <w:r w:rsidRPr="00710766">
        <w:t>Sur le risque d</w:t>
      </w:r>
      <w:r w:rsidRPr="00710766" w:rsidR="00710766">
        <w:t>’</w:t>
      </w:r>
      <w:r w:rsidRPr="00710766">
        <w:t>altération des preuves</w:t>
      </w:r>
    </w:p>
    <w:p w:rsidRPr="00710766" w:rsidR="002A531E" w:rsidP="00710766" w:rsidRDefault="002A531E" w14:paraId="1E87A322" w14:textId="53864F37">
      <w:pPr>
        <w:pStyle w:val="JuPara"/>
      </w:pPr>
      <w:r w:rsidRPr="00710766">
        <w:fldChar w:fldCharType="begin"/>
      </w:r>
      <w:r w:rsidRPr="00710766">
        <w:instrText xml:space="preserve"> SEQ level0 \*arabic </w:instrText>
      </w:r>
      <w:r w:rsidRPr="00710766">
        <w:fldChar w:fldCharType="separate"/>
      </w:r>
      <w:r w:rsidRPr="00710766" w:rsidR="00710766">
        <w:rPr>
          <w:noProof/>
        </w:rPr>
        <w:t>53</w:t>
      </w:r>
      <w:r w:rsidRPr="00710766">
        <w:fldChar w:fldCharType="end"/>
      </w:r>
      <w:r w:rsidRPr="00710766">
        <w:t>.  En ce qui concerne le risque d</w:t>
      </w:r>
      <w:r w:rsidRPr="00710766" w:rsidR="00710766">
        <w:t>’</w:t>
      </w:r>
      <w:r w:rsidRPr="00710766">
        <w:t>altération des preuves, la Cour observe que le requérant était accusé d</w:t>
      </w:r>
      <w:r w:rsidRPr="00710766" w:rsidR="00710766">
        <w:t>’</w:t>
      </w:r>
      <w:r w:rsidRPr="00710766">
        <w:t>avoir participé à certaines activités politiques. Dans sa déposition recueillie par le parquet et le juge de paix, il n</w:t>
      </w:r>
      <w:r w:rsidRPr="00710766" w:rsidR="00710766">
        <w:t>’</w:t>
      </w:r>
      <w:r w:rsidRPr="00710766">
        <w:t>a pas nié avoir participé à ces évènements ou avoir tenu les propos incriminés. Par ailleurs, le parquet a déposé son acte d</w:t>
      </w:r>
      <w:r w:rsidRPr="00710766" w:rsidR="00710766">
        <w:t>’</w:t>
      </w:r>
      <w:r w:rsidRPr="00710766">
        <w:t>accusation le 8 décembre 2016, c</w:t>
      </w:r>
      <w:r w:rsidRPr="00710766" w:rsidR="00710766">
        <w:t>’</w:t>
      </w:r>
      <w:r w:rsidRPr="00710766">
        <w:t>est-à-dire moins d</w:t>
      </w:r>
      <w:r w:rsidRPr="00710766" w:rsidR="00710766">
        <w:t>’</w:t>
      </w:r>
      <w:r w:rsidRPr="00710766">
        <w:t>un mois après l</w:t>
      </w:r>
      <w:r w:rsidRPr="00710766" w:rsidR="00710766">
        <w:t>’</w:t>
      </w:r>
      <w:r w:rsidRPr="00710766">
        <w:t>arrestation de l</w:t>
      </w:r>
      <w:r w:rsidRPr="00710766" w:rsidR="00710766">
        <w:t>’</w:t>
      </w:r>
      <w:r w:rsidRPr="00710766">
        <w:t>intéressé, sans avoir eu besoin d</w:t>
      </w:r>
      <w:r w:rsidRPr="00710766" w:rsidR="00710766">
        <w:t>’</w:t>
      </w:r>
      <w:r w:rsidRPr="00710766">
        <w:t>obtenir des preuves supplémentaires. Par conséquent, la Cour n</w:t>
      </w:r>
      <w:r w:rsidRPr="00710766" w:rsidR="00710766">
        <w:t>’</w:t>
      </w:r>
      <w:r w:rsidRPr="00710766">
        <w:t>est pas convaincue qu</w:t>
      </w:r>
      <w:r w:rsidRPr="00710766" w:rsidR="00710766">
        <w:t>’</w:t>
      </w:r>
      <w:r w:rsidRPr="00710766">
        <w:t>en l</w:t>
      </w:r>
      <w:r w:rsidRPr="00710766" w:rsidR="00710766">
        <w:t>’</w:t>
      </w:r>
      <w:r w:rsidRPr="00710766">
        <w:t>espèce le motif tiré de l</w:t>
      </w:r>
      <w:r w:rsidRPr="00710766" w:rsidR="00710766">
        <w:t>’</w:t>
      </w:r>
      <w:r w:rsidRPr="00710766">
        <w:t>état des preuves ou d</w:t>
      </w:r>
      <w:r w:rsidRPr="00710766" w:rsidR="00710766">
        <w:t>’</w:t>
      </w:r>
      <w:r w:rsidRPr="00710766">
        <w:t>un risque hypothétique d</w:t>
      </w:r>
      <w:r w:rsidRPr="00710766" w:rsidR="00710766">
        <w:t>’</w:t>
      </w:r>
      <w:r w:rsidRPr="00710766">
        <w:t>altération des preuves ait été de nature à justifier le placement du requérant en détention provisoire le 16 novembre 2016.</w:t>
      </w:r>
    </w:p>
    <w:p w:rsidRPr="00710766" w:rsidR="002A531E" w:rsidP="00710766" w:rsidRDefault="002A531E" w14:paraId="548A1389" w14:textId="77777777">
      <w:pPr>
        <w:pStyle w:val="JuHa0"/>
        <w:rPr>
          <w:rFonts w:eastAsia="Times New Roman"/>
        </w:rPr>
      </w:pPr>
      <w:r w:rsidRPr="00710766">
        <w:rPr>
          <w:rFonts w:eastAsia="Times New Roman"/>
        </w:rPr>
        <w:t>Sur les mesures alternatives à la détention provisoire</w:t>
      </w:r>
    </w:p>
    <w:p w:rsidRPr="00710766" w:rsidR="002A531E" w:rsidP="00710766" w:rsidRDefault="002A531E" w14:paraId="501C53D9" w14:textId="66893A65">
      <w:pPr>
        <w:pStyle w:val="JuPara"/>
        <w:rPr>
          <w:rFonts w:eastAsia="Times New Roman" w:cstheme="minorHAnsi"/>
        </w:rPr>
      </w:pPr>
      <w:r w:rsidRPr="00710766">
        <w:rPr>
          <w:rFonts w:eastAsia="Times New Roman" w:cstheme="minorHAnsi"/>
        </w:rPr>
        <w:fldChar w:fldCharType="begin"/>
      </w:r>
      <w:r w:rsidRPr="00710766">
        <w:rPr>
          <w:rFonts w:eastAsia="Times New Roman" w:cstheme="minorHAnsi"/>
        </w:rPr>
        <w:instrText xml:space="preserve"> SEQ level0 \*arabic </w:instrText>
      </w:r>
      <w:r w:rsidRPr="00710766">
        <w:rPr>
          <w:rFonts w:eastAsia="Times New Roman" w:cstheme="minorHAnsi"/>
        </w:rPr>
        <w:fldChar w:fldCharType="separate"/>
      </w:r>
      <w:r w:rsidRPr="00710766" w:rsidR="00710766">
        <w:rPr>
          <w:rFonts w:eastAsia="Times New Roman" w:cstheme="minorHAnsi"/>
          <w:noProof/>
        </w:rPr>
        <w:t>54</w:t>
      </w:r>
      <w:r w:rsidRPr="00710766">
        <w:rPr>
          <w:rFonts w:eastAsia="Times New Roman" w:cstheme="minorHAnsi"/>
        </w:rPr>
        <w:fldChar w:fldCharType="end"/>
      </w:r>
      <w:r w:rsidRPr="00710766">
        <w:rPr>
          <w:rFonts w:eastAsia="Times New Roman" w:cstheme="minorHAnsi"/>
        </w:rPr>
        <w:t>.  En ce qui concerne la recherche d</w:t>
      </w:r>
      <w:r w:rsidRPr="00710766" w:rsidR="00710766">
        <w:rPr>
          <w:rFonts w:eastAsia="Times New Roman" w:cstheme="minorHAnsi"/>
        </w:rPr>
        <w:t>’</w:t>
      </w:r>
      <w:r w:rsidRPr="00710766">
        <w:rPr>
          <w:rFonts w:eastAsia="Times New Roman" w:cstheme="minorHAnsi"/>
        </w:rPr>
        <w:t>alternatives à la détention provisoire, la Cour observe que dans sa décision du 16 novembre 2016, le juge de paix a simplement considéré qu</w:t>
      </w:r>
      <w:r w:rsidRPr="00710766" w:rsidR="00710766">
        <w:rPr>
          <w:rFonts w:eastAsia="Times New Roman" w:cstheme="minorHAnsi"/>
        </w:rPr>
        <w:t>’</w:t>
      </w:r>
      <w:r w:rsidRPr="00710766">
        <w:rPr>
          <w:rFonts w:eastAsia="Times New Roman" w:cstheme="minorHAnsi"/>
        </w:rPr>
        <w:t>un « contrôle judiciaire serait insuffisant », sans envisager l</w:t>
      </w:r>
      <w:r w:rsidRPr="00710766" w:rsidR="00710766">
        <w:rPr>
          <w:rFonts w:eastAsia="Times New Roman" w:cstheme="minorHAnsi"/>
        </w:rPr>
        <w:t>’</w:t>
      </w:r>
      <w:r w:rsidRPr="00710766">
        <w:rPr>
          <w:rFonts w:eastAsia="Times New Roman" w:cstheme="minorHAnsi"/>
        </w:rPr>
        <w:t>application de mesures alternatives à la détention provisoire. Or, elle constate qu</w:t>
      </w:r>
      <w:r w:rsidRPr="00710766" w:rsidR="00710766">
        <w:rPr>
          <w:rFonts w:eastAsia="Times New Roman" w:cstheme="minorHAnsi"/>
        </w:rPr>
        <w:t>’</w:t>
      </w:r>
      <w:r w:rsidRPr="00710766">
        <w:rPr>
          <w:rFonts w:eastAsia="Times New Roman" w:cstheme="minorHAnsi"/>
        </w:rPr>
        <w:t>en application de l</w:t>
      </w:r>
      <w:r w:rsidRPr="00710766" w:rsidR="00710766">
        <w:rPr>
          <w:rFonts w:eastAsia="Times New Roman" w:cstheme="minorHAnsi"/>
        </w:rPr>
        <w:t>’</w:t>
      </w:r>
      <w:r w:rsidRPr="00710766">
        <w:rPr>
          <w:rFonts w:eastAsia="Times New Roman" w:cstheme="minorHAnsi"/>
        </w:rPr>
        <w:t>article 109 du CPP, les juridictions nationales avaient la possibilité d</w:t>
      </w:r>
      <w:r w:rsidRPr="00710766" w:rsidR="00710766">
        <w:rPr>
          <w:rFonts w:eastAsia="Times New Roman" w:cstheme="minorHAnsi"/>
        </w:rPr>
        <w:t>’</w:t>
      </w:r>
      <w:r w:rsidRPr="00710766">
        <w:rPr>
          <w:rFonts w:eastAsia="Times New Roman" w:cstheme="minorHAnsi"/>
        </w:rPr>
        <w:t>ordonner le placement du requérant sous contrôle judiciaire au lieu d</w:t>
      </w:r>
      <w:r w:rsidRPr="00710766" w:rsidR="00710766">
        <w:rPr>
          <w:rFonts w:eastAsia="Times New Roman" w:cstheme="minorHAnsi"/>
        </w:rPr>
        <w:t>’</w:t>
      </w:r>
      <w:r w:rsidRPr="00710766">
        <w:rPr>
          <w:rFonts w:eastAsia="Times New Roman" w:cstheme="minorHAnsi"/>
        </w:rPr>
        <w:t>ordonner son maintien en détention. Elle note aussi que l</w:t>
      </w:r>
      <w:r w:rsidRPr="00710766" w:rsidR="00710766">
        <w:rPr>
          <w:rFonts w:eastAsia="Times New Roman" w:cstheme="minorHAnsi"/>
        </w:rPr>
        <w:t>’</w:t>
      </w:r>
      <w:r w:rsidRPr="00710766">
        <w:rPr>
          <w:rFonts w:eastAsia="Times New Roman" w:cstheme="minorHAnsi"/>
        </w:rPr>
        <w:t>article 100 § 1 du CPP imposait au juge d</w:t>
      </w:r>
      <w:r w:rsidRPr="00710766" w:rsidR="00710766">
        <w:rPr>
          <w:rFonts w:eastAsia="Times New Roman" w:cstheme="minorHAnsi"/>
        </w:rPr>
        <w:t>’</w:t>
      </w:r>
      <w:r w:rsidRPr="00710766">
        <w:rPr>
          <w:rFonts w:eastAsia="Times New Roman" w:cstheme="minorHAnsi"/>
        </w:rPr>
        <w:t>envisager en premier lieu l</w:t>
      </w:r>
      <w:r w:rsidRPr="00710766" w:rsidR="00710766">
        <w:rPr>
          <w:rFonts w:eastAsia="Times New Roman" w:cstheme="minorHAnsi"/>
        </w:rPr>
        <w:t>’</w:t>
      </w:r>
      <w:r w:rsidRPr="00710766">
        <w:rPr>
          <w:rFonts w:eastAsia="Times New Roman" w:cstheme="minorHAnsi"/>
        </w:rPr>
        <w:t>application de mesures moins sévères que la privation de liberté.</w:t>
      </w:r>
    </w:p>
    <w:p w:rsidRPr="00710766" w:rsidR="002A531E" w:rsidP="00710766" w:rsidRDefault="002A531E" w14:paraId="69C986F1" w14:textId="68715CD1">
      <w:pPr>
        <w:pStyle w:val="JuPara"/>
        <w:rPr>
          <w:rFonts w:eastAsia="Times New Roman" w:cstheme="minorHAnsi"/>
        </w:rPr>
      </w:pPr>
      <w:r w:rsidRPr="00710766">
        <w:rPr>
          <w:rFonts w:eastAsia="Times New Roman" w:cstheme="minorHAnsi"/>
        </w:rPr>
        <w:fldChar w:fldCharType="begin"/>
      </w:r>
      <w:r w:rsidRPr="00710766">
        <w:rPr>
          <w:rFonts w:eastAsia="Times New Roman" w:cstheme="minorHAnsi"/>
        </w:rPr>
        <w:instrText xml:space="preserve"> SEQ level0 \*arabic </w:instrText>
      </w:r>
      <w:r w:rsidRPr="00710766">
        <w:rPr>
          <w:rFonts w:eastAsia="Times New Roman" w:cstheme="minorHAnsi"/>
        </w:rPr>
        <w:fldChar w:fldCharType="separate"/>
      </w:r>
      <w:r w:rsidRPr="00710766" w:rsidR="00710766">
        <w:rPr>
          <w:rFonts w:eastAsia="Times New Roman" w:cstheme="minorHAnsi"/>
          <w:noProof/>
        </w:rPr>
        <w:t>55</w:t>
      </w:r>
      <w:r w:rsidRPr="00710766">
        <w:rPr>
          <w:rFonts w:eastAsia="Times New Roman" w:cstheme="minorHAnsi"/>
        </w:rPr>
        <w:fldChar w:fldCharType="end"/>
      </w:r>
      <w:r w:rsidRPr="00710766">
        <w:rPr>
          <w:rFonts w:eastAsia="Times New Roman" w:cstheme="minorHAnsi"/>
        </w:rPr>
        <w:t>.  Or, la Cour relève qu</w:t>
      </w:r>
      <w:r w:rsidRPr="00710766" w:rsidR="00710766">
        <w:rPr>
          <w:rFonts w:eastAsia="Times New Roman" w:cstheme="minorHAnsi"/>
        </w:rPr>
        <w:t>’</w:t>
      </w:r>
      <w:r w:rsidRPr="00710766">
        <w:rPr>
          <w:rFonts w:eastAsia="Times New Roman" w:cstheme="minorHAnsi"/>
        </w:rPr>
        <w:t>il ressort de l</w:t>
      </w:r>
      <w:r w:rsidRPr="00710766" w:rsidR="00710766">
        <w:rPr>
          <w:rFonts w:eastAsia="Times New Roman" w:cstheme="minorHAnsi"/>
        </w:rPr>
        <w:t>’</w:t>
      </w:r>
      <w:r w:rsidRPr="00710766">
        <w:rPr>
          <w:rFonts w:eastAsia="Times New Roman" w:cstheme="minorHAnsi"/>
        </w:rPr>
        <w:t>ordonnance de mise en détention du requérant que les autorités judiciaires internes d</w:t>
      </w:r>
      <w:r w:rsidRPr="00710766" w:rsidR="00710766">
        <w:rPr>
          <w:rFonts w:eastAsia="Times New Roman" w:cstheme="minorHAnsi"/>
        </w:rPr>
        <w:t>’</w:t>
      </w:r>
      <w:r w:rsidRPr="00710766">
        <w:rPr>
          <w:rFonts w:eastAsia="Times New Roman" w:cstheme="minorHAnsi"/>
        </w:rPr>
        <w:t>une part ont ignoré les arguments du requérant consistant à dire qu</w:t>
      </w:r>
      <w:r w:rsidRPr="00710766" w:rsidR="00710766">
        <w:rPr>
          <w:rFonts w:eastAsia="Times New Roman" w:cstheme="minorHAnsi"/>
        </w:rPr>
        <w:t>’</w:t>
      </w:r>
      <w:r w:rsidRPr="00710766">
        <w:rPr>
          <w:rFonts w:eastAsia="Times New Roman" w:cstheme="minorHAnsi"/>
        </w:rPr>
        <w:t>il était maire, qu</w:t>
      </w:r>
      <w:r w:rsidRPr="00710766" w:rsidR="00710766">
        <w:rPr>
          <w:rFonts w:eastAsia="Times New Roman" w:cstheme="minorHAnsi"/>
        </w:rPr>
        <w:t>’</w:t>
      </w:r>
      <w:r w:rsidRPr="00710766">
        <w:rPr>
          <w:rFonts w:eastAsia="Times New Roman" w:cstheme="minorHAnsi"/>
        </w:rPr>
        <w:t>il avait un domicile fixe et qu</w:t>
      </w:r>
      <w:r w:rsidRPr="00710766" w:rsidR="00710766">
        <w:rPr>
          <w:rFonts w:eastAsia="Times New Roman" w:cstheme="minorHAnsi"/>
        </w:rPr>
        <w:t>’</w:t>
      </w:r>
      <w:r w:rsidRPr="00710766">
        <w:rPr>
          <w:rFonts w:eastAsia="Times New Roman" w:cstheme="minorHAnsi"/>
        </w:rPr>
        <w:t>il ne s</w:t>
      </w:r>
      <w:r w:rsidRPr="00710766" w:rsidR="00710766">
        <w:rPr>
          <w:rFonts w:eastAsia="Times New Roman" w:cstheme="minorHAnsi"/>
        </w:rPr>
        <w:t>’</w:t>
      </w:r>
      <w:r w:rsidRPr="00710766">
        <w:rPr>
          <w:rFonts w:eastAsia="Times New Roman" w:cstheme="minorHAnsi"/>
        </w:rPr>
        <w:t>était pas soustrait à la justice, et d</w:t>
      </w:r>
      <w:r w:rsidRPr="00710766" w:rsidR="00710766">
        <w:rPr>
          <w:rFonts w:eastAsia="Times New Roman" w:cstheme="minorHAnsi"/>
        </w:rPr>
        <w:t>’</w:t>
      </w:r>
      <w:r w:rsidRPr="00710766">
        <w:rPr>
          <w:rFonts w:eastAsia="Times New Roman" w:cstheme="minorHAnsi"/>
        </w:rPr>
        <w:t>autre part n</w:t>
      </w:r>
      <w:r w:rsidRPr="00710766" w:rsidR="00710766">
        <w:rPr>
          <w:rFonts w:eastAsia="Times New Roman" w:cstheme="minorHAnsi"/>
        </w:rPr>
        <w:t>’</w:t>
      </w:r>
      <w:r w:rsidRPr="00710766">
        <w:rPr>
          <w:rFonts w:eastAsia="Times New Roman" w:cstheme="minorHAnsi"/>
        </w:rPr>
        <w:t>ont ni tenu compte de la possibilité de mettre en place des mesures alternatives à la détention provisoire, ni expliqué en quoi pareilles mesures n</w:t>
      </w:r>
      <w:r w:rsidRPr="00710766" w:rsidR="00710766">
        <w:rPr>
          <w:rFonts w:eastAsia="Times New Roman" w:cstheme="minorHAnsi"/>
        </w:rPr>
        <w:t>’</w:t>
      </w:r>
      <w:r w:rsidRPr="00710766">
        <w:rPr>
          <w:rFonts w:eastAsia="Times New Roman" w:cstheme="minorHAnsi"/>
        </w:rPr>
        <w:t>auraient pas pu être mises en œuvre concernant le requérant. La Cour conclut dès lors que les motivations avancées par le juge de paix dans sa décision relative à la mise en détention provisoire du requérant ne permettent pas de penser que cette mesure a été utilisée – au regard de la situation de l</w:t>
      </w:r>
      <w:r w:rsidRPr="00710766" w:rsidR="00710766">
        <w:rPr>
          <w:rFonts w:eastAsia="Times New Roman" w:cstheme="minorHAnsi"/>
        </w:rPr>
        <w:t>’</w:t>
      </w:r>
      <w:r w:rsidRPr="00710766">
        <w:rPr>
          <w:rFonts w:eastAsia="Times New Roman" w:cstheme="minorHAnsi"/>
        </w:rPr>
        <w:t>intéressé – en dernier recours, comme l</w:t>
      </w:r>
      <w:r w:rsidRPr="00710766" w:rsidR="00710766">
        <w:rPr>
          <w:rFonts w:eastAsia="Times New Roman" w:cstheme="minorHAnsi"/>
        </w:rPr>
        <w:t>’</w:t>
      </w:r>
      <w:r w:rsidRPr="00710766">
        <w:rPr>
          <w:rFonts w:eastAsia="Times New Roman" w:cstheme="minorHAnsi"/>
        </w:rPr>
        <w:t xml:space="preserve">exigeait le droit interne (voir, dans le même sens, </w:t>
      </w:r>
      <w:proofErr w:type="spellStart"/>
      <w:r w:rsidRPr="00710766">
        <w:rPr>
          <w:rFonts w:eastAsia="Times New Roman" w:cstheme="minorHAnsi"/>
          <w:i/>
          <w:iCs/>
        </w:rPr>
        <w:t>Lütfiye</w:t>
      </w:r>
      <w:proofErr w:type="spellEnd"/>
      <w:r w:rsidRPr="00710766">
        <w:rPr>
          <w:rFonts w:eastAsia="Times New Roman" w:cstheme="minorHAnsi"/>
          <w:i/>
          <w:iCs/>
        </w:rPr>
        <w:t xml:space="preserve"> </w:t>
      </w:r>
      <w:proofErr w:type="spellStart"/>
      <w:r w:rsidRPr="00710766">
        <w:rPr>
          <w:rFonts w:eastAsia="Times New Roman" w:cstheme="minorHAnsi"/>
          <w:i/>
          <w:iCs/>
        </w:rPr>
        <w:t>Zengin</w:t>
      </w:r>
      <w:proofErr w:type="spellEnd"/>
      <w:r w:rsidRPr="00710766">
        <w:rPr>
          <w:rFonts w:eastAsia="Times New Roman" w:cstheme="minorHAnsi"/>
          <w:i/>
          <w:iCs/>
        </w:rPr>
        <w:t xml:space="preserve"> et autres c. Turquie</w:t>
      </w:r>
      <w:r w:rsidRPr="00710766">
        <w:rPr>
          <w:rFonts w:eastAsia="Times New Roman" w:cstheme="minorHAnsi"/>
        </w:rPr>
        <w:t>, n</w:t>
      </w:r>
      <w:r w:rsidRPr="00710766">
        <w:rPr>
          <w:rFonts w:eastAsia="Times New Roman" w:cstheme="minorHAnsi"/>
          <w:vertAlign w:val="superscript"/>
        </w:rPr>
        <w:t>o</w:t>
      </w:r>
      <w:r w:rsidRPr="00710766">
        <w:rPr>
          <w:rFonts w:eastAsia="Times New Roman" w:cstheme="minorHAnsi"/>
        </w:rPr>
        <w:t> 36443/06, § 88, 14 avril 2015).</w:t>
      </w:r>
    </w:p>
    <w:p w:rsidRPr="00710766" w:rsidR="002A531E" w:rsidP="00710766" w:rsidRDefault="002A531E" w14:paraId="734AC6F4" w14:textId="623C7BC6">
      <w:pPr>
        <w:pStyle w:val="JuPara"/>
        <w:rPr>
          <w:rFonts w:eastAsia="Times New Roman" w:cstheme="minorHAnsi"/>
        </w:rPr>
      </w:pPr>
      <w:r w:rsidRPr="00710766">
        <w:rPr>
          <w:rFonts w:eastAsia="Times New Roman" w:cstheme="minorHAnsi"/>
        </w:rPr>
        <w:fldChar w:fldCharType="begin"/>
      </w:r>
      <w:r w:rsidRPr="00710766">
        <w:rPr>
          <w:rFonts w:eastAsia="Times New Roman" w:cstheme="minorHAnsi"/>
        </w:rPr>
        <w:instrText xml:space="preserve"> SEQ level0 \*arabic </w:instrText>
      </w:r>
      <w:r w:rsidRPr="00710766">
        <w:rPr>
          <w:rFonts w:eastAsia="Times New Roman" w:cstheme="minorHAnsi"/>
        </w:rPr>
        <w:fldChar w:fldCharType="separate"/>
      </w:r>
      <w:r w:rsidRPr="00710766" w:rsidR="00710766">
        <w:rPr>
          <w:rFonts w:eastAsia="Times New Roman" w:cstheme="minorHAnsi"/>
          <w:noProof/>
        </w:rPr>
        <w:t>56</w:t>
      </w:r>
      <w:r w:rsidRPr="00710766">
        <w:rPr>
          <w:rFonts w:eastAsia="Times New Roman" w:cstheme="minorHAnsi"/>
        </w:rPr>
        <w:fldChar w:fldCharType="end"/>
      </w:r>
      <w:r w:rsidRPr="00710766">
        <w:rPr>
          <w:rFonts w:eastAsia="Times New Roman" w:cstheme="minorHAnsi"/>
        </w:rPr>
        <w:t>.  Certes, la Cour constitutionnelle a examiné la proportionnalité de la mesure en question dans son arrêt du 11 octobre 2018, soit un an et onze mois environ après la mise en détention provisoire du requérant. Cependant, étant donné qu</w:t>
      </w:r>
      <w:r w:rsidRPr="00710766" w:rsidR="00710766">
        <w:rPr>
          <w:rFonts w:eastAsia="Times New Roman" w:cstheme="minorHAnsi"/>
        </w:rPr>
        <w:t>’</w:t>
      </w:r>
      <w:r w:rsidRPr="00710766">
        <w:rPr>
          <w:rFonts w:eastAsia="Times New Roman" w:cstheme="minorHAnsi"/>
        </w:rPr>
        <w:t>elle a rejeté le recours du requérant, elle ne s</w:t>
      </w:r>
      <w:r w:rsidRPr="00710766" w:rsidR="00710766">
        <w:rPr>
          <w:rFonts w:eastAsia="Times New Roman" w:cstheme="minorHAnsi"/>
        </w:rPr>
        <w:t>’</w:t>
      </w:r>
      <w:r w:rsidRPr="00710766">
        <w:rPr>
          <w:rFonts w:eastAsia="Times New Roman" w:cstheme="minorHAnsi"/>
        </w:rPr>
        <w:t>est pas prononcée sur le caractère stéréotypé et abstrait des motifs exposés par les juridictions nationales, lesquelles s</w:t>
      </w:r>
      <w:r w:rsidRPr="00710766" w:rsidR="00710766">
        <w:rPr>
          <w:rFonts w:eastAsia="Times New Roman" w:cstheme="minorHAnsi"/>
        </w:rPr>
        <w:t>’</w:t>
      </w:r>
      <w:r w:rsidRPr="00710766">
        <w:rPr>
          <w:rFonts w:eastAsia="Times New Roman" w:cstheme="minorHAnsi"/>
        </w:rPr>
        <w:t>étaient contentées de justifier leur refus de recourir à des mesures alternatives en évoquant simplement la gravité de la peine encourue.</w:t>
      </w:r>
    </w:p>
    <w:p w:rsidRPr="00710766" w:rsidR="002A531E" w:rsidP="00710766" w:rsidRDefault="002A531E" w14:paraId="16BF8511" w14:textId="77777777">
      <w:pPr>
        <w:pStyle w:val="JuHa0"/>
        <w:rPr>
          <w:rFonts w:eastAsia="Times New Roman" w:cstheme="minorHAnsi"/>
        </w:rPr>
      </w:pPr>
      <w:r w:rsidRPr="00710766">
        <w:t>Conclusion</w:t>
      </w:r>
    </w:p>
    <w:p w:rsidRPr="00710766" w:rsidR="002A531E" w:rsidP="00710766" w:rsidRDefault="002A531E" w14:paraId="4C608B8E" w14:textId="69E31A0A">
      <w:pPr>
        <w:pStyle w:val="JuPara"/>
        <w:rPr>
          <w:rFonts w:eastAsia="Times New Roman" w:cstheme="minorHAnsi"/>
        </w:rPr>
      </w:pPr>
      <w:r w:rsidRPr="00710766">
        <w:rPr>
          <w:rFonts w:eastAsia="Times New Roman" w:cstheme="minorHAnsi"/>
        </w:rPr>
        <w:fldChar w:fldCharType="begin"/>
      </w:r>
      <w:r w:rsidRPr="00710766">
        <w:rPr>
          <w:rFonts w:eastAsia="Times New Roman" w:cstheme="minorHAnsi"/>
        </w:rPr>
        <w:instrText xml:space="preserve"> SEQ level0 \*arabic </w:instrText>
      </w:r>
      <w:r w:rsidRPr="00710766">
        <w:rPr>
          <w:rFonts w:eastAsia="Times New Roman" w:cstheme="minorHAnsi"/>
        </w:rPr>
        <w:fldChar w:fldCharType="separate"/>
      </w:r>
      <w:r w:rsidRPr="00710766" w:rsidR="00710766">
        <w:rPr>
          <w:rFonts w:eastAsia="Times New Roman" w:cstheme="minorHAnsi"/>
          <w:noProof/>
        </w:rPr>
        <w:t>57</w:t>
      </w:r>
      <w:r w:rsidRPr="00710766">
        <w:rPr>
          <w:rFonts w:eastAsia="Times New Roman" w:cstheme="minorHAnsi"/>
        </w:rPr>
        <w:fldChar w:fldCharType="end"/>
      </w:r>
      <w:r w:rsidRPr="00710766">
        <w:rPr>
          <w:rFonts w:eastAsia="Times New Roman" w:cstheme="minorHAnsi"/>
        </w:rPr>
        <w:t>.  Au vu de ce qui précède, la Cour considère qu</w:t>
      </w:r>
      <w:r w:rsidRPr="00710766" w:rsidR="00710766">
        <w:rPr>
          <w:rFonts w:eastAsia="Times New Roman" w:cstheme="minorHAnsi"/>
        </w:rPr>
        <w:t>’</w:t>
      </w:r>
      <w:r w:rsidRPr="00710766">
        <w:rPr>
          <w:rFonts w:eastAsia="Times New Roman" w:cstheme="minorHAnsi"/>
        </w:rPr>
        <w:t>en s</w:t>
      </w:r>
      <w:r w:rsidRPr="00710766" w:rsidR="00710766">
        <w:rPr>
          <w:rFonts w:eastAsia="Times New Roman" w:cstheme="minorHAnsi"/>
        </w:rPr>
        <w:t>’</w:t>
      </w:r>
      <w:r w:rsidRPr="00710766">
        <w:rPr>
          <w:rFonts w:eastAsia="Times New Roman" w:cstheme="minorHAnsi"/>
        </w:rPr>
        <w:t>abstenant d</w:t>
      </w:r>
      <w:r w:rsidRPr="00710766" w:rsidR="00710766">
        <w:rPr>
          <w:rFonts w:eastAsia="Times New Roman" w:cstheme="minorHAnsi"/>
        </w:rPr>
        <w:t>’</w:t>
      </w:r>
      <w:r w:rsidRPr="00710766">
        <w:rPr>
          <w:rFonts w:eastAsia="Times New Roman" w:cstheme="minorHAnsi"/>
        </w:rPr>
        <w:t>évoquer des faits précis et d</w:t>
      </w:r>
      <w:r w:rsidRPr="00710766" w:rsidR="00710766">
        <w:rPr>
          <w:rFonts w:eastAsia="Times New Roman" w:cstheme="minorHAnsi"/>
        </w:rPr>
        <w:t>’</w:t>
      </w:r>
      <w:r w:rsidRPr="00710766">
        <w:rPr>
          <w:rFonts w:eastAsia="Times New Roman" w:cstheme="minorHAnsi"/>
        </w:rPr>
        <w:t>envisager d</w:t>
      </w:r>
      <w:r w:rsidRPr="00710766" w:rsidR="00710766">
        <w:rPr>
          <w:rFonts w:eastAsia="Times New Roman" w:cstheme="minorHAnsi"/>
        </w:rPr>
        <w:t>’</w:t>
      </w:r>
      <w:r w:rsidRPr="00710766">
        <w:rPr>
          <w:rFonts w:eastAsia="Times New Roman" w:cstheme="minorHAnsi"/>
        </w:rPr>
        <w:t>autres « mesures préventives », et en s</w:t>
      </w:r>
      <w:r w:rsidRPr="00710766" w:rsidR="00710766">
        <w:rPr>
          <w:rFonts w:eastAsia="Times New Roman" w:cstheme="minorHAnsi"/>
        </w:rPr>
        <w:t>’</w:t>
      </w:r>
      <w:r w:rsidRPr="00710766">
        <w:rPr>
          <w:rFonts w:eastAsia="Times New Roman" w:cstheme="minorHAnsi"/>
        </w:rPr>
        <w:t>appuyant essentiellement et systématiquement sur la nature de l</w:t>
      </w:r>
      <w:r w:rsidRPr="00710766" w:rsidR="00710766">
        <w:rPr>
          <w:rFonts w:eastAsia="Times New Roman" w:cstheme="minorHAnsi"/>
        </w:rPr>
        <w:t>’</w:t>
      </w:r>
      <w:r w:rsidRPr="00710766">
        <w:rPr>
          <w:rFonts w:eastAsia="Times New Roman" w:cstheme="minorHAnsi"/>
        </w:rPr>
        <w:t>infraction ou la gravité des charges, les autorités ont ordonné la mise en détention provisoire du requérant pour des motifs qui, bien que « pertinents », ne sauraient passer pour « suffisants ».</w:t>
      </w:r>
    </w:p>
    <w:bookmarkStart w:name="paragraph49" w:id="27"/>
    <w:p w:rsidRPr="00710766" w:rsidR="002A531E" w:rsidP="00710766" w:rsidRDefault="002A531E" w14:paraId="2ED6B123" w14:textId="3A54803A">
      <w:pPr>
        <w:pStyle w:val="JuPara"/>
        <w:rPr>
          <w:rFonts w:eastAsia="Times New Roman" w:cstheme="minorHAnsi"/>
        </w:rPr>
      </w:pPr>
      <w:r w:rsidRPr="00710766">
        <w:rPr>
          <w:rFonts w:eastAsia="Times New Roman" w:cstheme="minorHAnsi"/>
        </w:rPr>
        <w:fldChar w:fldCharType="begin"/>
      </w:r>
      <w:r w:rsidRPr="00710766">
        <w:rPr>
          <w:rFonts w:eastAsia="Times New Roman" w:cstheme="minorHAnsi"/>
        </w:rPr>
        <w:instrText xml:space="preserve"> SEQ level0 \*arabic </w:instrText>
      </w:r>
      <w:r w:rsidRPr="00710766">
        <w:rPr>
          <w:rFonts w:eastAsia="Times New Roman" w:cstheme="minorHAnsi"/>
        </w:rPr>
        <w:fldChar w:fldCharType="separate"/>
      </w:r>
      <w:r w:rsidRPr="00710766" w:rsidR="00710766">
        <w:rPr>
          <w:rFonts w:eastAsia="Times New Roman" w:cstheme="minorHAnsi"/>
          <w:noProof/>
        </w:rPr>
        <w:t>58</w:t>
      </w:r>
      <w:r w:rsidRPr="00710766">
        <w:rPr>
          <w:rFonts w:eastAsia="Times New Roman" w:cstheme="minorHAnsi"/>
        </w:rPr>
        <w:fldChar w:fldCharType="end"/>
      </w:r>
      <w:bookmarkEnd w:id="27"/>
      <w:r w:rsidRPr="00710766">
        <w:rPr>
          <w:rFonts w:eastAsia="Times New Roman" w:cstheme="minorHAnsi"/>
        </w:rPr>
        <w:t>.  À la lumière de ce qui précède, la Cour conclut qu</w:t>
      </w:r>
      <w:r w:rsidRPr="00710766" w:rsidR="00710766">
        <w:rPr>
          <w:rFonts w:eastAsia="Times New Roman" w:cstheme="minorHAnsi"/>
        </w:rPr>
        <w:t>’</w:t>
      </w:r>
      <w:r w:rsidRPr="00710766">
        <w:rPr>
          <w:rFonts w:eastAsia="Times New Roman" w:cstheme="minorHAnsi"/>
        </w:rPr>
        <w:t>il n</w:t>
      </w:r>
      <w:r w:rsidRPr="00710766" w:rsidR="00710766">
        <w:rPr>
          <w:rFonts w:eastAsia="Times New Roman" w:cstheme="minorHAnsi"/>
        </w:rPr>
        <w:t>’</w:t>
      </w:r>
      <w:r w:rsidRPr="00710766">
        <w:rPr>
          <w:rFonts w:eastAsia="Times New Roman" w:cstheme="minorHAnsi"/>
        </w:rPr>
        <w:t>existait pas de motifs suffisants pour ordonner la privation de liberté du requérant dans l</w:t>
      </w:r>
      <w:r w:rsidRPr="00710766" w:rsidR="00710766">
        <w:rPr>
          <w:rFonts w:eastAsia="Times New Roman" w:cstheme="minorHAnsi"/>
        </w:rPr>
        <w:t>’</w:t>
      </w:r>
      <w:r w:rsidRPr="00710766">
        <w:rPr>
          <w:rFonts w:eastAsia="Times New Roman" w:cstheme="minorHAnsi"/>
        </w:rPr>
        <w:t>attente de son jugement. Pour ce qui est des décisions relatives au maintien du requérant en détention provisoire, la Cour ne voit aucune raison de s</w:t>
      </w:r>
      <w:r w:rsidRPr="00710766" w:rsidR="00710766">
        <w:rPr>
          <w:rFonts w:eastAsia="Times New Roman" w:cstheme="minorHAnsi"/>
        </w:rPr>
        <w:t>’</w:t>
      </w:r>
      <w:r w:rsidRPr="00710766">
        <w:rPr>
          <w:rFonts w:eastAsia="Times New Roman" w:cstheme="minorHAnsi"/>
        </w:rPr>
        <w:t>écarter de la conclusion à laquelle elle est parvenue concernant la mise en détention provisoire de l</w:t>
      </w:r>
      <w:r w:rsidRPr="00710766" w:rsidR="00710766">
        <w:rPr>
          <w:rFonts w:eastAsia="Times New Roman" w:cstheme="minorHAnsi"/>
        </w:rPr>
        <w:t>’</w:t>
      </w:r>
      <w:r w:rsidRPr="00710766">
        <w:rPr>
          <w:rFonts w:eastAsia="Times New Roman" w:cstheme="minorHAnsi"/>
        </w:rPr>
        <w:t>intéressé. Elle estime utile de souligner à ce propos qu</w:t>
      </w:r>
      <w:r w:rsidRPr="00710766" w:rsidR="00710766">
        <w:rPr>
          <w:rFonts w:eastAsia="Times New Roman" w:cstheme="minorHAnsi"/>
        </w:rPr>
        <w:t>’</w:t>
      </w:r>
      <w:r w:rsidRPr="00710766">
        <w:rPr>
          <w:rFonts w:eastAsia="Times New Roman" w:cstheme="minorHAnsi"/>
        </w:rPr>
        <w:t>il ne faut pas en la matière renverser la charge de la preuve pour faire peser sur la personne détenue l</w:t>
      </w:r>
      <w:r w:rsidRPr="00710766" w:rsidR="00710766">
        <w:rPr>
          <w:rFonts w:eastAsia="Times New Roman" w:cstheme="minorHAnsi"/>
        </w:rPr>
        <w:t>’</w:t>
      </w:r>
      <w:r w:rsidRPr="00710766">
        <w:rPr>
          <w:rFonts w:eastAsia="Times New Roman" w:cstheme="minorHAnsi"/>
        </w:rPr>
        <w:t>obligation de démontrer l</w:t>
      </w:r>
      <w:r w:rsidRPr="00710766" w:rsidR="00710766">
        <w:rPr>
          <w:rFonts w:eastAsia="Times New Roman" w:cstheme="minorHAnsi"/>
        </w:rPr>
        <w:t>’</w:t>
      </w:r>
      <w:r w:rsidRPr="00710766">
        <w:rPr>
          <w:rFonts w:eastAsia="Times New Roman" w:cstheme="minorHAnsi"/>
        </w:rPr>
        <w:t>existence de raisons de la libérer (</w:t>
      </w:r>
      <w:proofErr w:type="spellStart"/>
      <w:r w:rsidRPr="00710766">
        <w:rPr>
          <w:rFonts w:eastAsia="Times New Roman" w:cstheme="minorHAnsi"/>
          <w:i/>
          <w:iCs/>
        </w:rPr>
        <w:t>Bykov</w:t>
      </w:r>
      <w:proofErr w:type="spellEnd"/>
      <w:r w:rsidRPr="00710766">
        <w:rPr>
          <w:rFonts w:eastAsia="Times New Roman" w:cstheme="minorHAnsi"/>
          <w:i/>
          <w:iCs/>
        </w:rPr>
        <w:t xml:space="preserve"> c. Russie</w:t>
      </w:r>
      <w:r w:rsidRPr="00710766">
        <w:rPr>
          <w:rFonts w:eastAsia="Times New Roman" w:cstheme="minorHAnsi"/>
        </w:rPr>
        <w:t xml:space="preserve"> [GC], n</w:t>
      </w:r>
      <w:r w:rsidRPr="00710766">
        <w:rPr>
          <w:rFonts w:eastAsia="Times New Roman" w:cstheme="minorHAnsi"/>
          <w:vertAlign w:val="superscript"/>
        </w:rPr>
        <w:t>o</w:t>
      </w:r>
      <w:r w:rsidRPr="00710766">
        <w:rPr>
          <w:rFonts w:eastAsia="Times New Roman" w:cstheme="minorHAnsi"/>
        </w:rPr>
        <w:t> 4378/02, § 64, 10 mars 2009). En outre, il n</w:t>
      </w:r>
      <w:r w:rsidRPr="00710766" w:rsidR="00710766">
        <w:rPr>
          <w:rFonts w:eastAsia="Times New Roman" w:cstheme="minorHAnsi"/>
        </w:rPr>
        <w:t>’</w:t>
      </w:r>
      <w:r w:rsidRPr="00710766">
        <w:rPr>
          <w:rFonts w:eastAsia="Times New Roman" w:cstheme="minorHAnsi"/>
        </w:rPr>
        <w:t>est pas établi que le manquement aux exigences décrites ci-dessus pouvait être justifié par la dérogation communiquée par la Turquie.</w:t>
      </w:r>
    </w:p>
    <w:p w:rsidRPr="00710766" w:rsidR="002A531E" w:rsidP="00710766" w:rsidRDefault="002A531E" w14:paraId="7D564A6D" w14:textId="50B9FD2D">
      <w:pPr>
        <w:pStyle w:val="JuPara"/>
      </w:pPr>
      <w:r w:rsidRPr="00710766">
        <w:rPr>
          <w:rFonts w:eastAsia="Times New Roman" w:cstheme="minorHAnsi"/>
        </w:rPr>
        <w:t>Il y a donc eu en l</w:t>
      </w:r>
      <w:r w:rsidRPr="00710766" w:rsidR="00710766">
        <w:rPr>
          <w:rFonts w:eastAsia="Times New Roman" w:cstheme="minorHAnsi"/>
        </w:rPr>
        <w:t>’</w:t>
      </w:r>
      <w:r w:rsidRPr="00710766">
        <w:rPr>
          <w:rFonts w:eastAsia="Times New Roman" w:cstheme="minorHAnsi"/>
        </w:rPr>
        <w:t>espèce violation de l</w:t>
      </w:r>
      <w:r w:rsidRPr="00710766" w:rsidR="00710766">
        <w:rPr>
          <w:rFonts w:eastAsia="Times New Roman" w:cstheme="minorHAnsi"/>
        </w:rPr>
        <w:t>’</w:t>
      </w:r>
      <w:r w:rsidRPr="00710766">
        <w:rPr>
          <w:rFonts w:eastAsia="Times New Roman" w:cstheme="minorHAnsi"/>
        </w:rPr>
        <w:t>article 5 § 3 de la Convention</w:t>
      </w:r>
      <w:r w:rsidRPr="00710766">
        <w:t xml:space="preserve"> à raison de l</w:t>
      </w:r>
      <w:r w:rsidRPr="00710766" w:rsidR="00710766">
        <w:t>’</w:t>
      </w:r>
      <w:r w:rsidRPr="00710766">
        <w:t>absence de motifs suffisants de placer et maintenir le requérant en détention provisoire. Compte tenu de cette conclusion, elle n</w:t>
      </w:r>
      <w:r w:rsidRPr="00710766" w:rsidR="00710766">
        <w:t>’</w:t>
      </w:r>
      <w:r w:rsidRPr="00710766">
        <w:t>estime pas nécessaire d</w:t>
      </w:r>
      <w:r w:rsidRPr="00710766" w:rsidR="00710766">
        <w:t>’</w:t>
      </w:r>
      <w:r w:rsidRPr="00710766">
        <w:t>examiner d</w:t>
      </w:r>
      <w:r w:rsidRPr="00710766" w:rsidR="00710766">
        <w:t>’</w:t>
      </w:r>
      <w:r w:rsidRPr="00710766">
        <w:t>autres aspects du grief tiré de cette disposition.</w:t>
      </w:r>
    </w:p>
    <w:p w:rsidRPr="00710766" w:rsidR="002A531E" w:rsidP="00710766" w:rsidRDefault="002A531E" w14:paraId="72723912" w14:textId="4D9E8B1A">
      <w:pPr>
        <w:pStyle w:val="JuHIRoman"/>
      </w:pPr>
      <w:bookmarkStart w:name="_Hlk36127770" w:id="28"/>
      <w:bookmarkEnd w:id="17"/>
      <w:bookmarkEnd w:id="23"/>
      <w:r w:rsidRPr="00710766">
        <w:t>SUR LA VIOLATION ALLÉGUÉE DE L</w:t>
      </w:r>
      <w:r w:rsidRPr="00710766" w:rsidR="00710766">
        <w:t>’</w:t>
      </w:r>
      <w:r w:rsidRPr="00710766">
        <w:t>ARTICLE 10 DE LA CONVENTION</w:t>
      </w:r>
      <w:bookmarkEnd w:id="28"/>
    </w:p>
    <w:p w:rsidRPr="00710766" w:rsidR="002A531E" w:rsidP="00710766" w:rsidRDefault="002A531E" w14:paraId="230462F3" w14:textId="056ABD6A">
      <w:pPr>
        <w:pStyle w:val="JuPara"/>
      </w:pPr>
      <w:r w:rsidRPr="00710766">
        <w:fldChar w:fldCharType="begin"/>
      </w:r>
      <w:r w:rsidRPr="00710766">
        <w:instrText xml:space="preserve"> SEQ level0 \*arabic </w:instrText>
      </w:r>
      <w:r w:rsidRPr="00710766">
        <w:fldChar w:fldCharType="separate"/>
      </w:r>
      <w:r w:rsidRPr="00710766" w:rsidR="00710766">
        <w:rPr>
          <w:noProof/>
        </w:rPr>
        <w:t>59</w:t>
      </w:r>
      <w:r w:rsidRPr="00710766">
        <w:fldChar w:fldCharType="end"/>
      </w:r>
      <w:r w:rsidRPr="00710766">
        <w:t>.  </w:t>
      </w:r>
      <w:bookmarkStart w:name="_Hlk36127792" w:id="29"/>
      <w:r w:rsidRPr="00710766">
        <w:t>Le requérant allègue que sa mise et son maintien en détention provisoire dans le cadre des poursuites pénales dont il avait fait l</w:t>
      </w:r>
      <w:r w:rsidRPr="00710766" w:rsidR="00710766">
        <w:t>’</w:t>
      </w:r>
      <w:r w:rsidRPr="00710766">
        <w:t>objet pour avoir fait des déclarations publiques ou assisté à certains rassemblements s</w:t>
      </w:r>
      <w:r w:rsidRPr="00710766" w:rsidR="00710766">
        <w:t>’</w:t>
      </w:r>
      <w:r w:rsidRPr="00710766">
        <w:t>analysent en une atteinte à son droit à la liberté d</w:t>
      </w:r>
      <w:r w:rsidRPr="00710766" w:rsidR="00710766">
        <w:t>’</w:t>
      </w:r>
      <w:r w:rsidRPr="00710766">
        <w:t>expression. Il invoque l</w:t>
      </w:r>
      <w:r w:rsidRPr="00710766" w:rsidR="00710766">
        <w:t>’</w:t>
      </w:r>
      <w:r w:rsidRPr="00710766">
        <w:t>article 10 de la Convention, qui est ainsi libellé :</w:t>
      </w:r>
    </w:p>
    <w:p w:rsidRPr="00710766" w:rsidR="002A531E" w:rsidP="00710766" w:rsidRDefault="002A531E" w14:paraId="7A54BE0B" w14:textId="55E7D0A7">
      <w:pPr>
        <w:pStyle w:val="JuQuot"/>
      </w:pPr>
      <w:r w:rsidRPr="00710766">
        <w:t>« 1.  Toute personne a droit à la liberté d</w:t>
      </w:r>
      <w:r w:rsidRPr="00710766" w:rsidR="00710766">
        <w:t>’</w:t>
      </w:r>
      <w:r w:rsidRPr="00710766">
        <w:t>expression. Ce droit comprend la liberté d</w:t>
      </w:r>
      <w:r w:rsidRPr="00710766" w:rsidR="00710766">
        <w:t>’</w:t>
      </w:r>
      <w:r w:rsidRPr="00710766">
        <w:t>opinion et la liberté de recevoir ou de communiquer des informations ou des idées sans qu</w:t>
      </w:r>
      <w:r w:rsidRPr="00710766" w:rsidR="00710766">
        <w:t>’</w:t>
      </w:r>
      <w:r w:rsidRPr="00710766">
        <w:t>il puisse y avoir ingérence d</w:t>
      </w:r>
      <w:r w:rsidRPr="00710766" w:rsidR="00710766">
        <w:t>’</w:t>
      </w:r>
      <w:r w:rsidRPr="00710766">
        <w:t>autorités publiques et sans considération de frontière. Le présent article n</w:t>
      </w:r>
      <w:r w:rsidRPr="00710766" w:rsidR="00710766">
        <w:t>’</w:t>
      </w:r>
      <w:r w:rsidRPr="00710766">
        <w:t>empêche pas les États de soumettre les entreprises de radiodiffusion, de cinéma ou de télévision à un régime d</w:t>
      </w:r>
      <w:r w:rsidRPr="00710766" w:rsidR="00710766">
        <w:t>’</w:t>
      </w:r>
      <w:r w:rsidRPr="00710766">
        <w:t>autorisations.</w:t>
      </w:r>
    </w:p>
    <w:p w:rsidRPr="00710766" w:rsidR="002A531E" w:rsidP="00710766" w:rsidRDefault="002A531E" w14:paraId="200BADED" w14:textId="2D76E6AA">
      <w:pPr>
        <w:pStyle w:val="JuQuot"/>
      </w:pPr>
      <w:r w:rsidRPr="00710766">
        <w:t>2.  L</w:t>
      </w:r>
      <w:r w:rsidRPr="00710766" w:rsidR="00710766">
        <w:t>’</w:t>
      </w:r>
      <w:r w:rsidRPr="00710766">
        <w:t>exercice de ces libertés comportant des devoirs et des responsabilités peut être soumis à certaines formalités, conditions, restrictions ou sanctions prévues par la loi, qui constituent des mesures nécessaires, dans une société démocratique, à la sécurité nationale, à l</w:t>
      </w:r>
      <w:r w:rsidRPr="00710766" w:rsidR="00710766">
        <w:t>’</w:t>
      </w:r>
      <w:r w:rsidRPr="00710766">
        <w:t>intégrité territoriale ou à la sûreté publique, à la défense de l</w:t>
      </w:r>
      <w:r w:rsidRPr="00710766" w:rsidR="00710766">
        <w:t>’</w:t>
      </w:r>
      <w:r w:rsidRPr="00710766">
        <w:t>ordre et à la prévention du crime, à la protection de la santé ou de la morale, à la protection de la réputation ou des droits d</w:t>
      </w:r>
      <w:r w:rsidRPr="00710766" w:rsidR="00710766">
        <w:t>’</w:t>
      </w:r>
      <w:r w:rsidRPr="00710766">
        <w:t>autrui, pour empêcher la divulgation d</w:t>
      </w:r>
      <w:r w:rsidRPr="00710766" w:rsidR="00710766">
        <w:t>’</w:t>
      </w:r>
      <w:r w:rsidRPr="00710766">
        <w:t>informations confidentielles ou pour garantir l</w:t>
      </w:r>
      <w:r w:rsidRPr="00710766" w:rsidR="00710766">
        <w:t>’</w:t>
      </w:r>
      <w:r w:rsidRPr="00710766">
        <w:t>autorité et l</w:t>
      </w:r>
      <w:r w:rsidRPr="00710766" w:rsidR="00710766">
        <w:t>’</w:t>
      </w:r>
      <w:r w:rsidRPr="00710766">
        <w:t>impartialité du pouvoir judiciaire. »</w:t>
      </w:r>
    </w:p>
    <w:p w:rsidRPr="00710766" w:rsidR="002A531E" w:rsidP="00710766" w:rsidRDefault="002A531E" w14:paraId="7B1C0F5F" w14:textId="77777777">
      <w:pPr>
        <w:pStyle w:val="JuHA"/>
        <w:numPr>
          <w:ilvl w:val="2"/>
          <w:numId w:val="19"/>
        </w:numPr>
      </w:pPr>
      <w:bookmarkStart w:name="_Hlk36127859" w:id="30"/>
      <w:bookmarkEnd w:id="29"/>
      <w:r w:rsidRPr="00710766">
        <w:t>Sur la recevabilité</w:t>
      </w:r>
      <w:bookmarkEnd w:id="30"/>
    </w:p>
    <w:p w:rsidRPr="00710766" w:rsidR="002A531E" w:rsidP="00710766" w:rsidRDefault="002A531E" w14:paraId="7E86AB24" w14:textId="5BAE2624">
      <w:pPr>
        <w:pStyle w:val="JuPara"/>
      </w:pPr>
      <w:r w:rsidRPr="00710766">
        <w:fldChar w:fldCharType="begin"/>
      </w:r>
      <w:r w:rsidRPr="00710766">
        <w:instrText xml:space="preserve"> SEQ level0 \*arabic </w:instrText>
      </w:r>
      <w:r w:rsidRPr="00710766">
        <w:fldChar w:fldCharType="separate"/>
      </w:r>
      <w:r w:rsidRPr="00710766" w:rsidR="00710766">
        <w:rPr>
          <w:noProof/>
        </w:rPr>
        <w:t>60</w:t>
      </w:r>
      <w:r w:rsidRPr="00710766">
        <w:fldChar w:fldCharType="end"/>
      </w:r>
      <w:r w:rsidRPr="00710766">
        <w:t>.  Le Gouvernement excipe du non-épuisement des voies de recours internes au motif que les poursuites pénales engagées contre le requérant sont toujours pendantes. Par ailleurs, il soutient que le requérant ne peut se prétendre victime d</w:t>
      </w:r>
      <w:r w:rsidRPr="00710766" w:rsidR="00710766">
        <w:t>’</w:t>
      </w:r>
      <w:r w:rsidRPr="00710766">
        <w:t>une violation de l</w:t>
      </w:r>
      <w:r w:rsidRPr="00710766" w:rsidR="00710766">
        <w:t>’</w:t>
      </w:r>
      <w:r w:rsidRPr="00710766">
        <w:t>article 10 dans la mesure où aucune condamnation définitive n</w:t>
      </w:r>
      <w:r w:rsidRPr="00710766" w:rsidR="00710766">
        <w:t>’</w:t>
      </w:r>
      <w:r w:rsidRPr="00710766">
        <w:t>a été prononcée à son encontre et où le maintien en détention provisoire du requérant n</w:t>
      </w:r>
      <w:r w:rsidRPr="00710766" w:rsidR="00710766">
        <w:t>’</w:t>
      </w:r>
      <w:r w:rsidRPr="00710766">
        <w:t>était pas susceptible de créer un effet dissuasif sur la liberté d</w:t>
      </w:r>
      <w:r w:rsidRPr="00710766" w:rsidR="00710766">
        <w:t>’</w:t>
      </w:r>
      <w:r w:rsidRPr="00710766">
        <w:t>expression.</w:t>
      </w:r>
    </w:p>
    <w:p w:rsidRPr="00710766" w:rsidR="002A531E" w:rsidP="00710766" w:rsidRDefault="002A531E" w14:paraId="0F607932" w14:textId="4D1D682C">
      <w:pPr>
        <w:pStyle w:val="JuPara"/>
      </w:pPr>
      <w:r w:rsidRPr="00710766">
        <w:fldChar w:fldCharType="begin"/>
      </w:r>
      <w:r w:rsidRPr="00710766">
        <w:instrText xml:space="preserve"> SEQ level0 \*arabic </w:instrText>
      </w:r>
      <w:r w:rsidRPr="00710766">
        <w:fldChar w:fldCharType="separate"/>
      </w:r>
      <w:r w:rsidRPr="00710766" w:rsidR="00710766">
        <w:rPr>
          <w:noProof/>
        </w:rPr>
        <w:t>61</w:t>
      </w:r>
      <w:r w:rsidRPr="00710766">
        <w:fldChar w:fldCharType="end"/>
      </w:r>
      <w:r w:rsidRPr="00710766">
        <w:t>.  Le requérant réfute la thèse du non-épuisement des voies de recours internes.</w:t>
      </w:r>
    </w:p>
    <w:p w:rsidRPr="00710766" w:rsidR="002A531E" w:rsidP="00710766" w:rsidRDefault="002A531E" w14:paraId="0316230C" w14:textId="25FF01BB">
      <w:pPr>
        <w:pStyle w:val="JuPara"/>
      </w:pPr>
      <w:r w:rsidRPr="00710766">
        <w:fldChar w:fldCharType="begin"/>
      </w:r>
      <w:r w:rsidRPr="00710766">
        <w:instrText xml:space="preserve"> SEQ level0 \*arabic </w:instrText>
      </w:r>
      <w:r w:rsidRPr="00710766">
        <w:fldChar w:fldCharType="separate"/>
      </w:r>
      <w:r w:rsidRPr="00710766" w:rsidR="00710766">
        <w:rPr>
          <w:noProof/>
        </w:rPr>
        <w:t>62</w:t>
      </w:r>
      <w:r w:rsidRPr="00710766">
        <w:fldChar w:fldCharType="end"/>
      </w:r>
      <w:r w:rsidRPr="00710766">
        <w:t>.  La Cour estime que les exceptions de non-épuisement des voies de recours internes et de défaut de qualité de victime soulevées par le Gouvernement posent des questions qui sont étroitement liées à l</w:t>
      </w:r>
      <w:r w:rsidRPr="00710766" w:rsidR="00710766">
        <w:t>’</w:t>
      </w:r>
      <w:r w:rsidRPr="00710766">
        <w:t>examen de l</w:t>
      </w:r>
      <w:r w:rsidRPr="00710766" w:rsidR="00710766">
        <w:t>’</w:t>
      </w:r>
      <w:r w:rsidRPr="00710766">
        <w:t>existence d</w:t>
      </w:r>
      <w:r w:rsidRPr="00710766" w:rsidR="00710766">
        <w:t>’</w:t>
      </w:r>
      <w:r w:rsidRPr="00710766">
        <w:t>une ingérence dans l</w:t>
      </w:r>
      <w:r w:rsidRPr="00710766" w:rsidR="00710766">
        <w:t>’</w:t>
      </w:r>
      <w:r w:rsidRPr="00710766">
        <w:t>exercice par le requérant de son droit à la liberté d</w:t>
      </w:r>
      <w:r w:rsidRPr="00710766" w:rsidR="00710766">
        <w:t>’</w:t>
      </w:r>
      <w:r w:rsidRPr="00710766">
        <w:t>expression, et donc à l</w:t>
      </w:r>
      <w:r w:rsidRPr="00710766" w:rsidR="00710766">
        <w:t>’</w:t>
      </w:r>
      <w:r w:rsidRPr="00710766">
        <w:t>examen du bien-fondé du grief formulé sur le terrain de l</w:t>
      </w:r>
      <w:r w:rsidRPr="00710766" w:rsidR="00710766">
        <w:t>’</w:t>
      </w:r>
      <w:r w:rsidRPr="00710766">
        <w:t xml:space="preserve">article 10 de la Convention. Elle décide donc de les joindre au fond (voir, </w:t>
      </w:r>
      <w:r w:rsidRPr="00710766">
        <w:rPr>
          <w:i/>
          <w:iCs/>
        </w:rPr>
        <w:t>mutatis mutandis</w:t>
      </w:r>
      <w:r w:rsidRPr="00710766">
        <w:t xml:space="preserve">, </w:t>
      </w:r>
      <w:r w:rsidRPr="00710766">
        <w:rPr>
          <w:i/>
          <w:iCs/>
        </w:rPr>
        <w:t xml:space="preserve">Atilla </w:t>
      </w:r>
      <w:proofErr w:type="spellStart"/>
      <w:r w:rsidRPr="00710766">
        <w:rPr>
          <w:i/>
          <w:iCs/>
        </w:rPr>
        <w:t>Taş</w:t>
      </w:r>
      <w:proofErr w:type="spellEnd"/>
      <w:r w:rsidRPr="00710766">
        <w:rPr>
          <w:i/>
          <w:iCs/>
        </w:rPr>
        <w:t xml:space="preserve"> c. Turquie</w:t>
      </w:r>
      <w:r w:rsidRPr="00710766">
        <w:t>, n</w:t>
      </w:r>
      <w:r w:rsidRPr="00710766">
        <w:rPr>
          <w:vertAlign w:val="superscript"/>
        </w:rPr>
        <w:t>o</w:t>
      </w:r>
      <w:r w:rsidRPr="00710766">
        <w:t> 72/17</w:t>
      </w:r>
      <w:r w:rsidRPr="00710766">
        <w:rPr>
          <w:snapToGrid w:val="0"/>
        </w:rPr>
        <w:t>, § 168, 19 janvier 2021</w:t>
      </w:r>
      <w:r w:rsidRPr="00710766">
        <w:t>).</w:t>
      </w:r>
    </w:p>
    <w:p w:rsidRPr="00710766" w:rsidR="002A531E" w:rsidP="00710766" w:rsidRDefault="002A531E" w14:paraId="034B3976" w14:textId="1605AA49">
      <w:pPr>
        <w:pStyle w:val="JuPara"/>
      </w:pPr>
      <w:r w:rsidRPr="00710766">
        <w:fldChar w:fldCharType="begin"/>
      </w:r>
      <w:r w:rsidRPr="00710766">
        <w:instrText xml:space="preserve"> SEQ level0 \*arabic </w:instrText>
      </w:r>
      <w:r w:rsidRPr="00710766">
        <w:fldChar w:fldCharType="separate"/>
      </w:r>
      <w:r w:rsidRPr="00710766" w:rsidR="00710766">
        <w:rPr>
          <w:noProof/>
        </w:rPr>
        <w:t>63</w:t>
      </w:r>
      <w:r w:rsidRPr="00710766">
        <w:fldChar w:fldCharType="end"/>
      </w:r>
      <w:r w:rsidRPr="00710766">
        <w:t>.  Constatant par ailleurs que ce grief n</w:t>
      </w:r>
      <w:r w:rsidRPr="00710766" w:rsidR="00710766">
        <w:t>’</w:t>
      </w:r>
      <w:r w:rsidRPr="00710766">
        <w:t>est pas manifestement mal fondé au sens de l</w:t>
      </w:r>
      <w:r w:rsidRPr="00710766" w:rsidR="00710766">
        <w:t>’</w:t>
      </w:r>
      <w:r w:rsidRPr="00710766">
        <w:t>article 35 § 3 de la Convention et qu</w:t>
      </w:r>
      <w:r w:rsidRPr="00710766" w:rsidR="00710766">
        <w:t>’</w:t>
      </w:r>
      <w:r w:rsidRPr="00710766">
        <w:t>il ne se heurte à aucun autre motif d</w:t>
      </w:r>
      <w:r w:rsidRPr="00710766" w:rsidR="00710766">
        <w:t>’</w:t>
      </w:r>
      <w:r w:rsidRPr="00710766">
        <w:t>irrecevabilité, la Cour le déclare recevable.</w:t>
      </w:r>
    </w:p>
    <w:p w:rsidRPr="00710766" w:rsidR="002A531E" w:rsidP="00710766" w:rsidRDefault="002A531E" w14:paraId="77E81CE3" w14:textId="77777777">
      <w:pPr>
        <w:pStyle w:val="JuHA"/>
        <w:numPr>
          <w:ilvl w:val="2"/>
          <w:numId w:val="19"/>
        </w:numPr>
      </w:pPr>
      <w:bookmarkStart w:name="_Hlk36127958" w:id="31"/>
      <w:r w:rsidRPr="00710766">
        <w:t>Sur le fond</w:t>
      </w:r>
      <w:bookmarkEnd w:id="31"/>
    </w:p>
    <w:p w:rsidRPr="00710766" w:rsidR="002A531E" w:rsidP="00710766" w:rsidRDefault="002A531E" w14:paraId="1EA92A12" w14:textId="7830B6DF">
      <w:pPr>
        <w:pStyle w:val="JuPara"/>
      </w:pPr>
      <w:r w:rsidRPr="00710766">
        <w:fldChar w:fldCharType="begin"/>
      </w:r>
      <w:r w:rsidRPr="00710766">
        <w:instrText xml:space="preserve"> SEQ level0 \*arabic </w:instrText>
      </w:r>
      <w:r w:rsidRPr="00710766">
        <w:fldChar w:fldCharType="separate"/>
      </w:r>
      <w:r w:rsidRPr="00710766" w:rsidR="00710766">
        <w:rPr>
          <w:noProof/>
        </w:rPr>
        <w:t>64</w:t>
      </w:r>
      <w:r w:rsidRPr="00710766">
        <w:fldChar w:fldCharType="end"/>
      </w:r>
      <w:r w:rsidRPr="00710766">
        <w:t>.  Le requérant réitère son grief.</w:t>
      </w:r>
    </w:p>
    <w:p w:rsidRPr="00710766" w:rsidR="002A531E" w:rsidP="00710766" w:rsidRDefault="002A531E" w14:paraId="5ABFBF3E" w14:textId="007D1690">
      <w:pPr>
        <w:pStyle w:val="JuPara"/>
      </w:pPr>
      <w:r w:rsidRPr="00710766">
        <w:fldChar w:fldCharType="begin"/>
      </w:r>
      <w:r w:rsidRPr="00710766">
        <w:instrText xml:space="preserve"> SEQ level0 \*arabic </w:instrText>
      </w:r>
      <w:r w:rsidRPr="00710766">
        <w:fldChar w:fldCharType="separate"/>
      </w:r>
      <w:r w:rsidRPr="00710766" w:rsidR="00710766">
        <w:rPr>
          <w:noProof/>
        </w:rPr>
        <w:t>65</w:t>
      </w:r>
      <w:r w:rsidRPr="00710766">
        <w:fldChar w:fldCharType="end"/>
      </w:r>
      <w:r w:rsidRPr="00710766">
        <w:t>.  Le Gouvernement soutient qu</w:t>
      </w:r>
      <w:r w:rsidRPr="00710766" w:rsidR="00710766">
        <w:t>’</w:t>
      </w:r>
      <w:r w:rsidRPr="00710766">
        <w:t>il n</w:t>
      </w:r>
      <w:r w:rsidRPr="00710766" w:rsidR="00710766">
        <w:t>’</w:t>
      </w:r>
      <w:r w:rsidRPr="00710766">
        <w:t>y a pas eu d</w:t>
      </w:r>
      <w:r w:rsidRPr="00710766" w:rsidR="00710766">
        <w:t>’</w:t>
      </w:r>
      <w:r w:rsidRPr="00710766">
        <w:t>atteinte au droit à la liberté d</w:t>
      </w:r>
      <w:r w:rsidRPr="00710766" w:rsidR="00710766">
        <w:t>’</w:t>
      </w:r>
      <w:r w:rsidRPr="00710766">
        <w:t>expression du requérant et que le requérant n</w:t>
      </w:r>
      <w:r w:rsidRPr="00710766" w:rsidR="00710766">
        <w:t>’</w:t>
      </w:r>
      <w:r w:rsidRPr="00710766">
        <w:t>a pas la qualité de victime, aucune condamnation n</w:t>
      </w:r>
      <w:r w:rsidRPr="00710766" w:rsidR="00710766">
        <w:t>’</w:t>
      </w:r>
      <w:r w:rsidRPr="00710766">
        <w:t>ayant encore été prononcée contre lui par les juridictions pénales.</w:t>
      </w:r>
    </w:p>
    <w:p w:rsidRPr="00710766" w:rsidR="002A531E" w:rsidP="00710766" w:rsidRDefault="002A531E" w14:paraId="09188B0A" w14:textId="39F7D456">
      <w:pPr>
        <w:pStyle w:val="JuPara"/>
      </w:pPr>
      <w:r w:rsidRPr="00710766">
        <w:fldChar w:fldCharType="begin"/>
      </w:r>
      <w:r w:rsidRPr="00710766">
        <w:instrText xml:space="preserve"> SEQ level0 \*arabic </w:instrText>
      </w:r>
      <w:r w:rsidRPr="00710766">
        <w:fldChar w:fldCharType="separate"/>
      </w:r>
      <w:r w:rsidRPr="00710766" w:rsidR="00710766">
        <w:rPr>
          <w:noProof/>
        </w:rPr>
        <w:t>66</w:t>
      </w:r>
      <w:r w:rsidRPr="00710766">
        <w:fldChar w:fldCharType="end"/>
      </w:r>
      <w:r w:rsidRPr="00710766">
        <w:t>.  L</w:t>
      </w:r>
      <w:r w:rsidRPr="00710766" w:rsidR="00710766">
        <w:t>’</w:t>
      </w:r>
      <w:r w:rsidRPr="00710766">
        <w:t xml:space="preserve">association </w:t>
      </w:r>
      <w:proofErr w:type="spellStart"/>
      <w:r w:rsidRPr="00710766">
        <w:rPr>
          <w:i/>
          <w:iCs/>
        </w:rPr>
        <w:t>İfade</w:t>
      </w:r>
      <w:proofErr w:type="spellEnd"/>
      <w:r w:rsidRPr="00710766">
        <w:rPr>
          <w:i/>
          <w:iCs/>
        </w:rPr>
        <w:t xml:space="preserve"> </w:t>
      </w:r>
      <w:proofErr w:type="spellStart"/>
      <w:r w:rsidRPr="00710766">
        <w:rPr>
          <w:i/>
          <w:iCs/>
        </w:rPr>
        <w:t>Özgürlüğü</w:t>
      </w:r>
      <w:proofErr w:type="spellEnd"/>
      <w:r w:rsidRPr="00710766">
        <w:rPr>
          <w:i/>
          <w:iCs/>
        </w:rPr>
        <w:t xml:space="preserve"> </w:t>
      </w:r>
      <w:proofErr w:type="spellStart"/>
      <w:r w:rsidRPr="00710766">
        <w:rPr>
          <w:i/>
          <w:iCs/>
        </w:rPr>
        <w:t>Derneği</w:t>
      </w:r>
      <w:proofErr w:type="spellEnd"/>
      <w:r w:rsidRPr="00710766">
        <w:t xml:space="preserve"> a fourni des informations sur la notion de propagande terroriste et sur les mesures qui furent prises après la tentative de coup d</w:t>
      </w:r>
      <w:r w:rsidRPr="00710766" w:rsidR="00710766">
        <w:t>’</w:t>
      </w:r>
      <w:r w:rsidRPr="00710766">
        <w:t>état du 15 juillet 2016 dans le but de relever les maires des villes du sud-est de la Turquie de leurs fonctions.</w:t>
      </w:r>
    </w:p>
    <w:p w:rsidRPr="00710766" w:rsidR="002A531E" w:rsidP="00710766" w:rsidRDefault="002A531E" w14:paraId="0D9AA620" w14:textId="26C7534E">
      <w:pPr>
        <w:pStyle w:val="JuPara"/>
      </w:pPr>
      <w:r w:rsidRPr="00710766">
        <w:fldChar w:fldCharType="begin"/>
      </w:r>
      <w:r w:rsidRPr="00710766">
        <w:instrText xml:space="preserve"> SEQ level0 \*arabic </w:instrText>
      </w:r>
      <w:r w:rsidRPr="00710766">
        <w:fldChar w:fldCharType="separate"/>
      </w:r>
      <w:r w:rsidRPr="00710766" w:rsidR="00710766">
        <w:rPr>
          <w:noProof/>
        </w:rPr>
        <w:t>67</w:t>
      </w:r>
      <w:r w:rsidRPr="00710766">
        <w:fldChar w:fldCharType="end"/>
      </w:r>
      <w:r w:rsidRPr="00710766">
        <w:t>.  La Cour rappelle tout d</w:t>
      </w:r>
      <w:r w:rsidRPr="00710766" w:rsidR="00710766">
        <w:t>’</w:t>
      </w:r>
      <w:r w:rsidRPr="00710766">
        <w:t>abord que, selon sa jurisprudence, un justiciable qui n</w:t>
      </w:r>
      <w:r w:rsidRPr="00710766" w:rsidR="00710766">
        <w:t>’</w:t>
      </w:r>
      <w:r w:rsidRPr="00710766">
        <w:t>a pas encore été condamné par un arrêt définitif peut avoir la qualité de victime d</w:t>
      </w:r>
      <w:r w:rsidRPr="00710766" w:rsidR="00710766">
        <w:t>’</w:t>
      </w:r>
      <w:r w:rsidRPr="00710766">
        <w:t>une atteinte à la liberté d</w:t>
      </w:r>
      <w:r w:rsidRPr="00710766" w:rsidR="00710766">
        <w:t>’</w:t>
      </w:r>
      <w:r w:rsidRPr="00710766">
        <w:t>expression lorsqu</w:t>
      </w:r>
      <w:r w:rsidRPr="00710766" w:rsidR="00710766">
        <w:t>’</w:t>
      </w:r>
      <w:r w:rsidRPr="00710766">
        <w:t>il a été exposé à certaines circonstances ayant eu un effet dissuasif sur l</w:t>
      </w:r>
      <w:r w:rsidRPr="00710766" w:rsidR="00710766">
        <w:t>’</w:t>
      </w:r>
      <w:r w:rsidRPr="00710766">
        <w:t xml:space="preserve">exercice de cette liberté (voir, en dernier lieu, </w:t>
      </w:r>
      <w:r w:rsidRPr="00710766">
        <w:rPr>
          <w:i/>
          <w:iCs/>
        </w:rPr>
        <w:t>Atilla Ta</w:t>
      </w:r>
      <w:r w:rsidRPr="00710766">
        <w:rPr>
          <w:i/>
          <w:iCs/>
          <w:lang w:val="tr-TR"/>
        </w:rPr>
        <w:t>ş</w:t>
      </w:r>
      <w:r w:rsidRPr="00710766">
        <w:t>, précité, § 185, et les références qui y ont été citées).</w:t>
      </w:r>
    </w:p>
    <w:p w:rsidRPr="00710766" w:rsidR="002A531E" w:rsidP="00710766" w:rsidRDefault="002A531E" w14:paraId="00E3C28A" w14:textId="674AB5BE">
      <w:pPr>
        <w:pStyle w:val="JuPara"/>
      </w:pPr>
      <w:r w:rsidRPr="00710766">
        <w:fldChar w:fldCharType="begin"/>
      </w:r>
      <w:r w:rsidRPr="00710766">
        <w:instrText xml:space="preserve"> SEQ level0 \*arabic </w:instrText>
      </w:r>
      <w:r w:rsidRPr="00710766">
        <w:fldChar w:fldCharType="separate"/>
      </w:r>
      <w:r w:rsidRPr="00710766" w:rsidR="00710766">
        <w:rPr>
          <w:noProof/>
        </w:rPr>
        <w:t>68</w:t>
      </w:r>
      <w:r w:rsidRPr="00710766">
        <w:fldChar w:fldCharType="end"/>
      </w:r>
      <w:r w:rsidRPr="00710766">
        <w:t>.  En l</w:t>
      </w:r>
      <w:r w:rsidRPr="00710766" w:rsidR="00710766">
        <w:t>’</w:t>
      </w:r>
      <w:r w:rsidRPr="00710766">
        <w:t>espèce, la Cour note que le requérant a fait l</w:t>
      </w:r>
      <w:r w:rsidRPr="00710766" w:rsidR="00710766">
        <w:t>’</w:t>
      </w:r>
      <w:r w:rsidRPr="00710766">
        <w:t>objet de poursuites pénales parce qu</w:t>
      </w:r>
      <w:r w:rsidRPr="00710766" w:rsidR="00710766">
        <w:t>’</w:t>
      </w:r>
      <w:r w:rsidRPr="00710766">
        <w:t>il était soupçonné d</w:t>
      </w:r>
      <w:r w:rsidRPr="00710766" w:rsidR="00710766">
        <w:t>’</w:t>
      </w:r>
      <w:r w:rsidRPr="00710766">
        <w:t>être membre d</w:t>
      </w:r>
      <w:r w:rsidRPr="00710766" w:rsidR="00710766">
        <w:t>’</w:t>
      </w:r>
      <w:r w:rsidRPr="00710766">
        <w:t>une organisation terroriste et d</w:t>
      </w:r>
      <w:r w:rsidRPr="00710766" w:rsidR="00710766">
        <w:t>’</w:t>
      </w:r>
      <w:r w:rsidRPr="00710766">
        <w:t>avoir fait de la propagande en faveur de ladite organisation. Elle relève en outre que même si elle l</w:t>
      </w:r>
      <w:r w:rsidRPr="00710766" w:rsidR="00710766">
        <w:t>’</w:t>
      </w:r>
      <w:r w:rsidRPr="00710766">
        <w:t>a rejeté pour défaut manifeste de fondement, la Cour constitutionnelle a examiné le grief du requérant sur le terrain du droit à la liberté d</w:t>
      </w:r>
      <w:r w:rsidRPr="00710766" w:rsidR="00710766">
        <w:t>’</w:t>
      </w:r>
      <w:r w:rsidRPr="00710766">
        <w:t>expression (paragraphe </w:t>
      </w:r>
      <w:r w:rsidRPr="00710766">
        <w:fldChar w:fldCharType="begin"/>
      </w:r>
      <w:r w:rsidRPr="00710766">
        <w:instrText xml:space="preserve"> REF paragraph15 \h </w:instrText>
      </w:r>
      <w:r w:rsidRPr="00710766">
        <w:fldChar w:fldCharType="separate"/>
      </w:r>
      <w:r w:rsidRPr="00710766" w:rsidR="00710766">
        <w:rPr>
          <w:rFonts w:eastAsia="Times New Roman" w:cstheme="minorHAnsi"/>
          <w:noProof/>
        </w:rPr>
        <w:t>17</w:t>
      </w:r>
      <w:r w:rsidRPr="00710766">
        <w:fldChar w:fldCharType="end"/>
      </w:r>
      <w:r w:rsidRPr="00710766">
        <w:t xml:space="preserve"> ci-dessus). Elle rappelle en outre que dans l</w:t>
      </w:r>
      <w:r w:rsidRPr="00710766" w:rsidR="00710766">
        <w:t>’</w:t>
      </w:r>
      <w:r w:rsidRPr="00710766">
        <w:t xml:space="preserve">affaire </w:t>
      </w:r>
      <w:proofErr w:type="spellStart"/>
      <w:r w:rsidRPr="00710766">
        <w:rPr>
          <w:i/>
          <w:iCs/>
        </w:rPr>
        <w:t>Nejdat</w:t>
      </w:r>
      <w:proofErr w:type="spellEnd"/>
      <w:r w:rsidRPr="00710766">
        <w:rPr>
          <w:i/>
          <w:iCs/>
        </w:rPr>
        <w:t xml:space="preserve"> </w:t>
      </w:r>
      <w:proofErr w:type="spellStart"/>
      <w:r w:rsidRPr="00710766">
        <w:rPr>
          <w:i/>
          <w:iCs/>
        </w:rPr>
        <w:t>Atalay</w:t>
      </w:r>
      <w:proofErr w:type="spellEnd"/>
      <w:r w:rsidRPr="00710766">
        <w:t xml:space="preserve"> (arrêt précité, § 19), elle a examiné sur le terrain de l</w:t>
      </w:r>
      <w:r w:rsidRPr="00710766" w:rsidR="00710766">
        <w:t>’</w:t>
      </w:r>
      <w:r w:rsidRPr="00710766">
        <w:t>article 10 de la Convention la décision des juridictions internes de condamner le requérant du chef de propagande en faveur d</w:t>
      </w:r>
      <w:r w:rsidRPr="00710766" w:rsidR="00710766">
        <w:t>’</w:t>
      </w:r>
      <w:r w:rsidRPr="00710766">
        <w:t>une organisation terroriste au motif qu</w:t>
      </w:r>
      <w:r w:rsidRPr="00710766" w:rsidR="00710766">
        <w:t>’</w:t>
      </w:r>
      <w:r w:rsidRPr="00710766">
        <w:t>il avait participé aux obsèques de quatre membres du PKK tués lors d</w:t>
      </w:r>
      <w:r w:rsidRPr="00710766" w:rsidR="00710766">
        <w:t>’</w:t>
      </w:r>
      <w:r w:rsidRPr="00710766">
        <w:t>affrontements armés avec les forces de l</w:t>
      </w:r>
      <w:r w:rsidRPr="00710766" w:rsidR="00710766">
        <w:t>’</w:t>
      </w:r>
      <w:r w:rsidRPr="00710766">
        <w:t>ordre.</w:t>
      </w:r>
    </w:p>
    <w:bookmarkStart w:name="constatdingerence" w:id="32"/>
    <w:bookmarkEnd w:id="32"/>
    <w:p w:rsidRPr="00710766" w:rsidR="002A531E" w:rsidP="00710766" w:rsidRDefault="002A531E" w14:paraId="3CAAE25A" w14:textId="20AC92C5">
      <w:pPr>
        <w:pStyle w:val="JuPara"/>
      </w:pPr>
      <w:r w:rsidRPr="00710766">
        <w:fldChar w:fldCharType="begin"/>
      </w:r>
      <w:r w:rsidRPr="00710766">
        <w:instrText xml:space="preserve"> SEQ level0 \*arabic </w:instrText>
      </w:r>
      <w:r w:rsidRPr="00710766">
        <w:fldChar w:fldCharType="separate"/>
      </w:r>
      <w:r w:rsidRPr="00710766" w:rsidR="00710766">
        <w:rPr>
          <w:noProof/>
        </w:rPr>
        <w:t>69</w:t>
      </w:r>
      <w:r w:rsidRPr="00710766">
        <w:fldChar w:fldCharType="end"/>
      </w:r>
      <w:r w:rsidRPr="00710766">
        <w:t>.  La Cour observe que dans le cadre de la procédure pénale, le requérant a été privé de sa liberté du 16 novembre 2016, date de son arrestation, au 11 octobre 2019, date de sa remise en liberté provisoire. Elle estime que cette privation de liberté constitue une contrainte réelle et effective, qui s</w:t>
      </w:r>
      <w:r w:rsidRPr="00710766" w:rsidR="00710766">
        <w:t>’</w:t>
      </w:r>
      <w:r w:rsidRPr="00710766">
        <w:t>analyse par conséquent en une « ingérence » dans l</w:t>
      </w:r>
      <w:r w:rsidRPr="00710766" w:rsidR="00710766">
        <w:t>’</w:t>
      </w:r>
      <w:r w:rsidRPr="00710766">
        <w:t>exercice par le requérant du droit à la liberté d</w:t>
      </w:r>
      <w:r w:rsidRPr="00710766" w:rsidR="00710766">
        <w:t>’</w:t>
      </w:r>
      <w:r w:rsidRPr="00710766">
        <w:t>expression garanti par l</w:t>
      </w:r>
      <w:r w:rsidRPr="00710766" w:rsidR="00710766">
        <w:t>’</w:t>
      </w:r>
      <w:r w:rsidRPr="00710766">
        <w:t xml:space="preserve">article 10 de la Convention (voir, </w:t>
      </w:r>
      <w:r w:rsidRPr="00710766">
        <w:rPr>
          <w:i/>
          <w:iCs/>
        </w:rPr>
        <w:t>mutatis mutandis</w:t>
      </w:r>
      <w:r w:rsidRPr="00710766">
        <w:t xml:space="preserve">, </w:t>
      </w:r>
      <w:proofErr w:type="spellStart"/>
      <w:r w:rsidRPr="00710766">
        <w:rPr>
          <w:i/>
          <w:iCs/>
        </w:rPr>
        <w:t>Şık</w:t>
      </w:r>
      <w:proofErr w:type="spellEnd"/>
      <w:r w:rsidRPr="00710766">
        <w:rPr>
          <w:i/>
          <w:iCs/>
        </w:rPr>
        <w:t xml:space="preserve"> c. Turquie</w:t>
      </w:r>
      <w:r w:rsidRPr="00710766">
        <w:t>, n</w:t>
      </w:r>
      <w:r w:rsidRPr="00710766">
        <w:rPr>
          <w:vertAlign w:val="superscript"/>
        </w:rPr>
        <w:t>o</w:t>
      </w:r>
      <w:r w:rsidRPr="00710766">
        <w:t> </w:t>
      </w:r>
      <w:hyperlink w:tgtFrame="_blank" w:history="1" w:anchor="{%22appno%22:[%2253413/11%22]}" r:id="rId15">
        <w:r w:rsidRPr="00710766">
          <w:t>53413/11</w:t>
        </w:r>
      </w:hyperlink>
      <w:r w:rsidRPr="00710766">
        <w:t>, § 85, 8 juillet 2014).</w:t>
      </w:r>
    </w:p>
    <w:p w:rsidRPr="00710766" w:rsidR="002A531E" w:rsidP="00710766" w:rsidRDefault="002A531E" w14:paraId="02BA75B6" w14:textId="1BA6FEF2">
      <w:pPr>
        <w:pStyle w:val="JuPara"/>
      </w:pPr>
      <w:r w:rsidRPr="00710766">
        <w:fldChar w:fldCharType="begin"/>
      </w:r>
      <w:r w:rsidRPr="00710766">
        <w:instrText xml:space="preserve"> SEQ level0 \*arabic </w:instrText>
      </w:r>
      <w:r w:rsidRPr="00710766">
        <w:fldChar w:fldCharType="separate"/>
      </w:r>
      <w:r w:rsidRPr="00710766" w:rsidR="00710766">
        <w:rPr>
          <w:noProof/>
        </w:rPr>
        <w:t>70</w:t>
      </w:r>
      <w:r w:rsidRPr="00710766">
        <w:fldChar w:fldCharType="end"/>
      </w:r>
      <w:r w:rsidRPr="00710766">
        <w:t>.  À la lumière de ce qui précède, la Cour estime qu</w:t>
      </w:r>
      <w:r w:rsidRPr="00710766" w:rsidR="00710766">
        <w:t>’</w:t>
      </w:r>
      <w:r w:rsidRPr="00710766">
        <w:t>au vu des circonstances de la cause, il convient de conclure que la mise et le maintien en détention du requérant s</w:t>
      </w:r>
      <w:r w:rsidRPr="00710766" w:rsidR="00710766">
        <w:t>’</w:t>
      </w:r>
      <w:r w:rsidRPr="00710766">
        <w:t>analysent en une ingérence dans l</w:t>
      </w:r>
      <w:r w:rsidRPr="00710766" w:rsidR="00710766">
        <w:t>’</w:t>
      </w:r>
      <w:r w:rsidRPr="00710766">
        <w:t>exercice par le requérant de son droit à la liberté d</w:t>
      </w:r>
      <w:r w:rsidRPr="00710766" w:rsidR="00710766">
        <w:t>’</w:t>
      </w:r>
      <w:r w:rsidRPr="00710766">
        <w:t>expression découlant de l</w:t>
      </w:r>
      <w:r w:rsidRPr="00710766" w:rsidR="00710766">
        <w:t>’</w:t>
      </w:r>
      <w:r w:rsidRPr="00710766">
        <w:t xml:space="preserve">article 10 de la Convention (voir, dans le même sens, </w:t>
      </w:r>
      <w:proofErr w:type="spellStart"/>
      <w:r w:rsidRPr="00710766">
        <w:rPr>
          <w:i/>
          <w:iCs/>
        </w:rPr>
        <w:t>Selahattin</w:t>
      </w:r>
      <w:proofErr w:type="spellEnd"/>
      <w:r w:rsidRPr="00710766">
        <w:rPr>
          <w:i/>
          <w:iCs/>
        </w:rPr>
        <w:t xml:space="preserve"> </w:t>
      </w:r>
      <w:proofErr w:type="spellStart"/>
      <w:r w:rsidRPr="00710766">
        <w:rPr>
          <w:rFonts w:cstheme="minorHAnsi"/>
          <w:i/>
          <w:color w:val="000000"/>
        </w:rPr>
        <w:t>Demirtaş</w:t>
      </w:r>
      <w:proofErr w:type="spellEnd"/>
      <w:r w:rsidRPr="00710766">
        <w:rPr>
          <w:rFonts w:cstheme="minorHAnsi"/>
          <w:i/>
          <w:color w:val="000000"/>
        </w:rPr>
        <w:t xml:space="preserve"> </w:t>
      </w:r>
      <w:r w:rsidRPr="00710766">
        <w:t>(</w:t>
      </w:r>
      <w:r w:rsidRPr="00710766">
        <w:rPr>
          <w:i/>
          <w:iCs/>
        </w:rPr>
        <w:t>n</w:t>
      </w:r>
      <w:r w:rsidRPr="00710766">
        <w:rPr>
          <w:i/>
          <w:iCs/>
          <w:vertAlign w:val="superscript"/>
        </w:rPr>
        <w:t>o</w:t>
      </w:r>
      <w:r w:rsidRPr="00710766">
        <w:rPr>
          <w:i/>
          <w:iCs/>
        </w:rPr>
        <w:t> 2</w:t>
      </w:r>
      <w:r w:rsidRPr="00710766">
        <w:t>), précité, § 247).</w:t>
      </w:r>
    </w:p>
    <w:p w:rsidRPr="00710766" w:rsidR="002A531E" w:rsidP="00710766" w:rsidRDefault="002A531E" w14:paraId="46426BFB" w14:textId="7EB2F8F1">
      <w:pPr>
        <w:pStyle w:val="JuPara"/>
      </w:pPr>
      <w:r w:rsidRPr="00710766">
        <w:fldChar w:fldCharType="begin"/>
      </w:r>
      <w:r w:rsidRPr="00710766">
        <w:instrText xml:space="preserve"> SEQ level0 \*arabic </w:instrText>
      </w:r>
      <w:r w:rsidRPr="00710766">
        <w:fldChar w:fldCharType="separate"/>
      </w:r>
      <w:r w:rsidRPr="00710766" w:rsidR="00710766">
        <w:rPr>
          <w:noProof/>
        </w:rPr>
        <w:t>71</w:t>
      </w:r>
      <w:r w:rsidRPr="00710766">
        <w:fldChar w:fldCharType="end"/>
      </w:r>
      <w:r w:rsidRPr="00710766">
        <w:t>.  Pour les mêmes motifs, la Cour rejette les exceptions de non-épuisement des voies de recours internes (</w:t>
      </w:r>
      <w:r w:rsidRPr="00710766">
        <w:rPr>
          <w:i/>
          <w:iCs/>
        </w:rPr>
        <w:t xml:space="preserve">Nedim </w:t>
      </w:r>
      <w:proofErr w:type="spellStart"/>
      <w:r w:rsidRPr="00710766">
        <w:rPr>
          <w:i/>
        </w:rPr>
        <w:t>Şener</w:t>
      </w:r>
      <w:proofErr w:type="spellEnd"/>
      <w:r w:rsidRPr="00710766">
        <w:t>, précité, § 96) et de défaut de qualité de victime (</w:t>
      </w:r>
      <w:proofErr w:type="spellStart"/>
      <w:r w:rsidRPr="00710766">
        <w:rPr>
          <w:i/>
          <w:iCs/>
        </w:rPr>
        <w:t>Selahattin</w:t>
      </w:r>
      <w:proofErr w:type="spellEnd"/>
      <w:r w:rsidRPr="00710766">
        <w:rPr>
          <w:i/>
          <w:iCs/>
        </w:rPr>
        <w:t xml:space="preserve"> </w:t>
      </w:r>
      <w:proofErr w:type="spellStart"/>
      <w:r w:rsidRPr="00710766">
        <w:rPr>
          <w:rFonts w:cstheme="minorHAnsi"/>
          <w:i/>
          <w:color w:val="000000"/>
        </w:rPr>
        <w:t>Demirtaş</w:t>
      </w:r>
      <w:proofErr w:type="spellEnd"/>
      <w:r w:rsidRPr="00710766">
        <w:rPr>
          <w:rFonts w:cstheme="minorHAnsi"/>
          <w:i/>
          <w:color w:val="000000"/>
        </w:rPr>
        <w:t xml:space="preserve"> </w:t>
      </w:r>
      <w:r w:rsidRPr="00710766">
        <w:rPr>
          <w:i/>
          <w:iCs/>
        </w:rPr>
        <w:t>(n</w:t>
      </w:r>
      <w:r w:rsidRPr="00710766">
        <w:rPr>
          <w:i/>
          <w:iCs/>
          <w:vertAlign w:val="superscript"/>
        </w:rPr>
        <w:t>o</w:t>
      </w:r>
      <w:r w:rsidRPr="00710766">
        <w:rPr>
          <w:i/>
          <w:iCs/>
        </w:rPr>
        <w:t> 2)</w:t>
      </w:r>
      <w:r w:rsidRPr="00710766">
        <w:t>, précité, § 247) soulevées par le Gouvernement.</w:t>
      </w:r>
    </w:p>
    <w:p w:rsidRPr="00710766" w:rsidR="002A531E" w:rsidP="00710766" w:rsidRDefault="002A531E" w14:paraId="7D35641C" w14:textId="40512086">
      <w:pPr>
        <w:pStyle w:val="JuPara"/>
      </w:pPr>
      <w:r w:rsidRPr="00710766">
        <w:fldChar w:fldCharType="begin"/>
      </w:r>
      <w:r w:rsidRPr="00710766">
        <w:instrText xml:space="preserve"> SEQ level0 \*arabic </w:instrText>
      </w:r>
      <w:r w:rsidRPr="00710766">
        <w:fldChar w:fldCharType="separate"/>
      </w:r>
      <w:r w:rsidRPr="00710766" w:rsidR="00710766">
        <w:rPr>
          <w:noProof/>
        </w:rPr>
        <w:t>72</w:t>
      </w:r>
      <w:r w:rsidRPr="00710766">
        <w:fldChar w:fldCharType="end"/>
      </w:r>
      <w:r w:rsidRPr="00710766">
        <w:t>.  La Cour rappelle ensuite qu</w:t>
      </w:r>
      <w:r w:rsidRPr="00710766" w:rsidR="00710766">
        <w:t>’</w:t>
      </w:r>
      <w:r w:rsidRPr="00710766">
        <w:t>une ingérence emporte violation de l</w:t>
      </w:r>
      <w:r w:rsidRPr="00710766" w:rsidR="00710766">
        <w:t>’</w:t>
      </w:r>
      <w:r w:rsidRPr="00710766">
        <w:t>article 10 à moins de répondre aux exigences du paragraphe 2 de cette disposition. Il faut donc déterminer si l</w:t>
      </w:r>
      <w:r w:rsidRPr="00710766" w:rsidR="00710766">
        <w:t>’</w:t>
      </w:r>
      <w:r w:rsidRPr="00710766">
        <w:t>ingérence constatée en l</w:t>
      </w:r>
      <w:r w:rsidRPr="00710766" w:rsidR="00710766">
        <w:t>’</w:t>
      </w:r>
      <w:r w:rsidRPr="00710766">
        <w:t>espèce était « prévue par la loi », inspirée par un ou plusieurs buts légitimes au regard de ce paragraphe et « nécessaire dans une société démocratique » pour les atteindre (</w:t>
      </w:r>
      <w:r w:rsidRPr="00710766">
        <w:rPr>
          <w:i/>
          <w:iCs/>
        </w:rPr>
        <w:t xml:space="preserve">Atilla </w:t>
      </w:r>
      <w:proofErr w:type="spellStart"/>
      <w:r w:rsidRPr="00710766">
        <w:rPr>
          <w:i/>
          <w:iCs/>
        </w:rPr>
        <w:t>Taş</w:t>
      </w:r>
      <w:proofErr w:type="spellEnd"/>
      <w:r w:rsidRPr="00710766">
        <w:t>, précité, § 189).</w:t>
      </w:r>
    </w:p>
    <w:p w:rsidRPr="00710766" w:rsidR="002A531E" w:rsidP="00710766" w:rsidRDefault="002A531E" w14:paraId="044E748C" w14:textId="77777777">
      <w:pPr>
        <w:pStyle w:val="JuH1"/>
      </w:pPr>
      <w:r w:rsidRPr="00710766">
        <w:t>« Prévue par la loi »</w:t>
      </w:r>
    </w:p>
    <w:p w:rsidRPr="00710766" w:rsidR="002A531E" w:rsidP="00710766" w:rsidRDefault="002A531E" w14:paraId="50D9C167" w14:textId="15FBACFA">
      <w:pPr>
        <w:pStyle w:val="JuPara"/>
      </w:pPr>
      <w:r w:rsidRPr="00710766">
        <w:fldChar w:fldCharType="begin"/>
      </w:r>
      <w:r w:rsidRPr="00710766">
        <w:instrText xml:space="preserve"> SEQ level0 \*arabic </w:instrText>
      </w:r>
      <w:r w:rsidRPr="00710766">
        <w:fldChar w:fldCharType="separate"/>
      </w:r>
      <w:r w:rsidRPr="00710766" w:rsidR="00710766">
        <w:rPr>
          <w:noProof/>
        </w:rPr>
        <w:t>73</w:t>
      </w:r>
      <w:r w:rsidRPr="00710766">
        <w:fldChar w:fldCharType="end"/>
      </w:r>
      <w:r w:rsidRPr="00710766">
        <w:t>.  Nul ne conteste en l</w:t>
      </w:r>
      <w:r w:rsidRPr="00710766" w:rsidR="00710766">
        <w:t>’</w:t>
      </w:r>
      <w:r w:rsidRPr="00710766">
        <w:t>espèce que la mesure en cause – le placement et le maintien du requérant en détention provisoire sur le fondement de soupçons d</w:t>
      </w:r>
      <w:r w:rsidRPr="00710766" w:rsidR="00710766">
        <w:t>’</w:t>
      </w:r>
      <w:r w:rsidRPr="00710766">
        <w:t>appartenance à une organisation criminelle et de propagande terroriste – aient eu une base légale, à savoir les dispositions concernées du CP et du CPP, et que les dispositions en question aient été accessibles au requérant.</w:t>
      </w:r>
    </w:p>
    <w:p w:rsidRPr="00710766" w:rsidR="002A531E" w:rsidP="00710766" w:rsidRDefault="002A531E" w14:paraId="4CDD5C24" w14:textId="1A263DEE">
      <w:pPr>
        <w:pStyle w:val="JuPara"/>
      </w:pPr>
      <w:r w:rsidRPr="00710766">
        <w:fldChar w:fldCharType="begin"/>
      </w:r>
      <w:r w:rsidRPr="00710766">
        <w:instrText xml:space="preserve"> SEQ level0 \*arabic </w:instrText>
      </w:r>
      <w:r w:rsidRPr="00710766">
        <w:fldChar w:fldCharType="separate"/>
      </w:r>
      <w:r w:rsidRPr="00710766" w:rsidR="00710766">
        <w:rPr>
          <w:noProof/>
        </w:rPr>
        <w:t>74</w:t>
      </w:r>
      <w:r w:rsidRPr="00710766">
        <w:fldChar w:fldCharType="end"/>
      </w:r>
      <w:r w:rsidRPr="00710766">
        <w:t>.  Se pose donc la question de savoir si la portée assez large des termes employés dans l</w:t>
      </w:r>
      <w:r w:rsidRPr="00710766" w:rsidR="00710766">
        <w:t>’</w:t>
      </w:r>
      <w:r w:rsidRPr="00710766">
        <w:t>article 314 § 2 du CP peut réduire, comme l</w:t>
      </w:r>
      <w:r w:rsidRPr="00710766" w:rsidR="00710766">
        <w:t>’</w:t>
      </w:r>
      <w:r w:rsidRPr="00710766">
        <w:t>allègue le requérant, la prévisibilité de l</w:t>
      </w:r>
      <w:r w:rsidRPr="00710766" w:rsidR="00710766">
        <w:t>’</w:t>
      </w:r>
      <w:r w:rsidRPr="00710766">
        <w:t>application des normes juridiques en cause. Dans la mesure où le parquet a sollicité la détention du requérant sur la base entre autres de tels soupçons, et où les magistrats qui se sont prononcés sur son placement en détention provisoire ont interprété ces termes comme incluant la participation à des rassemblements publics pacifiques sans rechercher l</w:t>
      </w:r>
      <w:r w:rsidRPr="00710766" w:rsidR="00710766">
        <w:t>’</w:t>
      </w:r>
      <w:r w:rsidRPr="00710766">
        <w:t>existence d</w:t>
      </w:r>
      <w:r w:rsidRPr="00710766" w:rsidR="00710766">
        <w:t>’</w:t>
      </w:r>
      <w:r w:rsidRPr="00710766">
        <w:t>éléments donnant à penser que ces activités avaient été organisées par le requérant sur instruction d</w:t>
      </w:r>
      <w:r w:rsidRPr="00710766" w:rsidR="00710766">
        <w:t>’</w:t>
      </w:r>
      <w:r w:rsidRPr="00710766">
        <w:t>une organisation terroriste, la Cour considère que de sérieux doutes peuvent exister quant à la prévisibilité pour le requérant de son incrimination en vertu de l</w:t>
      </w:r>
      <w:r w:rsidRPr="00710766" w:rsidR="00710766">
        <w:t>’</w:t>
      </w:r>
      <w:r w:rsidRPr="00710766">
        <w:t xml:space="preserve">article 314 du CP (voir, dans le même sens, </w:t>
      </w:r>
      <w:r w:rsidRPr="00710766">
        <w:rPr>
          <w:i/>
          <w:iCs/>
        </w:rPr>
        <w:t xml:space="preserve">Nedim </w:t>
      </w:r>
      <w:proofErr w:type="spellStart"/>
      <w:r w:rsidRPr="00710766">
        <w:rPr>
          <w:i/>
        </w:rPr>
        <w:t>Şener</w:t>
      </w:r>
      <w:proofErr w:type="spellEnd"/>
      <w:r w:rsidRPr="00710766">
        <w:t>, précité, § 102 ; voir aussi, pour une critique de la pratique judiciaire concernant l</w:t>
      </w:r>
      <w:r w:rsidRPr="00710766" w:rsidR="00710766">
        <w:t>’</w:t>
      </w:r>
      <w:r w:rsidRPr="00710766">
        <w:t xml:space="preserve">application de cette disposition, </w:t>
      </w:r>
      <w:proofErr w:type="spellStart"/>
      <w:r w:rsidRPr="00710766">
        <w:rPr>
          <w:i/>
          <w:iCs/>
        </w:rPr>
        <w:t>Selahattin</w:t>
      </w:r>
      <w:proofErr w:type="spellEnd"/>
      <w:r w:rsidRPr="00710766">
        <w:rPr>
          <w:i/>
          <w:iCs/>
        </w:rPr>
        <w:t xml:space="preserve"> </w:t>
      </w:r>
      <w:proofErr w:type="spellStart"/>
      <w:r w:rsidRPr="00710766">
        <w:rPr>
          <w:rFonts w:cstheme="minorHAnsi"/>
          <w:i/>
          <w:color w:val="000000"/>
        </w:rPr>
        <w:t>Demirtaş</w:t>
      </w:r>
      <w:proofErr w:type="spellEnd"/>
      <w:r w:rsidRPr="00710766">
        <w:rPr>
          <w:rFonts w:cstheme="minorHAnsi"/>
          <w:i/>
          <w:color w:val="000000"/>
        </w:rPr>
        <w:t xml:space="preserve"> </w:t>
      </w:r>
      <w:r w:rsidRPr="00710766">
        <w:t>(</w:t>
      </w:r>
      <w:r w:rsidRPr="00710766">
        <w:rPr>
          <w:i/>
          <w:iCs/>
        </w:rPr>
        <w:t>n</w:t>
      </w:r>
      <w:r w:rsidRPr="00710766">
        <w:rPr>
          <w:i/>
          <w:iCs/>
          <w:vertAlign w:val="superscript"/>
        </w:rPr>
        <w:t>o</w:t>
      </w:r>
      <w:r w:rsidRPr="00710766">
        <w:rPr>
          <w:i/>
          <w:iCs/>
        </w:rPr>
        <w:t> 2</w:t>
      </w:r>
      <w:r w:rsidRPr="00710766">
        <w:t>), précité, §§ 271-280). Cependant, la Cour estime qu</w:t>
      </w:r>
      <w:r w:rsidRPr="00710766" w:rsidR="00710766">
        <w:t>’</w:t>
      </w:r>
      <w:r w:rsidRPr="00710766">
        <w:t>il n</w:t>
      </w:r>
      <w:r w:rsidRPr="00710766" w:rsidR="00710766">
        <w:t>’</w:t>
      </w:r>
      <w:r w:rsidRPr="00710766">
        <w:t>y a pas lieu de trancher cette question ici, celle-ci étant étroitement liée à l</w:t>
      </w:r>
      <w:r w:rsidRPr="00710766" w:rsidR="00710766">
        <w:t>’</w:t>
      </w:r>
      <w:r w:rsidRPr="00710766">
        <w:t>examen de la nécessité de l</w:t>
      </w:r>
      <w:r w:rsidRPr="00710766" w:rsidR="00710766">
        <w:t>’</w:t>
      </w:r>
      <w:r w:rsidRPr="00710766">
        <w:t xml:space="preserve">ingérence (voir, dans le même sens, </w:t>
      </w:r>
      <w:r w:rsidRPr="00710766">
        <w:rPr>
          <w:i/>
          <w:iCs/>
        </w:rPr>
        <w:t xml:space="preserve">Nedim </w:t>
      </w:r>
      <w:proofErr w:type="spellStart"/>
      <w:r w:rsidRPr="00710766">
        <w:rPr>
          <w:i/>
        </w:rPr>
        <w:t>Şener</w:t>
      </w:r>
      <w:proofErr w:type="spellEnd"/>
      <w:r w:rsidRPr="00710766">
        <w:t>, précité).</w:t>
      </w:r>
    </w:p>
    <w:p w:rsidRPr="00710766" w:rsidR="002A531E" w:rsidP="00710766" w:rsidRDefault="002A531E" w14:paraId="6324B51B" w14:textId="77777777">
      <w:pPr>
        <w:pStyle w:val="JuH1"/>
      </w:pPr>
      <w:r w:rsidRPr="00710766">
        <w:t>« But légitime »</w:t>
      </w:r>
    </w:p>
    <w:p w:rsidRPr="00710766" w:rsidR="002A531E" w:rsidP="00710766" w:rsidRDefault="002A531E" w14:paraId="1244B975" w14:textId="472AACFF">
      <w:pPr>
        <w:pStyle w:val="JuPara"/>
      </w:pPr>
      <w:r w:rsidRPr="00710766">
        <w:fldChar w:fldCharType="begin"/>
      </w:r>
      <w:r w:rsidRPr="00710766">
        <w:instrText xml:space="preserve"> SEQ level0 \*arabic </w:instrText>
      </w:r>
      <w:r w:rsidRPr="00710766">
        <w:fldChar w:fldCharType="separate"/>
      </w:r>
      <w:r w:rsidRPr="00710766" w:rsidR="00710766">
        <w:rPr>
          <w:noProof/>
        </w:rPr>
        <w:t>75</w:t>
      </w:r>
      <w:r w:rsidRPr="00710766">
        <w:fldChar w:fldCharType="end"/>
      </w:r>
      <w:r w:rsidRPr="00710766">
        <w:t>.  La Cour est consciente des difficultés liées à la lutte contre le terrorisme. Par conséquent, elle partira du principe que l</w:t>
      </w:r>
      <w:r w:rsidRPr="00710766" w:rsidR="00710766">
        <w:t>’</w:t>
      </w:r>
      <w:r w:rsidRPr="00710766">
        <w:t>ingérence litigieuse poursuivait des buts légitimes au regard de l</w:t>
      </w:r>
      <w:r w:rsidRPr="00710766" w:rsidR="00710766">
        <w:t>’</w:t>
      </w:r>
      <w:r w:rsidRPr="00710766">
        <w:t>article 10 § 2 de la Convention, à savoir la protection de la sécurité nationale, la préservation de la sûreté publique, la défense de l</w:t>
      </w:r>
      <w:r w:rsidRPr="00710766" w:rsidR="00710766">
        <w:t>’</w:t>
      </w:r>
      <w:r w:rsidRPr="00710766">
        <w:t>ordre et la prévention du crime.</w:t>
      </w:r>
    </w:p>
    <w:p w:rsidRPr="00710766" w:rsidR="002A531E" w:rsidP="00710766" w:rsidRDefault="002A531E" w14:paraId="718B7F83" w14:textId="77777777">
      <w:pPr>
        <w:pStyle w:val="JuH1"/>
      </w:pPr>
      <w:r w:rsidRPr="00710766">
        <w:t>« Nécessaire dans une société démocratique »</w:t>
      </w:r>
    </w:p>
    <w:p w:rsidRPr="00710766" w:rsidR="002A531E" w:rsidP="00710766" w:rsidRDefault="002A531E" w14:paraId="0FA7C5C5" w14:textId="612BE9FA">
      <w:pPr>
        <w:pStyle w:val="JuPara"/>
      </w:pPr>
      <w:r w:rsidRPr="00710766">
        <w:fldChar w:fldCharType="begin"/>
      </w:r>
      <w:r w:rsidRPr="00710766">
        <w:instrText xml:space="preserve"> SEQ level0 \*arabic </w:instrText>
      </w:r>
      <w:r w:rsidRPr="00710766">
        <w:fldChar w:fldCharType="separate"/>
      </w:r>
      <w:r w:rsidRPr="00710766" w:rsidR="00710766">
        <w:rPr>
          <w:noProof/>
        </w:rPr>
        <w:t>76</w:t>
      </w:r>
      <w:r w:rsidRPr="00710766">
        <w:fldChar w:fldCharType="end"/>
      </w:r>
      <w:r w:rsidRPr="00710766">
        <w:t>.  La Cour observe que le requérant était maire d</w:t>
      </w:r>
      <w:r w:rsidRPr="00710766" w:rsidR="00710766">
        <w:t>’</w:t>
      </w:r>
      <w:r w:rsidRPr="00710766">
        <w:t>une ville, élu sous l</w:t>
      </w:r>
      <w:r w:rsidRPr="00710766" w:rsidR="00710766">
        <w:t>’</w:t>
      </w:r>
      <w:r w:rsidRPr="00710766">
        <w:t>étiquette d</w:t>
      </w:r>
      <w:r w:rsidRPr="00710766" w:rsidR="00710766">
        <w:t>’</w:t>
      </w:r>
      <w:r w:rsidRPr="00710766">
        <w:t>un parti d</w:t>
      </w:r>
      <w:r w:rsidRPr="00710766" w:rsidR="00710766">
        <w:t>’</w:t>
      </w:r>
      <w:r w:rsidRPr="00710766">
        <w:t>opposition. Précieuse pour chacun, la liberté d</w:t>
      </w:r>
      <w:r w:rsidRPr="00710766" w:rsidR="00710766">
        <w:t>’</w:t>
      </w:r>
      <w:r w:rsidRPr="00710766">
        <w:t>expression l</w:t>
      </w:r>
      <w:r w:rsidRPr="00710766" w:rsidR="00710766">
        <w:t>’</w:t>
      </w:r>
      <w:r w:rsidRPr="00710766">
        <w:t>est tout particulièrement pour un élu du peuple ; en effet, celui-ci représente ses électeurs, signale leurs préoccupations et défend leurs intérêts. Partant, des atteintes à la liberté d</w:t>
      </w:r>
      <w:r w:rsidRPr="00710766" w:rsidR="00710766">
        <w:t>’</w:t>
      </w:r>
      <w:r w:rsidRPr="00710766">
        <w:t>expression d</w:t>
      </w:r>
      <w:r w:rsidRPr="00710766" w:rsidR="00710766">
        <w:t>’</w:t>
      </w:r>
      <w:r w:rsidRPr="00710766">
        <w:t>un élu du peuple, tel le requérant, commandent à la Cour de se livrer à un contrôle des plus stricts (</w:t>
      </w:r>
      <w:r w:rsidRPr="00710766">
        <w:rPr>
          <w:i/>
          <w:iCs/>
        </w:rPr>
        <w:t>Lacroix c. France</w:t>
      </w:r>
      <w:r w:rsidRPr="00710766">
        <w:rPr>
          <w:lang w:eastAsia="en-GB"/>
        </w:rPr>
        <w:t>, n</w:t>
      </w:r>
      <w:r w:rsidRPr="00710766">
        <w:rPr>
          <w:vertAlign w:val="superscript"/>
          <w:lang w:eastAsia="en-GB"/>
        </w:rPr>
        <w:t>o</w:t>
      </w:r>
      <w:r w:rsidRPr="00710766">
        <w:rPr>
          <w:lang w:eastAsia="en-GB"/>
        </w:rPr>
        <w:t> </w:t>
      </w:r>
      <w:r w:rsidRPr="00710766">
        <w:t>41519/12</w:t>
      </w:r>
      <w:r w:rsidRPr="00710766">
        <w:rPr>
          <w:lang w:eastAsia="en-GB"/>
        </w:rPr>
        <w:t xml:space="preserve">, </w:t>
      </w:r>
      <w:r w:rsidRPr="00710766">
        <w:t>§ 40, 7 septembre 2017).</w:t>
      </w:r>
    </w:p>
    <w:p w:rsidRPr="00710766" w:rsidR="002A531E" w:rsidP="00710766" w:rsidRDefault="002A531E" w14:paraId="325ACFBD" w14:textId="049D6840">
      <w:pPr>
        <w:pStyle w:val="JuPara"/>
      </w:pPr>
      <w:r w:rsidRPr="00710766">
        <w:fldChar w:fldCharType="begin"/>
      </w:r>
      <w:r w:rsidRPr="00710766">
        <w:instrText xml:space="preserve"> SEQ level0 \*arabic </w:instrText>
      </w:r>
      <w:r w:rsidRPr="00710766">
        <w:fldChar w:fldCharType="separate"/>
      </w:r>
      <w:r w:rsidRPr="00710766" w:rsidR="00710766">
        <w:rPr>
          <w:noProof/>
        </w:rPr>
        <w:t>77</w:t>
      </w:r>
      <w:r w:rsidRPr="00710766">
        <w:fldChar w:fldCharType="end"/>
      </w:r>
      <w:r w:rsidRPr="00710766">
        <w:t xml:space="preserve">.  La Cour souligne également que dans des affaires relatives à des mesures privatives de liberté, elle a tenu compte notamment de la nature et de la lourdeur de telles mesures (voir, </w:t>
      </w:r>
      <w:r w:rsidRPr="00710766">
        <w:rPr>
          <w:i/>
          <w:iCs/>
        </w:rPr>
        <w:t>mutatis mutandis</w:t>
      </w:r>
      <w:r w:rsidRPr="00710766">
        <w:t xml:space="preserve">, </w:t>
      </w:r>
      <w:r w:rsidRPr="00710766">
        <w:rPr>
          <w:i/>
          <w:iCs/>
        </w:rPr>
        <w:t xml:space="preserve">Nedim </w:t>
      </w:r>
      <w:proofErr w:type="spellStart"/>
      <w:r w:rsidRPr="00710766">
        <w:rPr>
          <w:i/>
        </w:rPr>
        <w:t>Şener</w:t>
      </w:r>
      <w:proofErr w:type="spellEnd"/>
      <w:r w:rsidRPr="00710766">
        <w:t>, précité, § 121).</w:t>
      </w:r>
    </w:p>
    <w:p w:rsidRPr="00710766" w:rsidR="002A531E" w:rsidP="00710766" w:rsidRDefault="002A531E" w14:paraId="60E04FD6" w14:textId="3E95386B">
      <w:pPr>
        <w:pStyle w:val="JuPara"/>
      </w:pPr>
      <w:r w:rsidRPr="00710766">
        <w:fldChar w:fldCharType="begin"/>
      </w:r>
      <w:r w:rsidRPr="00710766">
        <w:instrText xml:space="preserve"> SEQ level0 \*arabic </w:instrText>
      </w:r>
      <w:r w:rsidRPr="00710766">
        <w:fldChar w:fldCharType="separate"/>
      </w:r>
      <w:r w:rsidRPr="00710766" w:rsidR="00710766">
        <w:rPr>
          <w:noProof/>
        </w:rPr>
        <w:t>78</w:t>
      </w:r>
      <w:r w:rsidRPr="00710766">
        <w:fldChar w:fldCharType="end"/>
      </w:r>
      <w:r w:rsidRPr="00710766">
        <w:t>.  La Cour se réfère par ailleurs à la conclusion à laquelle elle est parvenue concernant le grief fondé sur l</w:t>
      </w:r>
      <w:r w:rsidRPr="00710766" w:rsidR="00710766">
        <w:t>’</w:t>
      </w:r>
      <w:r w:rsidRPr="00710766">
        <w:t>article 5 § 3 de la Convention, à savoir que les autorités ont mis et maintenu le requérant en détention provisoire pour des motifs qui ne sauraient passer pour « suffisants » (paragraphe </w:t>
      </w:r>
      <w:r w:rsidRPr="00710766">
        <w:fldChar w:fldCharType="begin"/>
      </w:r>
      <w:r w:rsidRPr="00710766">
        <w:instrText xml:space="preserve"> REF paragraph49 \h </w:instrText>
      </w:r>
      <w:r w:rsidRPr="00710766">
        <w:fldChar w:fldCharType="separate"/>
      </w:r>
      <w:r w:rsidRPr="00710766" w:rsidR="00710766">
        <w:rPr>
          <w:rFonts w:eastAsia="Times New Roman" w:cstheme="minorHAnsi"/>
          <w:noProof/>
        </w:rPr>
        <w:t>58</w:t>
      </w:r>
      <w:r w:rsidRPr="00710766">
        <w:fldChar w:fldCharType="end"/>
      </w:r>
      <w:r w:rsidRPr="00710766">
        <w:t xml:space="preserve"> ci-dessus). </w:t>
      </w:r>
      <w:bookmarkStart w:name="_Hlk72844848" w:id="33"/>
      <w:r w:rsidRPr="00710766">
        <w:t>Elle observe également que, jusqu</w:t>
      </w:r>
      <w:r w:rsidRPr="00710766" w:rsidR="00710766">
        <w:t>’</w:t>
      </w:r>
      <w:r w:rsidRPr="00710766">
        <w:t xml:space="preserve">à sa remise en liberté provisoire le 11 octobre 2019 (paragraphe </w:t>
      </w:r>
      <w:r w:rsidRPr="00710766">
        <w:fldChar w:fldCharType="begin"/>
      </w:r>
      <w:r w:rsidRPr="00710766">
        <w:instrText xml:space="preserve"> REF paragraph17 \h  \* MERGEFORMAT </w:instrText>
      </w:r>
      <w:r w:rsidRPr="00710766">
        <w:fldChar w:fldCharType="separate"/>
      </w:r>
      <w:r w:rsidRPr="00710766" w:rsidR="00710766">
        <w:t>19</w:t>
      </w:r>
      <w:r w:rsidRPr="00710766">
        <w:fldChar w:fldCharType="end"/>
      </w:r>
      <w:r w:rsidRPr="00710766">
        <w:t xml:space="preserve"> ci-dessus), le requérant a été</w:t>
      </w:r>
      <w:bookmarkEnd w:id="33"/>
      <w:r w:rsidRPr="00710766">
        <w:t xml:space="preserve"> privé de sa liberté pendant environ deux ans et onze mois dont plus de deux ans et huit mois sous le régime de détention provisoire (paragraphes</w:t>
      </w:r>
      <w:r w:rsidRPr="00710766" w:rsidR="007D585C">
        <w:t> </w:t>
      </w:r>
      <w:r w:rsidRPr="00710766">
        <w:fldChar w:fldCharType="begin"/>
      </w:r>
      <w:r w:rsidRPr="00710766">
        <w:instrText xml:space="preserve"> REF paragraph5 \h  \* MERGEFORMAT </w:instrText>
      </w:r>
      <w:r w:rsidRPr="00710766">
        <w:fldChar w:fldCharType="separate"/>
      </w:r>
      <w:r w:rsidRPr="00710766" w:rsidR="00710766">
        <w:t>5</w:t>
      </w:r>
      <w:r w:rsidRPr="00710766">
        <w:fldChar w:fldCharType="end"/>
      </w:r>
      <w:r w:rsidRPr="00710766">
        <w:t xml:space="preserve">, </w:t>
      </w:r>
      <w:r w:rsidRPr="00710766">
        <w:fldChar w:fldCharType="begin"/>
      </w:r>
      <w:r w:rsidRPr="00710766">
        <w:instrText xml:space="preserve"> REF paragraph16 \h  \* MERGEFORMAT </w:instrText>
      </w:r>
      <w:r w:rsidRPr="00710766">
        <w:fldChar w:fldCharType="separate"/>
      </w:r>
      <w:r w:rsidRPr="00710766" w:rsidR="00710766">
        <w:rPr>
          <w:rFonts w:eastAsia="Times New Roman" w:cstheme="minorHAnsi"/>
        </w:rPr>
        <w:t>16</w:t>
      </w:r>
      <w:r w:rsidRPr="00710766">
        <w:fldChar w:fldCharType="end"/>
      </w:r>
      <w:r w:rsidRPr="00710766">
        <w:t xml:space="preserve"> et </w:t>
      </w:r>
      <w:r w:rsidRPr="00710766">
        <w:fldChar w:fldCharType="begin"/>
      </w:r>
      <w:r w:rsidRPr="00710766">
        <w:instrText xml:space="preserve"> REF paragraph18 \h  \* MERGEFORMAT </w:instrText>
      </w:r>
      <w:r w:rsidRPr="00710766">
        <w:fldChar w:fldCharType="separate"/>
      </w:r>
      <w:r w:rsidRPr="00710766" w:rsidR="00710766">
        <w:rPr>
          <w:rFonts w:cstheme="minorHAnsi"/>
        </w:rPr>
        <w:t>18</w:t>
      </w:r>
      <w:r w:rsidRPr="00710766">
        <w:fldChar w:fldCharType="end"/>
      </w:r>
      <w:r w:rsidRPr="00710766">
        <w:t xml:space="preserve"> et ci-dessus).</w:t>
      </w:r>
    </w:p>
    <w:p w:rsidRPr="00710766" w:rsidR="002A531E" w:rsidP="00710766" w:rsidRDefault="002A531E" w14:paraId="1863BE34" w14:textId="2D167BD2">
      <w:pPr>
        <w:pStyle w:val="JuPara"/>
      </w:pPr>
      <w:r w:rsidRPr="00710766">
        <w:fldChar w:fldCharType="begin"/>
      </w:r>
      <w:r w:rsidRPr="00710766">
        <w:instrText xml:space="preserve"> SEQ level0 \*arabic </w:instrText>
      </w:r>
      <w:r w:rsidRPr="00710766">
        <w:fldChar w:fldCharType="separate"/>
      </w:r>
      <w:r w:rsidRPr="00710766" w:rsidR="00710766">
        <w:rPr>
          <w:noProof/>
        </w:rPr>
        <w:t>79</w:t>
      </w:r>
      <w:r w:rsidRPr="00710766">
        <w:fldChar w:fldCharType="end"/>
      </w:r>
      <w:r w:rsidRPr="00710766">
        <w:t>.  La Cour observe également que les activités reprochées au requérant revêtent un caractère clairement politique. Certaines de ses déclarations pourraient se prêter à plusieurs interprétations étant donné qu</w:t>
      </w:r>
      <w:r w:rsidRPr="00710766" w:rsidR="00710766">
        <w:t>’</w:t>
      </w:r>
      <w:r w:rsidRPr="00710766">
        <w:t>une tension extrême régnait à l</w:t>
      </w:r>
      <w:r w:rsidRPr="00710766" w:rsidR="00710766">
        <w:t>’</w:t>
      </w:r>
      <w:r w:rsidRPr="00710766">
        <w:t>époque des faits dans la ville où l</w:t>
      </w:r>
      <w:r w:rsidRPr="00710766" w:rsidR="00710766">
        <w:t>’</w:t>
      </w:r>
      <w:r w:rsidRPr="00710766">
        <w:t xml:space="preserve">intéressé était maire (comparer avec </w:t>
      </w:r>
      <w:r w:rsidRPr="00710766">
        <w:rPr>
          <w:i/>
        </w:rPr>
        <w:t>Zana c. Turquie</w:t>
      </w:r>
      <w:r w:rsidRPr="00710766">
        <w:t>, 25 novembre 1997, §§ 48</w:t>
      </w:r>
      <w:r w:rsidRPr="00710766">
        <w:noBreakHyphen/>
        <w:t xml:space="preserve">49, </w:t>
      </w:r>
      <w:r w:rsidRPr="00710766">
        <w:rPr>
          <w:i/>
        </w:rPr>
        <w:t>Recueil des arrêts et décisions</w:t>
      </w:r>
      <w:r w:rsidRPr="00710766">
        <w:t xml:space="preserve"> 1997</w:t>
      </w:r>
      <w:r w:rsidRPr="00710766">
        <w:noBreakHyphen/>
        <w:t>VII). Or, en tant que maire de cette ville, le requérant ne pouvait ignorer ces circonstances. À cet égard, il est d</w:t>
      </w:r>
      <w:r w:rsidRPr="00710766" w:rsidR="00710766">
        <w:t>’</w:t>
      </w:r>
      <w:r w:rsidRPr="00710766">
        <w:t>une importance cruciale que les hommes politiques, dans leurs discours publics, évitent de diffuser des propos susceptibles de favoriser un climat de confrontation sociale et d</w:t>
      </w:r>
      <w:r w:rsidRPr="00710766" w:rsidR="00710766">
        <w:t>’</w:t>
      </w:r>
      <w:r w:rsidRPr="00710766">
        <w:t xml:space="preserve">aggraver une situation déjà explosive dans cette ville (voir, </w:t>
      </w:r>
      <w:r w:rsidRPr="00710766">
        <w:rPr>
          <w:i/>
          <w:iCs/>
        </w:rPr>
        <w:t>mutatis mutandis</w:t>
      </w:r>
      <w:r w:rsidRPr="00710766">
        <w:t xml:space="preserve">, </w:t>
      </w:r>
      <w:r w:rsidRPr="00710766">
        <w:rPr>
          <w:i/>
        </w:rPr>
        <w:t>Erbakan c. Turquie</w:t>
      </w:r>
      <w:r w:rsidRPr="00710766">
        <w:t>, n</w:t>
      </w:r>
      <w:r w:rsidRPr="00710766">
        <w:rPr>
          <w:vertAlign w:val="superscript"/>
        </w:rPr>
        <w:t>o</w:t>
      </w:r>
      <w:r w:rsidRPr="00710766">
        <w:t xml:space="preserve"> 59405/00, § 64, 6 juillet 2006 ; comparer aussi avec </w:t>
      </w:r>
      <w:r w:rsidRPr="00710766">
        <w:rPr>
          <w:i/>
        </w:rPr>
        <w:t xml:space="preserve">Herri </w:t>
      </w:r>
      <w:proofErr w:type="spellStart"/>
      <w:r w:rsidRPr="00710766">
        <w:rPr>
          <w:i/>
        </w:rPr>
        <w:t>Batasuna</w:t>
      </w:r>
      <w:proofErr w:type="spellEnd"/>
      <w:r w:rsidRPr="00710766">
        <w:rPr>
          <w:i/>
        </w:rPr>
        <w:t xml:space="preserve"> et </w:t>
      </w:r>
      <w:proofErr w:type="spellStart"/>
      <w:r w:rsidRPr="00710766">
        <w:rPr>
          <w:i/>
        </w:rPr>
        <w:t>Batasuna</w:t>
      </w:r>
      <w:proofErr w:type="spellEnd"/>
      <w:r w:rsidRPr="00710766">
        <w:rPr>
          <w:i/>
        </w:rPr>
        <w:t xml:space="preserve"> c. Espagne</w:t>
      </w:r>
      <w:r w:rsidRPr="00710766">
        <w:t>, n</w:t>
      </w:r>
      <w:r w:rsidRPr="00710766">
        <w:rPr>
          <w:vertAlign w:val="superscript"/>
        </w:rPr>
        <w:t>os</w:t>
      </w:r>
      <w:r w:rsidRPr="00710766">
        <w:t> 25803/04 et 25817/04, § 85, CEDH 2009).</w:t>
      </w:r>
    </w:p>
    <w:p w:rsidRPr="00710766" w:rsidR="002A531E" w:rsidP="00710766" w:rsidRDefault="002A531E" w14:paraId="4584953A" w14:textId="08EDEB7D">
      <w:pPr>
        <w:pStyle w:val="JuPara"/>
      </w:pPr>
      <w:r w:rsidRPr="00710766">
        <w:fldChar w:fldCharType="begin"/>
      </w:r>
      <w:r w:rsidRPr="00710766">
        <w:instrText xml:space="preserve"> SEQ level0 \*arabic </w:instrText>
      </w:r>
      <w:r w:rsidRPr="00710766">
        <w:fldChar w:fldCharType="separate"/>
      </w:r>
      <w:r w:rsidRPr="00710766" w:rsidR="00710766">
        <w:rPr>
          <w:noProof/>
        </w:rPr>
        <w:t>80</w:t>
      </w:r>
      <w:r w:rsidRPr="00710766">
        <w:fldChar w:fldCharType="end"/>
      </w:r>
      <w:r w:rsidRPr="00710766">
        <w:t>.  Cependant, vu le caractère fondamental du libre jeu du débat politique dans une société démocratique, la Cour n</w:t>
      </w:r>
      <w:r w:rsidRPr="00710766" w:rsidR="00710766">
        <w:t>’</w:t>
      </w:r>
      <w:r w:rsidRPr="00710766">
        <w:t>a décelé aucune raison impérieuse susceptible de justifier la gravité de la mesure incriminée. Elle estime que le fait de priver de sa liberté le requérant, un élu du peuple, pour une telle durée en raison de ses activités politiques s</w:t>
      </w:r>
      <w:r w:rsidRPr="00710766" w:rsidR="00710766">
        <w:t>’</w:t>
      </w:r>
      <w:r w:rsidRPr="00710766">
        <w:t>analyse en une ingérence manifestement disproportionnée aux buts légitimes poursuivis par l</w:t>
      </w:r>
      <w:r w:rsidRPr="00710766" w:rsidR="00710766">
        <w:t>’</w:t>
      </w:r>
      <w:r w:rsidRPr="00710766">
        <w:t>article 10 de la Convention.</w:t>
      </w:r>
    </w:p>
    <w:p w:rsidRPr="00710766" w:rsidR="002A531E" w:rsidP="00710766" w:rsidRDefault="002A531E" w14:paraId="0A5D9EBA" w14:textId="289B4FA6">
      <w:pPr>
        <w:pStyle w:val="JuPara"/>
      </w:pPr>
      <w:r w:rsidRPr="00710766">
        <w:fldChar w:fldCharType="begin"/>
      </w:r>
      <w:r w:rsidRPr="00710766">
        <w:instrText xml:space="preserve"> SEQ level0 \*arabic </w:instrText>
      </w:r>
      <w:r w:rsidRPr="00710766">
        <w:fldChar w:fldCharType="separate"/>
      </w:r>
      <w:r w:rsidRPr="00710766" w:rsidR="00710766">
        <w:rPr>
          <w:noProof/>
        </w:rPr>
        <w:t>81</w:t>
      </w:r>
      <w:r w:rsidRPr="00710766">
        <w:fldChar w:fldCharType="end"/>
      </w:r>
      <w:r w:rsidRPr="00710766">
        <w:t>.  Eu égard à ce qui précède, la Cour estime que la privation de liberté en question n</w:t>
      </w:r>
      <w:r w:rsidRPr="00710766" w:rsidR="00710766">
        <w:t>’</w:t>
      </w:r>
      <w:r w:rsidRPr="00710766">
        <w:t>était pas proportionnée aux buts légitimes visés et que, de ce fait, elle n</w:t>
      </w:r>
      <w:r w:rsidRPr="00710766" w:rsidR="00710766">
        <w:t>’</w:t>
      </w:r>
      <w:r w:rsidRPr="00710766">
        <w:t xml:space="preserve">était pas nécessaire dans une société démocratique (voir, dans le même sens, </w:t>
      </w:r>
      <w:r w:rsidRPr="00710766">
        <w:rPr>
          <w:i/>
          <w:iCs/>
        </w:rPr>
        <w:t xml:space="preserve">Nedim </w:t>
      </w:r>
      <w:proofErr w:type="spellStart"/>
      <w:r w:rsidRPr="00710766">
        <w:rPr>
          <w:i/>
        </w:rPr>
        <w:t>Şener</w:t>
      </w:r>
      <w:proofErr w:type="spellEnd"/>
      <w:r w:rsidRPr="00710766">
        <w:t>, précité, § 123).</w:t>
      </w:r>
      <w:r w:rsidRPr="00710766">
        <w:rPr>
          <w:rFonts w:eastAsia="Times New Roman" w:cstheme="minorHAnsi"/>
        </w:rPr>
        <w:t xml:space="preserve"> </w:t>
      </w:r>
      <w:r w:rsidRPr="00710766">
        <w:t>En outre, il n</w:t>
      </w:r>
      <w:r w:rsidRPr="00710766" w:rsidR="00710766">
        <w:t>’</w:t>
      </w:r>
      <w:r w:rsidRPr="00710766">
        <w:t>est pas établi que la mesure litigieuse puisse être considérée comme ayant respecté la stricte mesure requise par les circonstances particulières de l</w:t>
      </w:r>
      <w:r w:rsidRPr="00710766" w:rsidR="00710766">
        <w:t>’</w:t>
      </w:r>
      <w:r w:rsidRPr="00710766">
        <w:t>état d</w:t>
      </w:r>
      <w:r w:rsidRPr="00710766" w:rsidR="00710766">
        <w:t>’</w:t>
      </w:r>
      <w:r w:rsidRPr="00710766">
        <w:t>urgence.</w:t>
      </w:r>
    </w:p>
    <w:p w:rsidRPr="00710766" w:rsidR="002A531E" w:rsidP="00710766" w:rsidRDefault="002A531E" w14:paraId="449EF214" w14:textId="0DC97491">
      <w:pPr>
        <w:pStyle w:val="JuPara"/>
      </w:pPr>
      <w:r w:rsidRPr="00710766">
        <w:fldChar w:fldCharType="begin"/>
      </w:r>
      <w:r w:rsidRPr="00710766">
        <w:instrText xml:space="preserve"> SEQ level0 \*arabic </w:instrText>
      </w:r>
      <w:r w:rsidRPr="00710766">
        <w:fldChar w:fldCharType="separate"/>
      </w:r>
      <w:r w:rsidRPr="00710766" w:rsidR="00710766">
        <w:rPr>
          <w:noProof/>
        </w:rPr>
        <w:t>82</w:t>
      </w:r>
      <w:r w:rsidRPr="00710766">
        <w:fldChar w:fldCharType="end"/>
      </w:r>
      <w:r w:rsidRPr="00710766">
        <w:t>.  </w:t>
      </w:r>
      <w:bookmarkStart w:name="_Hlk36128077" w:id="34"/>
      <w:r w:rsidRPr="00710766">
        <w:t>Partant, il y a eu violation de l</w:t>
      </w:r>
      <w:r w:rsidRPr="00710766" w:rsidR="00710766">
        <w:t>’</w:t>
      </w:r>
      <w:r w:rsidRPr="00710766">
        <w:t>article 10 de la Convention.</w:t>
      </w:r>
      <w:bookmarkEnd w:id="34"/>
    </w:p>
    <w:p w:rsidRPr="00710766" w:rsidR="002A531E" w:rsidP="00710766" w:rsidRDefault="002A531E" w14:paraId="20B9BF10" w14:textId="77777777">
      <w:pPr>
        <w:pStyle w:val="JuHIRoman"/>
        <w:numPr>
          <w:ilvl w:val="1"/>
          <w:numId w:val="19"/>
        </w:numPr>
      </w:pPr>
      <w:bookmarkStart w:name="_Hlk36128108" w:id="35"/>
      <w:r w:rsidRPr="00710766">
        <w:rPr>
          <w:caps w:val="0"/>
        </w:rPr>
        <w:t>SUR LES AUTRES VIOLATIONS ALLÉGUÉES DE LA CONVENTION</w:t>
      </w:r>
      <w:bookmarkEnd w:id="35"/>
    </w:p>
    <w:p w:rsidRPr="00710766" w:rsidR="002A531E" w:rsidP="00710766" w:rsidRDefault="002A531E" w14:paraId="10E37B78" w14:textId="58393732">
      <w:pPr>
        <w:pStyle w:val="JuPara"/>
      </w:pPr>
      <w:r w:rsidRPr="00710766">
        <w:fldChar w:fldCharType="begin"/>
      </w:r>
      <w:r w:rsidRPr="00710766">
        <w:instrText xml:space="preserve"> SEQ level0 \*arabic </w:instrText>
      </w:r>
      <w:r w:rsidRPr="00710766">
        <w:fldChar w:fldCharType="separate"/>
      </w:r>
      <w:r w:rsidRPr="00710766" w:rsidR="00710766">
        <w:rPr>
          <w:noProof/>
        </w:rPr>
        <w:t>83</w:t>
      </w:r>
      <w:r w:rsidRPr="00710766">
        <w:fldChar w:fldCharType="end"/>
      </w:r>
      <w:r w:rsidRPr="00710766">
        <w:t>.  Dans ses observations en date du 25 janvier 2021, le requérant a soulevé pour la première fois un grief fondé sur l</w:t>
      </w:r>
      <w:r w:rsidRPr="00710766" w:rsidR="00710766">
        <w:t>’</w:t>
      </w:r>
      <w:r w:rsidRPr="00710766">
        <w:t>article 18 de la Convention. Se basant sur les mêmes faits et invoquant l</w:t>
      </w:r>
      <w:r w:rsidRPr="00710766" w:rsidR="00710766">
        <w:t>’</w:t>
      </w:r>
      <w:r w:rsidRPr="00710766">
        <w:t>article 18 de la Convention combiné avec l</w:t>
      </w:r>
      <w:r w:rsidRPr="00710766" w:rsidR="00710766">
        <w:t>’</w:t>
      </w:r>
      <w:r w:rsidRPr="00710766">
        <w:t>article 10, il affirmait que ses droits découlant de la Convention avaient été restreints dans des buts autres que ceux prévus par la Convention.</w:t>
      </w:r>
    </w:p>
    <w:p w:rsidRPr="00710766" w:rsidR="002A531E" w:rsidP="00710766" w:rsidRDefault="002A531E" w14:paraId="020455FB" w14:textId="71CA3D5E">
      <w:pPr>
        <w:pStyle w:val="JuPara"/>
      </w:pPr>
      <w:r w:rsidRPr="00710766">
        <w:fldChar w:fldCharType="begin"/>
      </w:r>
      <w:r w:rsidRPr="00710766">
        <w:instrText xml:space="preserve"> SEQ level0 \*arabic </w:instrText>
      </w:r>
      <w:r w:rsidRPr="00710766">
        <w:fldChar w:fldCharType="separate"/>
      </w:r>
      <w:r w:rsidRPr="00710766" w:rsidR="00710766">
        <w:rPr>
          <w:noProof/>
        </w:rPr>
        <w:t>84</w:t>
      </w:r>
      <w:r w:rsidRPr="00710766">
        <w:fldChar w:fldCharType="end"/>
      </w:r>
      <w:r w:rsidRPr="00710766">
        <w:t>.  Le Gouvernement n</w:t>
      </w:r>
      <w:r w:rsidRPr="00710766" w:rsidR="00710766">
        <w:t>’</w:t>
      </w:r>
      <w:r w:rsidRPr="00710766">
        <w:t>ayant pas soulevé une exception tirée du non-respect du délai de six mois, il appartient à la Cour de déterminer si et dans quelle mesure ce grief peut être considéré comme un développement venant préciser ou étoffer ses prétentions initiales ou s</w:t>
      </w:r>
      <w:r w:rsidRPr="00710766" w:rsidR="00710766">
        <w:t>’</w:t>
      </w:r>
      <w:r w:rsidRPr="00710766">
        <w:t>il constitue un grief nouveau invoquant des faits différents de ceux dénoncés dans la requête initiale (</w:t>
      </w:r>
      <w:proofErr w:type="spellStart"/>
      <w:r w:rsidRPr="00710766">
        <w:rPr>
          <w:i/>
          <w:iCs/>
        </w:rPr>
        <w:t>Radomilja</w:t>
      </w:r>
      <w:proofErr w:type="spellEnd"/>
      <w:r w:rsidRPr="00710766">
        <w:rPr>
          <w:i/>
          <w:iCs/>
        </w:rPr>
        <w:t xml:space="preserve"> et autres c. Croatie</w:t>
      </w:r>
      <w:r w:rsidRPr="00710766">
        <w:t> [GC], n</w:t>
      </w:r>
      <w:r w:rsidRPr="00710766">
        <w:rPr>
          <w:vertAlign w:val="superscript"/>
        </w:rPr>
        <w:t>os</w:t>
      </w:r>
      <w:r w:rsidRPr="00710766">
        <w:t> 37685/10</w:t>
      </w:r>
      <w:r w:rsidRPr="00710766" w:rsidR="007D585C">
        <w:rPr>
          <w:rStyle w:val="Hyperlink"/>
          <w:u w:val="none"/>
        </w:rPr>
        <w:t xml:space="preserve"> </w:t>
      </w:r>
      <w:r w:rsidRPr="00710766">
        <w:t>et 22768/12, §§ 110</w:t>
      </w:r>
      <w:r w:rsidRPr="00710766">
        <w:noBreakHyphen/>
        <w:t>120, 20 mars 2018).</w:t>
      </w:r>
    </w:p>
    <w:p w:rsidRPr="00710766" w:rsidR="002A531E" w:rsidP="00710766" w:rsidRDefault="002A531E" w14:paraId="7B63382D" w14:textId="1F64DB59">
      <w:pPr>
        <w:pStyle w:val="JuPara"/>
      </w:pPr>
      <w:r w:rsidRPr="00710766">
        <w:fldChar w:fldCharType="begin"/>
      </w:r>
      <w:r w:rsidRPr="00710766">
        <w:instrText xml:space="preserve"> SEQ level0 \*arabic </w:instrText>
      </w:r>
      <w:r w:rsidRPr="00710766">
        <w:fldChar w:fldCharType="separate"/>
      </w:r>
      <w:r w:rsidRPr="00710766" w:rsidR="00710766">
        <w:rPr>
          <w:noProof/>
        </w:rPr>
        <w:t>85</w:t>
      </w:r>
      <w:r w:rsidRPr="00710766">
        <w:fldChar w:fldCharType="end"/>
      </w:r>
      <w:r w:rsidRPr="00710766">
        <w:t>.  La Cour constate que dans son formulaire de requête, le requérant invoquait seulement les articles 5 et 10 de la Convention (ainsi que l</w:t>
      </w:r>
      <w:r w:rsidRPr="00710766" w:rsidR="00710766">
        <w:t>’</w:t>
      </w:r>
      <w:r w:rsidRPr="00710766">
        <w:t>article 3 du Protocole n</w:t>
      </w:r>
      <w:r w:rsidRPr="00710766">
        <w:rPr>
          <w:vertAlign w:val="superscript"/>
        </w:rPr>
        <w:t>o</w:t>
      </w:r>
      <w:r w:rsidRPr="00710766">
        <w:t> 1, mais ce grief a été déclaré irrecevable lors de la communication) et ne développait aucun argument fondé sur cette disposition.</w:t>
      </w:r>
    </w:p>
    <w:p w:rsidRPr="00710766" w:rsidR="002A531E" w:rsidP="00710766" w:rsidRDefault="002A531E" w14:paraId="286F06D2" w14:textId="07909790">
      <w:pPr>
        <w:pStyle w:val="JuPara"/>
      </w:pPr>
      <w:r w:rsidRPr="00710766">
        <w:fldChar w:fldCharType="begin"/>
      </w:r>
      <w:r w:rsidRPr="00710766">
        <w:instrText xml:space="preserve"> SEQ level0 \*arabic </w:instrText>
      </w:r>
      <w:r w:rsidRPr="00710766">
        <w:fldChar w:fldCharType="separate"/>
      </w:r>
      <w:r w:rsidRPr="00710766" w:rsidR="00710766">
        <w:rPr>
          <w:noProof/>
        </w:rPr>
        <w:t>86</w:t>
      </w:r>
      <w:r w:rsidRPr="00710766">
        <w:fldChar w:fldCharType="end"/>
      </w:r>
      <w:r w:rsidRPr="00710766">
        <w:t xml:space="preserve">.  La Cour estime en outre que ce grief ne peut être considéré comme touchant des aspects particuliers des griefs initiaux. Il est donc nouveau (voir, dans le même sens, </w:t>
      </w:r>
      <w:r w:rsidRPr="00710766">
        <w:rPr>
          <w:i/>
          <w:iCs/>
        </w:rPr>
        <w:t xml:space="preserve">Allan c. Royaume-Uni </w:t>
      </w:r>
      <w:r w:rsidRPr="00710766">
        <w:t>(déc.), n</w:t>
      </w:r>
      <w:r w:rsidRPr="00710766">
        <w:rPr>
          <w:vertAlign w:val="superscript"/>
        </w:rPr>
        <w:t>o</w:t>
      </w:r>
      <w:r w:rsidRPr="00710766">
        <w:t> </w:t>
      </w:r>
      <w:hyperlink w:tgtFrame="_blank" w:history="1" w:anchor="%7B%2522appno%2522:%5B%252248539/99%2522%5D%7D" r:id="rId16">
        <w:r w:rsidRPr="00710766">
          <w:t>48539/99</w:t>
        </w:r>
      </w:hyperlink>
      <w:r w:rsidRPr="00710766">
        <w:t xml:space="preserve">, 28 août 2001, </w:t>
      </w:r>
      <w:proofErr w:type="spellStart"/>
      <w:r w:rsidRPr="00710766">
        <w:rPr>
          <w:i/>
          <w:iCs/>
        </w:rPr>
        <w:t>Marchiani</w:t>
      </w:r>
      <w:proofErr w:type="spellEnd"/>
      <w:r w:rsidRPr="00710766">
        <w:rPr>
          <w:i/>
          <w:iCs/>
        </w:rPr>
        <w:t xml:space="preserve"> c. France</w:t>
      </w:r>
      <w:r w:rsidRPr="00710766">
        <w:t xml:space="preserve"> (déc.), n</w:t>
      </w:r>
      <w:r w:rsidRPr="00710766">
        <w:rPr>
          <w:vertAlign w:val="superscript"/>
        </w:rPr>
        <w:t>o</w:t>
      </w:r>
      <w:r w:rsidRPr="00710766">
        <w:t> </w:t>
      </w:r>
      <w:hyperlink w:tgtFrame="_blank" w:history="1" w:anchor="%7B%2522appno%2522:%5B%252230392/03%2522%5D%7D" r:id="rId17">
        <w:r w:rsidRPr="00710766">
          <w:t>30392/03</w:t>
        </w:r>
      </w:hyperlink>
      <w:r w:rsidRPr="00710766">
        <w:t xml:space="preserve">, 24 janvier 2006, et, </w:t>
      </w:r>
      <w:r w:rsidRPr="00710766">
        <w:rPr>
          <w:i/>
          <w:iCs/>
        </w:rPr>
        <w:t>a contrario</w:t>
      </w:r>
      <w:r w:rsidRPr="00710766">
        <w:t xml:space="preserve">, </w:t>
      </w:r>
      <w:r w:rsidRPr="00710766">
        <w:rPr>
          <w:i/>
          <w:iCs/>
        </w:rPr>
        <w:t xml:space="preserve">Paroisse Gréco-catholique </w:t>
      </w:r>
      <w:proofErr w:type="spellStart"/>
      <w:r w:rsidRPr="00710766">
        <w:rPr>
          <w:i/>
          <w:iCs/>
        </w:rPr>
        <w:t>Sâmbăta</w:t>
      </w:r>
      <w:proofErr w:type="spellEnd"/>
      <w:r w:rsidRPr="00710766">
        <w:rPr>
          <w:i/>
          <w:iCs/>
        </w:rPr>
        <w:t xml:space="preserve"> Bihor c. Roumanie</w:t>
      </w:r>
      <w:r w:rsidRPr="00710766">
        <w:t xml:space="preserve"> (déc.), n</w:t>
      </w:r>
      <w:r w:rsidRPr="00710766">
        <w:rPr>
          <w:vertAlign w:val="superscript"/>
        </w:rPr>
        <w:t>o</w:t>
      </w:r>
      <w:r w:rsidRPr="00710766">
        <w:t> </w:t>
      </w:r>
      <w:hyperlink w:tgtFrame="_blank" w:history="1" w:anchor="%7B%2522appno%2522:%5B%252248107/99%2522%5D%7D" r:id="rId18">
        <w:r w:rsidRPr="00710766">
          <w:t>48107/99</w:t>
        </w:r>
      </w:hyperlink>
      <w:r w:rsidRPr="00710766">
        <w:t>, 25 mai 2004).</w:t>
      </w:r>
    </w:p>
    <w:p w:rsidRPr="00710766" w:rsidR="002A531E" w:rsidP="00710766" w:rsidRDefault="002A531E" w14:paraId="4665630E" w14:textId="2CF4F152">
      <w:pPr>
        <w:pStyle w:val="JuPara"/>
      </w:pPr>
      <w:r w:rsidRPr="00710766">
        <w:fldChar w:fldCharType="begin"/>
      </w:r>
      <w:r w:rsidRPr="00710766">
        <w:instrText xml:space="preserve"> SEQ level0 \*arabic </w:instrText>
      </w:r>
      <w:r w:rsidRPr="00710766">
        <w:fldChar w:fldCharType="separate"/>
      </w:r>
      <w:r w:rsidRPr="00710766" w:rsidR="00710766">
        <w:rPr>
          <w:noProof/>
        </w:rPr>
        <w:t>87</w:t>
      </w:r>
      <w:r w:rsidRPr="00710766">
        <w:fldChar w:fldCharType="end"/>
      </w:r>
      <w:r w:rsidRPr="00710766">
        <w:t>.  À cet égard, la Cour relève qu</w:t>
      </w:r>
      <w:r w:rsidRPr="00710766" w:rsidR="00710766">
        <w:t>’</w:t>
      </w:r>
      <w:r w:rsidRPr="00710766">
        <w:t>en vertu de l</w:t>
      </w:r>
      <w:r w:rsidRPr="00710766" w:rsidR="00710766">
        <w:t>’</w:t>
      </w:r>
      <w:r w:rsidRPr="00710766">
        <w:t>article 35 § 1 de la Convention, elle ne peut être saisie que « (...) dans le délai de six mois, à partir de la décision interne définitive ». Cette règle étant d</w:t>
      </w:r>
      <w:r w:rsidRPr="00710766" w:rsidR="00710766">
        <w:t>’</w:t>
      </w:r>
      <w:r w:rsidRPr="00710766">
        <w:t>ordre public, elle a compétence pour l</w:t>
      </w:r>
      <w:r w:rsidRPr="00710766" w:rsidR="00710766">
        <w:t>’</w:t>
      </w:r>
      <w:r w:rsidRPr="00710766">
        <w:t>appliquer d</w:t>
      </w:r>
      <w:r w:rsidRPr="00710766" w:rsidR="00710766">
        <w:t>’</w:t>
      </w:r>
      <w:r w:rsidRPr="00710766">
        <w:t>office lorsque l</w:t>
      </w:r>
      <w:r w:rsidRPr="00710766" w:rsidR="00710766">
        <w:t>’</w:t>
      </w:r>
      <w:r w:rsidRPr="00710766">
        <w:t>État défendeur n</w:t>
      </w:r>
      <w:r w:rsidRPr="00710766" w:rsidR="00710766">
        <w:t>’</w:t>
      </w:r>
      <w:r w:rsidRPr="00710766">
        <w:t>a pas soulevé d</w:t>
      </w:r>
      <w:r w:rsidRPr="00710766" w:rsidR="00710766">
        <w:t>’</w:t>
      </w:r>
      <w:r w:rsidRPr="00710766">
        <w:t>exception fondée sur cette règle (</w:t>
      </w:r>
      <w:r w:rsidRPr="00710766">
        <w:rPr>
          <w:i/>
          <w:iCs/>
        </w:rPr>
        <w:t xml:space="preserve">Sabri </w:t>
      </w:r>
      <w:proofErr w:type="spellStart"/>
      <w:r w:rsidRPr="00710766">
        <w:rPr>
          <w:i/>
          <w:iCs/>
        </w:rPr>
        <w:t>Güneş</w:t>
      </w:r>
      <w:proofErr w:type="spellEnd"/>
      <w:r w:rsidRPr="00710766">
        <w:rPr>
          <w:i/>
          <w:iCs/>
        </w:rPr>
        <w:t xml:space="preserve"> c. Turquie</w:t>
      </w:r>
      <w:r w:rsidRPr="00710766">
        <w:t> [GC], n</w:t>
      </w:r>
      <w:r w:rsidRPr="00710766">
        <w:rPr>
          <w:vertAlign w:val="superscript"/>
        </w:rPr>
        <w:t>o</w:t>
      </w:r>
      <w:r w:rsidRPr="00710766">
        <w:t> </w:t>
      </w:r>
      <w:hyperlink w:tgtFrame="_blank" w:history="1" w:anchor="%7B%2522appno%2522:%5B%252227396/06%2522%5D%7D" r:id="rId19">
        <w:r w:rsidRPr="00710766">
          <w:t>27396/06</w:t>
        </w:r>
      </w:hyperlink>
      <w:r w:rsidRPr="00710766">
        <w:t>, § 29, 29 juin 2012). Elle rappelle également que pour tout grief non contenu dans la requête proprement dite, le cours du délai de six mois prévu à l</w:t>
      </w:r>
      <w:r w:rsidRPr="00710766" w:rsidR="00710766">
        <w:t>’</w:t>
      </w:r>
      <w:r w:rsidRPr="00710766">
        <w:t>article 35 § 1 de la Convention n</w:t>
      </w:r>
      <w:r w:rsidRPr="00710766" w:rsidR="00710766">
        <w:t>’</w:t>
      </w:r>
      <w:r w:rsidRPr="00710766">
        <w:t>est interrompu que le jour où il est exprimé pour la première fois devant elle (voir, par exemple, </w:t>
      </w:r>
      <w:r w:rsidRPr="00710766">
        <w:rPr>
          <w:i/>
          <w:iCs/>
        </w:rPr>
        <w:t>R.M. et autres c. France</w:t>
      </w:r>
      <w:r w:rsidRPr="00710766">
        <w:t>, n</w:t>
      </w:r>
      <w:r w:rsidRPr="00710766">
        <w:rPr>
          <w:vertAlign w:val="superscript"/>
        </w:rPr>
        <w:t>o</w:t>
      </w:r>
      <w:r w:rsidRPr="00710766">
        <w:t> </w:t>
      </w:r>
      <w:hyperlink w:tgtFrame="_blank" w:history="1" w:anchor="{%22appno%22:[%2233201/11%22]}" r:id="rId20">
        <w:r w:rsidRPr="00710766">
          <w:t>33201/11</w:t>
        </w:r>
      </w:hyperlink>
      <w:r w:rsidRPr="00710766">
        <w:t>, § 94, 12 juillet 2016).</w:t>
      </w:r>
    </w:p>
    <w:p w:rsidRPr="00710766" w:rsidR="002A531E" w:rsidP="00710766" w:rsidRDefault="002A531E" w14:paraId="3A95F5D7" w14:textId="5154AE10">
      <w:pPr>
        <w:pStyle w:val="JuPara"/>
      </w:pPr>
      <w:r w:rsidRPr="00710766">
        <w:fldChar w:fldCharType="begin"/>
      </w:r>
      <w:r w:rsidRPr="00710766">
        <w:instrText xml:space="preserve"> SEQ level0 \*arabic </w:instrText>
      </w:r>
      <w:r w:rsidRPr="00710766">
        <w:fldChar w:fldCharType="separate"/>
      </w:r>
      <w:r w:rsidRPr="00710766" w:rsidR="00710766">
        <w:rPr>
          <w:noProof/>
        </w:rPr>
        <w:t>88</w:t>
      </w:r>
      <w:r w:rsidRPr="00710766">
        <w:fldChar w:fldCharType="end"/>
      </w:r>
      <w:r w:rsidRPr="00710766">
        <w:t>.  En ce qui concerne le grief tiré de l</w:t>
      </w:r>
      <w:r w:rsidRPr="00710766" w:rsidR="00710766">
        <w:t>’</w:t>
      </w:r>
      <w:r w:rsidRPr="00710766">
        <w:t>article 18 de la Convention, la dernière décision interne définitive au sens de l</w:t>
      </w:r>
      <w:r w:rsidRPr="00710766" w:rsidR="00710766">
        <w:t>’</w:t>
      </w:r>
      <w:r w:rsidRPr="00710766">
        <w:t>article 35 § 1 de la Convention est l</w:t>
      </w:r>
      <w:r w:rsidRPr="00710766" w:rsidR="00710766">
        <w:t>’</w:t>
      </w:r>
      <w:r w:rsidRPr="00710766">
        <w:t>arrêt de la Cour constitutionnelle du 11 octobre 2018 (paragraphe </w:t>
      </w:r>
      <w:r w:rsidRPr="00710766">
        <w:fldChar w:fldCharType="begin"/>
      </w:r>
      <w:r w:rsidRPr="00710766">
        <w:instrText xml:space="preserve"> REF paragraph15 \h  \* MERGEFORMAT </w:instrText>
      </w:r>
      <w:r w:rsidRPr="00710766">
        <w:fldChar w:fldCharType="separate"/>
      </w:r>
      <w:r w:rsidRPr="00710766" w:rsidR="00710766">
        <w:t>17</w:t>
      </w:r>
      <w:r w:rsidRPr="00710766">
        <w:fldChar w:fldCharType="end"/>
      </w:r>
      <w:r w:rsidRPr="00710766">
        <w:t xml:space="preserve"> ci-dessus). Par ailleurs, il convient d</w:t>
      </w:r>
      <w:r w:rsidRPr="00710766" w:rsidR="00710766">
        <w:t>’</w:t>
      </w:r>
      <w:r w:rsidRPr="00710766">
        <w:t>observer que la détention provisoire du requérant a pris fin le 11 octobre 2019, à la suite de sa remise en liberté provisoire.</w:t>
      </w:r>
    </w:p>
    <w:p w:rsidRPr="00710766" w:rsidR="002A531E" w:rsidP="00710766" w:rsidRDefault="002A531E" w14:paraId="26050635" w14:textId="1F1CED3A">
      <w:pPr>
        <w:pStyle w:val="JuPara"/>
      </w:pPr>
      <w:r w:rsidRPr="00710766">
        <w:fldChar w:fldCharType="begin"/>
      </w:r>
      <w:r w:rsidRPr="00710766">
        <w:instrText xml:space="preserve"> SEQ level0 \*arabic </w:instrText>
      </w:r>
      <w:r w:rsidRPr="00710766">
        <w:fldChar w:fldCharType="separate"/>
      </w:r>
      <w:r w:rsidRPr="00710766" w:rsidR="00710766">
        <w:rPr>
          <w:noProof/>
        </w:rPr>
        <w:t>89</w:t>
      </w:r>
      <w:r w:rsidRPr="00710766">
        <w:fldChar w:fldCharType="end"/>
      </w:r>
      <w:r w:rsidRPr="00710766">
        <w:t>.  Ce grief ayant été introduit le 25 janvier 2021, date de l</w:t>
      </w:r>
      <w:r w:rsidRPr="00710766" w:rsidR="00710766">
        <w:t>’</w:t>
      </w:r>
      <w:r w:rsidRPr="00710766">
        <w:t>envoi des observations du requérant, il est tardif et doit donc être déclaré irrecevable en application de l</w:t>
      </w:r>
      <w:r w:rsidRPr="00710766" w:rsidR="00710766">
        <w:t>’</w:t>
      </w:r>
      <w:r w:rsidRPr="00710766">
        <w:t>article 35 §§ 1 et 4 de la Convention.</w:t>
      </w:r>
    </w:p>
    <w:p w:rsidRPr="00710766" w:rsidR="002A531E" w:rsidP="00710766" w:rsidRDefault="002A531E" w14:paraId="29CBF593" w14:textId="209A951B">
      <w:pPr>
        <w:pStyle w:val="JuHIRoman"/>
        <w:numPr>
          <w:ilvl w:val="1"/>
          <w:numId w:val="19"/>
        </w:numPr>
      </w:pPr>
      <w:r w:rsidRPr="00710766">
        <w:rPr>
          <w:caps w:val="0"/>
        </w:rPr>
        <w:t>SUR L</w:t>
      </w:r>
      <w:r w:rsidRPr="00710766" w:rsidR="00710766">
        <w:rPr>
          <w:caps w:val="0"/>
        </w:rPr>
        <w:t>’</w:t>
      </w:r>
      <w:r w:rsidRPr="00710766">
        <w:rPr>
          <w:caps w:val="0"/>
        </w:rPr>
        <w:t>APPLICATION DE L</w:t>
      </w:r>
      <w:r w:rsidRPr="00710766" w:rsidR="00710766">
        <w:rPr>
          <w:caps w:val="0"/>
        </w:rPr>
        <w:t>’</w:t>
      </w:r>
      <w:r w:rsidRPr="00710766">
        <w:rPr>
          <w:caps w:val="0"/>
        </w:rPr>
        <w:t>ARTICLE 41 DE LA CONVENTION</w:t>
      </w:r>
    </w:p>
    <w:p w:rsidRPr="00710766" w:rsidR="002A531E" w:rsidP="00710766" w:rsidRDefault="002A531E" w14:paraId="1098C579" w14:textId="55848D0A">
      <w:pPr>
        <w:pStyle w:val="JuPara"/>
      </w:pPr>
      <w:r w:rsidRPr="00710766">
        <w:fldChar w:fldCharType="begin"/>
      </w:r>
      <w:r w:rsidRPr="00710766">
        <w:instrText xml:space="preserve"> SEQ level0 \*arabic </w:instrText>
      </w:r>
      <w:r w:rsidRPr="00710766">
        <w:fldChar w:fldCharType="separate"/>
      </w:r>
      <w:r w:rsidRPr="00710766" w:rsidR="00710766">
        <w:rPr>
          <w:noProof/>
        </w:rPr>
        <w:t>90</w:t>
      </w:r>
      <w:r w:rsidRPr="00710766">
        <w:fldChar w:fldCharType="end"/>
      </w:r>
      <w:r w:rsidRPr="00710766">
        <w:t>.  </w:t>
      </w:r>
      <w:bookmarkStart w:name="_Hlk36128236" w:id="36"/>
      <w:r w:rsidRPr="00710766">
        <w:t>Aux termes de l</w:t>
      </w:r>
      <w:r w:rsidRPr="00710766" w:rsidR="00710766">
        <w:t>’</w:t>
      </w:r>
      <w:r w:rsidRPr="00710766">
        <w:t>article 41 de la Convention :</w:t>
      </w:r>
      <w:bookmarkEnd w:id="36"/>
    </w:p>
    <w:p w:rsidRPr="00710766" w:rsidR="002A531E" w:rsidP="00710766" w:rsidRDefault="002A531E" w14:paraId="4FDC67DB" w14:textId="0F07123D">
      <w:pPr>
        <w:pStyle w:val="JuQuot"/>
      </w:pPr>
      <w:bookmarkStart w:name="_Hlk36128242" w:id="37"/>
      <w:r w:rsidRPr="00710766">
        <w:t>« Si la Cour déclare qu</w:t>
      </w:r>
      <w:r w:rsidRPr="00710766" w:rsidR="00710766">
        <w:t>’</w:t>
      </w:r>
      <w:r w:rsidRPr="00710766">
        <w:t>il y a eu violation de la Convention ou de ses Protocoles, et si le droit interne de la Haute Partie contractante ne permet d</w:t>
      </w:r>
      <w:r w:rsidRPr="00710766" w:rsidR="00710766">
        <w:t>’</w:t>
      </w:r>
      <w:r w:rsidRPr="00710766">
        <w:t>effacer qu</w:t>
      </w:r>
      <w:r w:rsidRPr="00710766" w:rsidR="00710766">
        <w:t>’</w:t>
      </w:r>
      <w:r w:rsidRPr="00710766">
        <w:t>imparfaitement les conséquences de cette violation, la Cour accorde à la partie lésée, s</w:t>
      </w:r>
      <w:r w:rsidRPr="00710766" w:rsidR="00710766">
        <w:t>’</w:t>
      </w:r>
      <w:r w:rsidRPr="00710766">
        <w:t>il y a lieu, une satisfaction équitable. »</w:t>
      </w:r>
      <w:bookmarkEnd w:id="37"/>
    </w:p>
    <w:p w:rsidRPr="00710766" w:rsidR="002A531E" w:rsidP="00710766" w:rsidRDefault="002A531E" w14:paraId="55891F8A" w14:textId="77777777">
      <w:pPr>
        <w:pStyle w:val="JuHA"/>
        <w:numPr>
          <w:ilvl w:val="2"/>
          <w:numId w:val="19"/>
        </w:numPr>
      </w:pPr>
      <w:r w:rsidRPr="00710766">
        <w:t>Dommage</w:t>
      </w:r>
    </w:p>
    <w:p w:rsidRPr="00710766" w:rsidR="002A531E" w:rsidP="00710766" w:rsidRDefault="002A531E" w14:paraId="088BC8F4" w14:textId="7471D57A">
      <w:pPr>
        <w:pStyle w:val="JuPara"/>
      </w:pPr>
      <w:r w:rsidRPr="00710766">
        <w:fldChar w:fldCharType="begin"/>
      </w:r>
      <w:r w:rsidRPr="00710766">
        <w:instrText xml:space="preserve"> SEQ level0 \*arabic </w:instrText>
      </w:r>
      <w:r w:rsidRPr="00710766">
        <w:fldChar w:fldCharType="separate"/>
      </w:r>
      <w:r w:rsidRPr="00710766" w:rsidR="00710766">
        <w:rPr>
          <w:noProof/>
        </w:rPr>
        <w:t>91</w:t>
      </w:r>
      <w:r w:rsidRPr="00710766">
        <w:fldChar w:fldCharType="end"/>
      </w:r>
      <w:r w:rsidRPr="00710766">
        <w:t>.  Le requérant réclame la réparation intégrale du préjudice matériel qu</w:t>
      </w:r>
      <w:r w:rsidRPr="00710766" w:rsidR="00710766">
        <w:t>’</w:t>
      </w:r>
      <w:r w:rsidRPr="00710766">
        <w:t>il dit avoir subi à raison de la perte des revenus qu</w:t>
      </w:r>
      <w:r w:rsidRPr="00710766" w:rsidR="00710766">
        <w:t>’</w:t>
      </w:r>
      <w:r w:rsidRPr="00710766">
        <w:t>il aurait selon lui perçus s</w:t>
      </w:r>
      <w:r w:rsidRPr="00710766" w:rsidR="00710766">
        <w:t>’</w:t>
      </w:r>
      <w:r w:rsidRPr="00710766">
        <w:t>il n</w:t>
      </w:r>
      <w:r w:rsidRPr="00710766" w:rsidR="00710766">
        <w:t>’</w:t>
      </w:r>
      <w:r w:rsidRPr="00710766">
        <w:t>avait pas été relevé de ses fonctions de maire. À ce titre, il demande 250 000 livres turques (TRY) (soit environ 24 890 euros (EUR)). Il réclame en outre 500 000 TRY (soit 49 780 EUR environ) au titre du dommage moral qu</w:t>
      </w:r>
      <w:r w:rsidRPr="00710766" w:rsidR="00710766">
        <w:t>’</w:t>
      </w:r>
      <w:r w:rsidRPr="00710766">
        <w:t>il estime avoir subi.</w:t>
      </w:r>
    </w:p>
    <w:p w:rsidRPr="00710766" w:rsidR="002A531E" w:rsidP="00710766" w:rsidRDefault="002A531E" w14:paraId="75A8E79E" w14:textId="09B77AE6">
      <w:pPr>
        <w:pStyle w:val="JuPara"/>
      </w:pPr>
      <w:r w:rsidRPr="00710766">
        <w:fldChar w:fldCharType="begin"/>
      </w:r>
      <w:r w:rsidRPr="00710766">
        <w:instrText xml:space="preserve"> SEQ level0 \*arabic </w:instrText>
      </w:r>
      <w:r w:rsidRPr="00710766">
        <w:fldChar w:fldCharType="separate"/>
      </w:r>
      <w:r w:rsidRPr="00710766" w:rsidR="00710766">
        <w:rPr>
          <w:noProof/>
        </w:rPr>
        <w:t>92</w:t>
      </w:r>
      <w:r w:rsidRPr="00710766">
        <w:fldChar w:fldCharType="end"/>
      </w:r>
      <w:r w:rsidRPr="00710766">
        <w:t>.  Le Gouvernement conteste ces montants.</w:t>
      </w:r>
    </w:p>
    <w:p w:rsidRPr="00710766" w:rsidR="002A531E" w:rsidP="00710766" w:rsidRDefault="002A531E" w14:paraId="6BCA9454" w14:textId="79E10D41">
      <w:pPr>
        <w:pStyle w:val="JuPara"/>
      </w:pPr>
      <w:r w:rsidRPr="00710766">
        <w:fldChar w:fldCharType="begin"/>
      </w:r>
      <w:r w:rsidRPr="00710766">
        <w:instrText xml:space="preserve"> SEQ level0 \*arabic </w:instrText>
      </w:r>
      <w:r w:rsidRPr="00710766">
        <w:fldChar w:fldCharType="separate"/>
      </w:r>
      <w:r w:rsidRPr="00710766" w:rsidR="00710766">
        <w:rPr>
          <w:noProof/>
        </w:rPr>
        <w:t>93</w:t>
      </w:r>
      <w:r w:rsidRPr="00710766">
        <w:fldChar w:fldCharType="end"/>
      </w:r>
      <w:r w:rsidRPr="00710766">
        <w:t>.  La Cour ne distingue aucun lien de causalité entre la violation constatée et le dommage matériel allégué. Elle rejette donc la demande formulée à ce titre. En revanche, elle octroie au requérant 10 000 EUR pour dommage moral, plus tout montant pouvant être dû sur cette somme à titre d</w:t>
      </w:r>
      <w:r w:rsidRPr="00710766" w:rsidR="00710766">
        <w:t>’</w:t>
      </w:r>
      <w:r w:rsidRPr="00710766">
        <w:t>impôt.</w:t>
      </w:r>
    </w:p>
    <w:p w:rsidRPr="00710766" w:rsidR="002A531E" w:rsidP="00710766" w:rsidRDefault="002A531E" w14:paraId="55A94523" w14:textId="77777777">
      <w:pPr>
        <w:pStyle w:val="JuHA"/>
        <w:numPr>
          <w:ilvl w:val="2"/>
          <w:numId w:val="19"/>
        </w:numPr>
      </w:pPr>
      <w:r w:rsidRPr="00710766">
        <w:t>Frais et dépens</w:t>
      </w:r>
    </w:p>
    <w:p w:rsidRPr="00710766" w:rsidR="002A531E" w:rsidP="00710766" w:rsidRDefault="002A531E" w14:paraId="59CE3BD6" w14:textId="626299FF">
      <w:pPr>
        <w:pStyle w:val="JuPara"/>
      </w:pPr>
      <w:r w:rsidRPr="00710766">
        <w:fldChar w:fldCharType="begin"/>
      </w:r>
      <w:r w:rsidRPr="00710766">
        <w:instrText xml:space="preserve"> SEQ level0 \*arabic </w:instrText>
      </w:r>
      <w:r w:rsidRPr="00710766">
        <w:fldChar w:fldCharType="separate"/>
      </w:r>
      <w:r w:rsidRPr="00710766" w:rsidR="00710766">
        <w:rPr>
          <w:noProof/>
        </w:rPr>
        <w:t>94</w:t>
      </w:r>
      <w:r w:rsidRPr="00710766">
        <w:fldChar w:fldCharType="end"/>
      </w:r>
      <w:r w:rsidRPr="00710766">
        <w:t>.  Le requérant réclame 72 000 TRY (soit 7 170 EUR environ) au titre des frais et dépens qu</w:t>
      </w:r>
      <w:r w:rsidRPr="00710766" w:rsidR="00710766">
        <w:t>’</w:t>
      </w:r>
      <w:r w:rsidRPr="00710766">
        <w:t>il a engagés dans le cadre de la procédure menée devant les juridictions internes et de la procédure menée devant la Cour. Il soumet, à titre de justificatifs, un décompte horaire détaillé de son avocat et le tableau de référence des honoraires d</w:t>
      </w:r>
      <w:r w:rsidRPr="00710766" w:rsidR="00710766">
        <w:t>’</w:t>
      </w:r>
      <w:r w:rsidRPr="00710766">
        <w:t xml:space="preserve">avocat du barreau de </w:t>
      </w:r>
      <w:proofErr w:type="spellStart"/>
      <w:r w:rsidRPr="00710766">
        <w:t>Diyarbakɪr</w:t>
      </w:r>
      <w:proofErr w:type="spellEnd"/>
      <w:r w:rsidRPr="00710766">
        <w:t>.</w:t>
      </w:r>
    </w:p>
    <w:p w:rsidRPr="00710766" w:rsidR="002A531E" w:rsidP="00710766" w:rsidRDefault="002A531E" w14:paraId="57DA5EB3" w14:textId="07888975">
      <w:pPr>
        <w:pStyle w:val="JuPara"/>
      </w:pPr>
      <w:r w:rsidRPr="00710766">
        <w:fldChar w:fldCharType="begin"/>
      </w:r>
      <w:r w:rsidRPr="00710766">
        <w:instrText xml:space="preserve"> SEQ level0 \*arabic </w:instrText>
      </w:r>
      <w:r w:rsidRPr="00710766">
        <w:fldChar w:fldCharType="separate"/>
      </w:r>
      <w:r w:rsidRPr="00710766" w:rsidR="00710766">
        <w:rPr>
          <w:noProof/>
        </w:rPr>
        <w:t>95</w:t>
      </w:r>
      <w:r w:rsidRPr="00710766">
        <w:fldChar w:fldCharType="end"/>
      </w:r>
      <w:r w:rsidRPr="00710766">
        <w:t>.  Le Gouvernement conteste les montants réclamés.</w:t>
      </w:r>
    </w:p>
    <w:p w:rsidRPr="00710766" w:rsidR="002A531E" w:rsidP="00710766" w:rsidRDefault="002A531E" w14:paraId="6F6FF0AF" w14:textId="37645ECD">
      <w:pPr>
        <w:pStyle w:val="JuPara"/>
      </w:pPr>
      <w:r w:rsidRPr="00710766">
        <w:fldChar w:fldCharType="begin"/>
      </w:r>
      <w:r w:rsidRPr="00710766">
        <w:instrText xml:space="preserve"> SEQ level0 \*arabic </w:instrText>
      </w:r>
      <w:r w:rsidRPr="00710766">
        <w:fldChar w:fldCharType="separate"/>
      </w:r>
      <w:r w:rsidRPr="00710766" w:rsidR="00710766">
        <w:rPr>
          <w:noProof/>
        </w:rPr>
        <w:t>96</w:t>
      </w:r>
      <w:r w:rsidRPr="00710766">
        <w:fldChar w:fldCharType="end"/>
      </w:r>
      <w:r w:rsidRPr="00710766">
        <w:t>.  Selon la jurisprudence de la Cour, un requérant ne peut obtenir le remboursement de ses frais et dépens que dans la mesure où se trouvent établis leur réalité, leur nécessité et le caractère raisonnable de leur taux. Compte tenu des éléments dont elle dispose, des critères susmentionnés et de la complexité de l</w:t>
      </w:r>
      <w:r w:rsidRPr="00710766" w:rsidR="00710766">
        <w:t>’</w:t>
      </w:r>
      <w:r w:rsidRPr="00710766">
        <w:t>affaire, la Cour estime raisonnable d</w:t>
      </w:r>
      <w:r w:rsidRPr="00710766" w:rsidR="00710766">
        <w:t>’</w:t>
      </w:r>
      <w:r w:rsidRPr="00710766">
        <w:t>allouer au requérant la somme de 3 000 EUR tous frais confondus.</w:t>
      </w:r>
    </w:p>
    <w:p w:rsidRPr="00710766" w:rsidR="002A531E" w:rsidP="00710766" w:rsidRDefault="002A531E" w14:paraId="34716CDA" w14:textId="77777777">
      <w:pPr>
        <w:pStyle w:val="JuHA"/>
        <w:numPr>
          <w:ilvl w:val="2"/>
          <w:numId w:val="19"/>
        </w:numPr>
      </w:pPr>
      <w:r w:rsidRPr="00710766">
        <w:t>Intérêts moratoires</w:t>
      </w:r>
    </w:p>
    <w:p w:rsidRPr="00710766" w:rsidR="002A531E" w:rsidP="00710766" w:rsidRDefault="002A531E" w14:paraId="7E69A3A9" w14:textId="279C4B77">
      <w:pPr>
        <w:pStyle w:val="JuPara"/>
      </w:pPr>
      <w:r w:rsidRPr="00710766">
        <w:fldChar w:fldCharType="begin"/>
      </w:r>
      <w:r w:rsidRPr="00710766">
        <w:instrText xml:space="preserve"> SEQ level0 \*arabic </w:instrText>
      </w:r>
      <w:r w:rsidRPr="00710766">
        <w:fldChar w:fldCharType="separate"/>
      </w:r>
      <w:r w:rsidRPr="00710766" w:rsidR="00710766">
        <w:rPr>
          <w:noProof/>
        </w:rPr>
        <w:t>97</w:t>
      </w:r>
      <w:r w:rsidRPr="00710766">
        <w:fldChar w:fldCharType="end"/>
      </w:r>
      <w:r w:rsidRPr="00710766">
        <w:t>.  La Cour juge approprié de calquer le taux des intérêts moratoires sur le taux d</w:t>
      </w:r>
      <w:r w:rsidRPr="00710766" w:rsidR="00710766">
        <w:t>’</w:t>
      </w:r>
      <w:r w:rsidRPr="00710766">
        <w:t>intérêt de la facilité de prêt marginal de la Banque centrale européenne majoré de trois points de pourcentage.</w:t>
      </w:r>
    </w:p>
    <w:p w:rsidRPr="00710766" w:rsidR="002A531E" w:rsidP="00710766" w:rsidRDefault="002A531E" w14:paraId="35B87AA3" w14:textId="725F5B93">
      <w:pPr>
        <w:pStyle w:val="JuHHead"/>
        <w:numPr>
          <w:ilvl w:val="0"/>
          <w:numId w:val="19"/>
        </w:numPr>
      </w:pPr>
      <w:r w:rsidRPr="00710766">
        <w:t xml:space="preserve">PAR CES MOTIFS, LA COUR, </w:t>
      </w:r>
      <w:r w:rsidRPr="00710766">
        <w:rPr>
          <w:caps w:val="0"/>
        </w:rPr>
        <w:t>À L</w:t>
      </w:r>
      <w:r w:rsidRPr="00710766" w:rsidR="00710766">
        <w:rPr>
          <w:caps w:val="0"/>
        </w:rPr>
        <w:t>’</w:t>
      </w:r>
      <w:r w:rsidRPr="00710766">
        <w:rPr>
          <w:caps w:val="0"/>
        </w:rPr>
        <w:t>UNANIMITÉ</w:t>
      </w:r>
      <w:r w:rsidRPr="00710766">
        <w:t>,</w:t>
      </w:r>
    </w:p>
    <w:p w:rsidRPr="00710766" w:rsidR="002A531E" w:rsidP="00710766" w:rsidRDefault="002A531E" w14:paraId="01459CF4" w14:textId="40401DB7">
      <w:pPr>
        <w:pStyle w:val="JuList"/>
      </w:pPr>
      <w:r w:rsidRPr="00710766">
        <w:rPr>
          <w:i/>
          <w:iCs/>
        </w:rPr>
        <w:t>Joint au fond</w:t>
      </w:r>
      <w:r w:rsidRPr="00710766">
        <w:t xml:space="preserve"> les exceptions préliminaires de non-épuisement des voies de recours internes et de défaut de qualité de victime concernant le grief fondé sur l</w:t>
      </w:r>
      <w:r w:rsidRPr="00710766" w:rsidR="00710766">
        <w:t>’</w:t>
      </w:r>
      <w:r w:rsidRPr="00710766">
        <w:t>article 10 de la Convention et les rejette</w:t>
      </w:r>
      <w:r w:rsidRPr="00710766" w:rsidR="007D585C">
        <w:t> </w:t>
      </w:r>
      <w:r w:rsidRPr="00710766">
        <w:t>;</w:t>
      </w:r>
    </w:p>
    <w:p w:rsidRPr="00710766" w:rsidR="002A531E" w:rsidP="00710766" w:rsidRDefault="002A531E" w14:paraId="66A2F908" w14:textId="32E5B3F6">
      <w:pPr>
        <w:pStyle w:val="JuList"/>
      </w:pPr>
      <w:r w:rsidRPr="00710766">
        <w:rPr>
          <w:i/>
        </w:rPr>
        <w:t>Déclare</w:t>
      </w:r>
      <w:r w:rsidRPr="00710766" w:rsidR="007D585C">
        <w:t xml:space="preserve"> </w:t>
      </w:r>
      <w:r w:rsidRPr="00710766">
        <w:t>les griefs fondés sur l</w:t>
      </w:r>
      <w:r w:rsidRPr="00710766" w:rsidR="00710766">
        <w:t>’</w:t>
      </w:r>
      <w:r w:rsidRPr="00710766">
        <w:t>article 5 §§ 1 c) et 3 et l</w:t>
      </w:r>
      <w:r w:rsidRPr="00710766" w:rsidR="00710766">
        <w:t>’</w:t>
      </w:r>
      <w:r w:rsidRPr="00710766">
        <w:t>article 10 recevables, et la requête irrecevable pour le surplus ;</w:t>
      </w:r>
    </w:p>
    <w:p w:rsidRPr="00710766" w:rsidR="002A531E" w:rsidP="00710766" w:rsidRDefault="002A531E" w14:paraId="1538912F" w14:textId="0712F039">
      <w:pPr>
        <w:pStyle w:val="JuList"/>
      </w:pPr>
      <w:r w:rsidRPr="00710766">
        <w:rPr>
          <w:i/>
        </w:rPr>
        <w:t>Dit</w:t>
      </w:r>
      <w:r w:rsidRPr="00710766">
        <w:t xml:space="preserve"> qu</w:t>
      </w:r>
      <w:r w:rsidRPr="00710766" w:rsidR="00710766">
        <w:t>’</w:t>
      </w:r>
      <w:r w:rsidRPr="00710766">
        <w:t>il y a eu violation de l</w:t>
      </w:r>
      <w:r w:rsidRPr="00710766" w:rsidR="00710766">
        <w:t>’</w:t>
      </w:r>
      <w:r w:rsidRPr="00710766">
        <w:t>article 5 § 3 de la Convention à raison de l</w:t>
      </w:r>
      <w:r w:rsidRPr="00710766" w:rsidR="00710766">
        <w:t>’</w:t>
      </w:r>
      <w:r w:rsidRPr="00710766">
        <w:t>absence de motifs suffisants de placer et maintenir le requérant en détention provisoire</w:t>
      </w:r>
      <w:r w:rsidRPr="00710766" w:rsidR="007D585C">
        <w:t> </w:t>
      </w:r>
      <w:r w:rsidRPr="00710766">
        <w:t>;</w:t>
      </w:r>
    </w:p>
    <w:p w:rsidRPr="00710766" w:rsidR="002A531E" w:rsidP="00710766" w:rsidRDefault="002A531E" w14:paraId="36267EE2" w14:textId="0611A576">
      <w:pPr>
        <w:pStyle w:val="JuList"/>
      </w:pPr>
      <w:r w:rsidRPr="00710766">
        <w:rPr>
          <w:i/>
        </w:rPr>
        <w:t>Dit</w:t>
      </w:r>
      <w:r w:rsidRPr="00710766" w:rsidR="007D585C">
        <w:t xml:space="preserve"> </w:t>
      </w:r>
      <w:r w:rsidRPr="00710766">
        <w:t>qu</w:t>
      </w:r>
      <w:r w:rsidRPr="00710766" w:rsidR="00710766">
        <w:t>’</w:t>
      </w:r>
      <w:r w:rsidRPr="00710766">
        <w:t>il n</w:t>
      </w:r>
      <w:r w:rsidRPr="00710766" w:rsidR="00710766">
        <w:t>’</w:t>
      </w:r>
      <w:r w:rsidRPr="00710766">
        <w:t>y a pas lieu d</w:t>
      </w:r>
      <w:r w:rsidRPr="00710766" w:rsidR="00710766">
        <w:t>’</w:t>
      </w:r>
      <w:r w:rsidRPr="00710766">
        <w:t>examiner séparément le grief formulé sur le terrain de l</w:t>
      </w:r>
      <w:r w:rsidRPr="00710766" w:rsidR="00710766">
        <w:t>’</w:t>
      </w:r>
      <w:r w:rsidRPr="00710766">
        <w:t>article 5 § 1 c) de la Convention ;</w:t>
      </w:r>
    </w:p>
    <w:p w:rsidRPr="00710766" w:rsidR="002A531E" w:rsidP="00710766" w:rsidRDefault="002A531E" w14:paraId="7DDE7086" w14:textId="49D570A2">
      <w:pPr>
        <w:pStyle w:val="JuList"/>
      </w:pPr>
      <w:r w:rsidRPr="00710766">
        <w:rPr>
          <w:i/>
        </w:rPr>
        <w:t>Dit</w:t>
      </w:r>
      <w:r w:rsidRPr="00710766" w:rsidR="007D585C">
        <w:t xml:space="preserve"> </w:t>
      </w:r>
      <w:r w:rsidRPr="00710766">
        <w:t>qu</w:t>
      </w:r>
      <w:r w:rsidRPr="00710766" w:rsidR="00710766">
        <w:t>’</w:t>
      </w:r>
      <w:r w:rsidRPr="00710766">
        <w:t>il y a eu violation de l</w:t>
      </w:r>
      <w:r w:rsidRPr="00710766" w:rsidR="00710766">
        <w:t>’</w:t>
      </w:r>
      <w:r w:rsidRPr="00710766">
        <w:t>article 10 de la Convention ;</w:t>
      </w:r>
    </w:p>
    <w:p w:rsidRPr="00710766" w:rsidR="002A531E" w:rsidP="00710766" w:rsidRDefault="002A531E" w14:paraId="598FCF5F" w14:textId="77777777">
      <w:pPr>
        <w:pStyle w:val="JuList"/>
      </w:pPr>
      <w:r w:rsidRPr="00710766">
        <w:rPr>
          <w:i/>
        </w:rPr>
        <w:t>Dit</w:t>
      </w:r>
      <w:r w:rsidRPr="00710766" w:rsidR="007D585C">
        <w:rPr>
          <w:iCs/>
        </w:rPr>
        <w:t>,</w:t>
      </w:r>
    </w:p>
    <w:p w:rsidRPr="00710766" w:rsidR="002A531E" w:rsidP="00710766" w:rsidRDefault="002A531E" w14:paraId="7D1351BD" w14:textId="7EFCC4D0">
      <w:pPr>
        <w:pStyle w:val="JuLista"/>
      </w:pPr>
      <w:proofErr w:type="gramStart"/>
      <w:r w:rsidRPr="00710766">
        <w:t>que</w:t>
      </w:r>
      <w:proofErr w:type="gramEnd"/>
      <w:r w:rsidRPr="00710766">
        <w:t xml:space="preserve"> l</w:t>
      </w:r>
      <w:r w:rsidRPr="00710766" w:rsidR="00710766">
        <w:t>’</w:t>
      </w:r>
      <w:r w:rsidRPr="00710766">
        <w:t>État défendeur doit verser au requérant, dans un délai de trois mois à compter de la date à laquelle l</w:t>
      </w:r>
      <w:r w:rsidRPr="00710766" w:rsidR="00710766">
        <w:t>’</w:t>
      </w:r>
      <w:r w:rsidRPr="00710766">
        <w:t>arrêt sera devenu définitif conformément à l</w:t>
      </w:r>
      <w:r w:rsidRPr="00710766" w:rsidR="00710766">
        <w:t>’</w:t>
      </w:r>
      <w:r w:rsidRPr="00710766">
        <w:t>article 44 § 2 de la Convention, les sommes suivantes, à convertir dans la monnaie de l</w:t>
      </w:r>
      <w:r w:rsidRPr="00710766" w:rsidR="00710766">
        <w:t>’</w:t>
      </w:r>
      <w:r w:rsidRPr="00710766">
        <w:t>État défendeur au taux applicable à la date du règlement :</w:t>
      </w:r>
    </w:p>
    <w:p w:rsidRPr="00710766" w:rsidR="002A531E" w:rsidP="00710766" w:rsidRDefault="002A531E" w14:paraId="6933C4E1" w14:textId="142F460F">
      <w:pPr>
        <w:pStyle w:val="JuListi"/>
      </w:pPr>
      <w:r w:rsidRPr="00710766">
        <w:t>10 000 EUR (dix mille euros), plus tout montant pouvant être dû sur cette somme à titre d</w:t>
      </w:r>
      <w:r w:rsidRPr="00710766" w:rsidR="00710766">
        <w:t>’</w:t>
      </w:r>
      <w:r w:rsidRPr="00710766">
        <w:t>impôt, pour dommage moral ;</w:t>
      </w:r>
    </w:p>
    <w:p w:rsidRPr="00710766" w:rsidR="002A531E" w:rsidP="00710766" w:rsidRDefault="002A531E" w14:paraId="0214EA72" w14:textId="2289C7EF">
      <w:pPr>
        <w:pStyle w:val="JuListi"/>
      </w:pPr>
      <w:r w:rsidRPr="00710766">
        <w:t>3 000 EUR (trois mille euros), plus tout montant pouvant être dû sur cette somme par le requérant à titre d</w:t>
      </w:r>
      <w:r w:rsidRPr="00710766" w:rsidR="00710766">
        <w:t>’</w:t>
      </w:r>
      <w:r w:rsidRPr="00710766">
        <w:t>impôt, pour frais et dépens ;</w:t>
      </w:r>
    </w:p>
    <w:p w:rsidRPr="00710766" w:rsidR="002A531E" w:rsidP="00710766" w:rsidRDefault="002A531E" w14:paraId="7772D0CE" w14:textId="2642C36B">
      <w:pPr>
        <w:pStyle w:val="JuLista"/>
      </w:pPr>
      <w:proofErr w:type="gramStart"/>
      <w:r w:rsidRPr="00710766">
        <w:t>qu</w:t>
      </w:r>
      <w:r w:rsidRPr="00710766" w:rsidR="00710766">
        <w:t>’</w:t>
      </w:r>
      <w:r w:rsidRPr="00710766">
        <w:t>à</w:t>
      </w:r>
      <w:proofErr w:type="gramEnd"/>
      <w:r w:rsidRPr="00710766">
        <w:t xml:space="preserve"> compter de l</w:t>
      </w:r>
      <w:r w:rsidRPr="00710766" w:rsidR="00710766">
        <w:t>’</w:t>
      </w:r>
      <w:r w:rsidRPr="00710766">
        <w:t>expiration dudit délai et jusqu</w:t>
      </w:r>
      <w:r w:rsidRPr="00710766" w:rsidR="00710766">
        <w:t>’</w:t>
      </w:r>
      <w:r w:rsidRPr="00710766">
        <w:t>au versement, ces montants seront à majorer d</w:t>
      </w:r>
      <w:r w:rsidRPr="00710766" w:rsidR="00710766">
        <w:t>’</w:t>
      </w:r>
      <w:r w:rsidRPr="00710766">
        <w:t>un intérêt simple à un taux égal à celui de la facilité de prêt marginal de la Banque centrale européenne applicable pendant cette période, augmenté de trois points de pourcentage ;</w:t>
      </w:r>
    </w:p>
    <w:p w:rsidRPr="00710766" w:rsidR="00876F03" w:rsidP="00710766" w:rsidRDefault="002A531E" w14:paraId="0AC1744A" w14:textId="77777777">
      <w:pPr>
        <w:pStyle w:val="JuList"/>
      </w:pPr>
      <w:r w:rsidRPr="00710766">
        <w:rPr>
          <w:i/>
        </w:rPr>
        <w:t>Rejette</w:t>
      </w:r>
      <w:r w:rsidRPr="00710766">
        <w:t xml:space="preserve"> le surplus de la demande de satisfaction équitable.</w:t>
      </w:r>
    </w:p>
    <w:p w:rsidRPr="00710766" w:rsidR="00893F30" w:rsidP="00710766" w:rsidRDefault="00893F30" w14:paraId="3A96F241" w14:textId="0D6C659F">
      <w:pPr>
        <w:pStyle w:val="JuParaLast"/>
      </w:pPr>
      <w:r w:rsidRPr="00710766">
        <w:t xml:space="preserve">Fait en français, puis communiqué par écrit le </w:t>
      </w:r>
      <w:r w:rsidRPr="00710766" w:rsidR="002A531E">
        <w:t>14 septembre 2021</w:t>
      </w:r>
      <w:r w:rsidRPr="00710766">
        <w:t>, en application de l</w:t>
      </w:r>
      <w:r w:rsidRPr="00710766" w:rsidR="00710766">
        <w:t>’</w:t>
      </w:r>
      <w:r w:rsidRPr="00710766">
        <w:t>article 77 §§ 2 et 3 du règlement.</w:t>
      </w:r>
    </w:p>
    <w:p w:rsidRPr="00710766" w:rsidR="00876F03" w:rsidP="00710766" w:rsidRDefault="002A531E" w14:paraId="4D41216C" w14:textId="77777777">
      <w:pPr>
        <w:pStyle w:val="JuSigned"/>
        <w:spacing w:before="960"/>
      </w:pPr>
      <w:r w:rsidRPr="00710766">
        <w:tab/>
        <w:t>Stanley Naismith</w:t>
      </w:r>
      <w:r w:rsidRPr="00710766" w:rsidR="004344E6">
        <w:tab/>
      </w:r>
      <w:r w:rsidRPr="00710766">
        <w:t xml:space="preserve">Jon </w:t>
      </w:r>
      <w:proofErr w:type="spellStart"/>
      <w:r w:rsidRPr="00710766">
        <w:t>Fridrik</w:t>
      </w:r>
      <w:proofErr w:type="spellEnd"/>
      <w:r w:rsidRPr="00710766">
        <w:t xml:space="preserve"> </w:t>
      </w:r>
      <w:proofErr w:type="spellStart"/>
      <w:r w:rsidRPr="00710766">
        <w:t>Kjølbro</w:t>
      </w:r>
      <w:proofErr w:type="spellEnd"/>
      <w:r w:rsidRPr="00710766" w:rsidR="004344E6">
        <w:br/>
      </w:r>
      <w:r w:rsidRPr="00710766" w:rsidR="004344E6">
        <w:tab/>
      </w:r>
      <w:r w:rsidRPr="00710766">
        <w:t>Greffier</w:t>
      </w:r>
      <w:r w:rsidRPr="00710766" w:rsidR="004344E6">
        <w:tab/>
      </w:r>
      <w:r w:rsidRPr="00710766">
        <w:t>Président</w:t>
      </w:r>
    </w:p>
    <w:p w:rsidRPr="00710766" w:rsidR="00876F03" w:rsidP="00710766" w:rsidRDefault="00876F03" w14:paraId="56AC0DF1" w14:textId="77777777"/>
    <w:sectPr w:rsidRPr="00710766" w:rsidR="00876F03">
      <w:headerReference w:type="even" r:id="rId21"/>
      <w:headerReference w:type="default" r:id="rId22"/>
      <w:footerReference w:type="default" r:id="rId23"/>
      <w:footnotePr>
        <w:numRestart w:val="eachSect"/>
      </w:footnotePr>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EF9C6" w14:textId="77777777" w:rsidR="00710766" w:rsidRPr="00F25EFC" w:rsidRDefault="00710766" w:rsidP="00516B59">
      <w:r w:rsidRPr="00F25EFC">
        <w:separator/>
      </w:r>
    </w:p>
  </w:endnote>
  <w:endnote w:type="continuationSeparator" w:id="0">
    <w:p w14:paraId="69DA76E3" w14:textId="77777777" w:rsidR="00710766" w:rsidRPr="00F25EFC" w:rsidRDefault="00710766" w:rsidP="00516B59">
      <w:r w:rsidRPr="00F25EF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35EB5" w14:textId="77777777" w:rsidR="00710766" w:rsidRPr="00F25EFC" w:rsidRDefault="00710766" w:rsidP="00954AD6">
    <w:pPr>
      <w:pStyle w:val="JuHeader"/>
    </w:pPr>
    <w:r>
      <w:fldChar w:fldCharType="begin"/>
    </w:r>
    <w:r>
      <w:instrText xml:space="preserve"> PAGE </w:instrText>
    </w:r>
    <w:r>
      <w:fldChar w:fldCharType="separate"/>
    </w:r>
    <w:r>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03F92" w14:textId="77777777" w:rsidR="00710766" w:rsidRPr="00150BFA" w:rsidRDefault="00710766" w:rsidP="00710766">
    <w:pPr>
      <w:jc w:val="center"/>
    </w:pPr>
    <w:r>
      <w:rPr>
        <w:noProof/>
        <w:lang w:val="en-US" w:eastAsia="ja-JP"/>
      </w:rPr>
      <w:drawing>
        <wp:inline distT="0" distB="0" distL="0" distR="0" wp14:anchorId="1007BF6D" wp14:editId="14477C56">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4EA3823B" w14:textId="77777777" w:rsidR="00710766" w:rsidRPr="00F25EFC" w:rsidRDefault="00710766" w:rsidP="00F27D13">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DE9D4" w14:textId="77777777" w:rsidR="00710766" w:rsidRPr="00150BFA" w:rsidRDefault="00710766" w:rsidP="00710766">
    <w:pPr>
      <w:jc w:val="center"/>
    </w:pPr>
    <w:r>
      <w:rPr>
        <w:noProof/>
        <w:lang w:val="en-US" w:eastAsia="ja-JP"/>
      </w:rPr>
      <w:drawing>
        <wp:inline distT="0" distB="0" distL="0" distR="0" wp14:anchorId="4B5A2BF9" wp14:editId="5D55BE5B">
          <wp:extent cx="771525" cy="619125"/>
          <wp:effectExtent l="0" t="0" r="9525" b="9525"/>
          <wp:docPr id="61" name="Picture 6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3104A3A" w14:textId="77777777" w:rsidR="00710766" w:rsidRPr="00F25EFC" w:rsidRDefault="00710766" w:rsidP="00902601">
    <w:pPr>
      <w:pStyle w:val="Footer0"/>
      <w:jc w:val="cen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CCFA7" w14:textId="77777777" w:rsidR="00710766" w:rsidRPr="00D01935" w:rsidRDefault="00710766" w:rsidP="00662882">
    <w:pPr>
      <w:pStyle w:val="JuHeader"/>
    </w:pPr>
    <w:r>
      <w:fldChar w:fldCharType="begin"/>
    </w:r>
    <w:r>
      <w:instrText xml:space="preserve"> PAGE </w:instrText>
    </w:r>
    <w:r>
      <w:fldChar w:fldCharType="separate"/>
    </w:r>
    <w:r>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FAAFF" w14:textId="77777777" w:rsidR="00710766" w:rsidRPr="00F25EFC" w:rsidRDefault="00710766" w:rsidP="00516B59">
      <w:r w:rsidRPr="00F25EFC">
        <w:separator/>
      </w:r>
    </w:p>
  </w:footnote>
  <w:footnote w:type="continuationSeparator" w:id="0">
    <w:p w14:paraId="2C3E1743" w14:textId="77777777" w:rsidR="00710766" w:rsidRPr="00F25EFC" w:rsidRDefault="00710766" w:rsidP="00516B59">
      <w:r w:rsidRPr="00F25EF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071DF" w14:textId="77777777" w:rsidR="00710766" w:rsidRDefault="007107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36747" w14:textId="77777777" w:rsidR="00710766" w:rsidRPr="00A45145" w:rsidRDefault="00710766" w:rsidP="00710766">
    <w:pPr>
      <w:jc w:val="center"/>
    </w:pPr>
    <w:r>
      <w:rPr>
        <w:noProof/>
        <w:lang w:val="en-US" w:eastAsia="ja-JP"/>
      </w:rPr>
      <w:drawing>
        <wp:inline distT="0" distB="0" distL="0" distR="0" wp14:anchorId="3C38D0C0" wp14:editId="6AAD28EB">
          <wp:extent cx="2962275" cy="1219200"/>
          <wp:effectExtent l="0" t="0" r="9525" b="0"/>
          <wp:docPr id="63" name="Picture 6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81E0901" w14:textId="77777777" w:rsidR="00710766" w:rsidRPr="00F25EFC" w:rsidRDefault="00710766" w:rsidP="0071076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AFDE2" w14:textId="77777777" w:rsidR="00710766" w:rsidRPr="00A45145" w:rsidRDefault="00710766" w:rsidP="00710766">
    <w:pPr>
      <w:jc w:val="center"/>
    </w:pPr>
    <w:r>
      <w:rPr>
        <w:noProof/>
        <w:lang w:val="en-US" w:eastAsia="ja-JP"/>
      </w:rPr>
      <w:drawing>
        <wp:inline distT="0" distB="0" distL="0" distR="0" wp14:anchorId="1579AA83" wp14:editId="778F3110">
          <wp:extent cx="2962275" cy="1219200"/>
          <wp:effectExtent l="0" t="0" r="9525" b="0"/>
          <wp:docPr id="57" name="Picture 5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E2A7E2D" w14:textId="77777777" w:rsidR="00710766" w:rsidRPr="00F25EFC" w:rsidRDefault="00710766" w:rsidP="00902601">
    <w:pPr>
      <w:jc w:val="center"/>
      <w:rPr>
        <w:sz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8AB87" w14:textId="77777777" w:rsidR="00710766" w:rsidRPr="00592C8D" w:rsidRDefault="00710766" w:rsidP="00A21624">
    <w:pPr>
      <w:pStyle w:val="JuHeader"/>
      <w:rPr>
        <w:lang w:val="en-US"/>
      </w:rPr>
    </w:pPr>
    <w:r w:rsidRPr="00592C8D">
      <w:rPr>
        <w:lang w:val="en-US"/>
      </w:rPr>
      <w:t xml:space="preserve">ARRÊT </w:t>
    </w:r>
    <w:r>
      <w:rPr>
        <w:lang w:val="en-US"/>
      </w:rPr>
      <w:t>TUNCER BAKIRHAN c. TURQUIE</w:t>
    </w:r>
    <w:r w:rsidRPr="00592C8D">
      <w:rPr>
        <w:noProof/>
        <w:lang w:val="en-US"/>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053EF" w14:textId="77777777" w:rsidR="00710766" w:rsidRPr="00662882" w:rsidRDefault="00710766" w:rsidP="00662882">
    <w:pPr>
      <w:pStyle w:val="JuHeader"/>
    </w:pPr>
    <w:r w:rsidRPr="00592C8D">
      <w:rPr>
        <w:lang w:val="en-US"/>
      </w:rPr>
      <w:t xml:space="preserve">ARRÊT </w:t>
    </w:r>
    <w:r>
      <w:rPr>
        <w:lang w:val="en-US"/>
      </w:rPr>
      <w:t>TUNCER BAKIRHAN c. TURQUIE</w:t>
    </w:r>
    <w:r w:rsidRPr="00592C8D">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D8668044"/>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34A0444"/>
    <w:multiLevelType w:val="multilevel"/>
    <w:tmpl w:val="98544F5E"/>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56B9429C"/>
    <w:multiLevelType w:val="multilevel"/>
    <w:tmpl w:val="98544F5E"/>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13"/>
  </w:num>
  <w:num w:numId="3">
    <w:abstractNumId w:val="11"/>
  </w:num>
  <w:num w:numId="4">
    <w:abstractNumId w:val="10"/>
  </w:num>
  <w:num w:numId="5">
    <w:abstractNumId w:val="14"/>
  </w:num>
  <w:num w:numId="6">
    <w:abstractNumId w:val="12"/>
  </w:num>
  <w:num w:numId="7">
    <w:abstractNumId w:val="15"/>
  </w:num>
  <w:num w:numId="8">
    <w:abstractNumId w:val="18"/>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4337"/>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2A531E"/>
    <w:rsid w:val="000041F8"/>
    <w:rsid w:val="000042A8"/>
    <w:rsid w:val="00004308"/>
    <w:rsid w:val="00005BF0"/>
    <w:rsid w:val="00007154"/>
    <w:rsid w:val="000103AE"/>
    <w:rsid w:val="00011D69"/>
    <w:rsid w:val="00012AD3"/>
    <w:rsid w:val="00015C2D"/>
    <w:rsid w:val="00015F00"/>
    <w:rsid w:val="00022C1D"/>
    <w:rsid w:val="00034987"/>
    <w:rsid w:val="00051015"/>
    <w:rsid w:val="000602DF"/>
    <w:rsid w:val="00061B05"/>
    <w:rsid w:val="000632D5"/>
    <w:rsid w:val="000644EE"/>
    <w:rsid w:val="00080ECE"/>
    <w:rsid w:val="0009057B"/>
    <w:rsid w:val="000925AD"/>
    <w:rsid w:val="00095982"/>
    <w:rsid w:val="000A20EB"/>
    <w:rsid w:val="000A24EB"/>
    <w:rsid w:val="000B5D17"/>
    <w:rsid w:val="000B6923"/>
    <w:rsid w:val="000C5F3C"/>
    <w:rsid w:val="000C6DCC"/>
    <w:rsid w:val="000D04C2"/>
    <w:rsid w:val="000D47AA"/>
    <w:rsid w:val="000D721F"/>
    <w:rsid w:val="000E069B"/>
    <w:rsid w:val="000E0E82"/>
    <w:rsid w:val="000E1DC5"/>
    <w:rsid w:val="000E223F"/>
    <w:rsid w:val="000E4AC8"/>
    <w:rsid w:val="000E7D45"/>
    <w:rsid w:val="000F1305"/>
    <w:rsid w:val="000F19D8"/>
    <w:rsid w:val="000F7851"/>
    <w:rsid w:val="00104E23"/>
    <w:rsid w:val="00111B0C"/>
    <w:rsid w:val="00117CD2"/>
    <w:rsid w:val="00120D6C"/>
    <w:rsid w:val="001257EC"/>
    <w:rsid w:val="00133D33"/>
    <w:rsid w:val="00134D64"/>
    <w:rsid w:val="00135A30"/>
    <w:rsid w:val="0013612C"/>
    <w:rsid w:val="00137FF6"/>
    <w:rsid w:val="00141650"/>
    <w:rsid w:val="001625AD"/>
    <w:rsid w:val="00162967"/>
    <w:rsid w:val="00162A12"/>
    <w:rsid w:val="00166530"/>
    <w:rsid w:val="00167333"/>
    <w:rsid w:val="00181508"/>
    <w:rsid w:val="001832BD"/>
    <w:rsid w:val="001943B5"/>
    <w:rsid w:val="00194C5B"/>
    <w:rsid w:val="00195134"/>
    <w:rsid w:val="001A145B"/>
    <w:rsid w:val="001A2684"/>
    <w:rsid w:val="001A674C"/>
    <w:rsid w:val="001B3B24"/>
    <w:rsid w:val="001C0F98"/>
    <w:rsid w:val="001C2A42"/>
    <w:rsid w:val="001C2B5C"/>
    <w:rsid w:val="001D63ED"/>
    <w:rsid w:val="001D7348"/>
    <w:rsid w:val="001E035B"/>
    <w:rsid w:val="001E0961"/>
    <w:rsid w:val="001E3EAE"/>
    <w:rsid w:val="001E6F32"/>
    <w:rsid w:val="001F2145"/>
    <w:rsid w:val="001F39F4"/>
    <w:rsid w:val="001F6262"/>
    <w:rsid w:val="001F67B0"/>
    <w:rsid w:val="001F7B3D"/>
    <w:rsid w:val="00204F24"/>
    <w:rsid w:val="00205F9F"/>
    <w:rsid w:val="00210338"/>
    <w:rsid w:val="002115FC"/>
    <w:rsid w:val="00212184"/>
    <w:rsid w:val="0021423C"/>
    <w:rsid w:val="00230D00"/>
    <w:rsid w:val="00231364"/>
    <w:rsid w:val="00231DF7"/>
    <w:rsid w:val="00231FD1"/>
    <w:rsid w:val="002339E0"/>
    <w:rsid w:val="00233CF8"/>
    <w:rsid w:val="0023575D"/>
    <w:rsid w:val="00237148"/>
    <w:rsid w:val="0024222D"/>
    <w:rsid w:val="00244B0E"/>
    <w:rsid w:val="00244F6C"/>
    <w:rsid w:val="002532C5"/>
    <w:rsid w:val="002546AE"/>
    <w:rsid w:val="00256F45"/>
    <w:rsid w:val="00260C03"/>
    <w:rsid w:val="0026540E"/>
    <w:rsid w:val="00275123"/>
    <w:rsid w:val="00282240"/>
    <w:rsid w:val="002948AD"/>
    <w:rsid w:val="0029739C"/>
    <w:rsid w:val="002A01CC"/>
    <w:rsid w:val="002A531E"/>
    <w:rsid w:val="002A61B1"/>
    <w:rsid w:val="002A663C"/>
    <w:rsid w:val="002B444B"/>
    <w:rsid w:val="002B5887"/>
    <w:rsid w:val="002B7E83"/>
    <w:rsid w:val="002C0E27"/>
    <w:rsid w:val="002C3040"/>
    <w:rsid w:val="002D022D"/>
    <w:rsid w:val="002D24BB"/>
    <w:rsid w:val="002F29AA"/>
    <w:rsid w:val="002F2AF7"/>
    <w:rsid w:val="002F7E1C"/>
    <w:rsid w:val="00301A75"/>
    <w:rsid w:val="00302F70"/>
    <w:rsid w:val="0030336F"/>
    <w:rsid w:val="0030375E"/>
    <w:rsid w:val="003050A8"/>
    <w:rsid w:val="0030660C"/>
    <w:rsid w:val="00312A30"/>
    <w:rsid w:val="00316323"/>
    <w:rsid w:val="00320F72"/>
    <w:rsid w:val="0032463E"/>
    <w:rsid w:val="00326224"/>
    <w:rsid w:val="00337EE4"/>
    <w:rsid w:val="00340FFD"/>
    <w:rsid w:val="003471AF"/>
    <w:rsid w:val="003506B1"/>
    <w:rsid w:val="00356AC7"/>
    <w:rsid w:val="003609FA"/>
    <w:rsid w:val="00361D45"/>
    <w:rsid w:val="00367B4F"/>
    <w:rsid w:val="003710C8"/>
    <w:rsid w:val="003722CE"/>
    <w:rsid w:val="003750BE"/>
    <w:rsid w:val="00387B9D"/>
    <w:rsid w:val="0039364F"/>
    <w:rsid w:val="00396686"/>
    <w:rsid w:val="0039778E"/>
    <w:rsid w:val="003A37B8"/>
    <w:rsid w:val="003B4941"/>
    <w:rsid w:val="003B6A2E"/>
    <w:rsid w:val="003C5714"/>
    <w:rsid w:val="003C6B9F"/>
    <w:rsid w:val="003C6E2A"/>
    <w:rsid w:val="003D0299"/>
    <w:rsid w:val="003D32BE"/>
    <w:rsid w:val="003E3FE3"/>
    <w:rsid w:val="003E6D80"/>
    <w:rsid w:val="003E7A9C"/>
    <w:rsid w:val="003F05FA"/>
    <w:rsid w:val="003F244A"/>
    <w:rsid w:val="003F30B8"/>
    <w:rsid w:val="003F4C45"/>
    <w:rsid w:val="003F5F7B"/>
    <w:rsid w:val="003F7D64"/>
    <w:rsid w:val="00401F7D"/>
    <w:rsid w:val="0041177B"/>
    <w:rsid w:val="00414300"/>
    <w:rsid w:val="00425C67"/>
    <w:rsid w:val="00427E7A"/>
    <w:rsid w:val="00431C07"/>
    <w:rsid w:val="004344E6"/>
    <w:rsid w:val="00436C49"/>
    <w:rsid w:val="00445366"/>
    <w:rsid w:val="00447F5B"/>
    <w:rsid w:val="00456549"/>
    <w:rsid w:val="004604A0"/>
    <w:rsid w:val="00461DB0"/>
    <w:rsid w:val="00463926"/>
    <w:rsid w:val="00464C9A"/>
    <w:rsid w:val="00474F3D"/>
    <w:rsid w:val="00477E3A"/>
    <w:rsid w:val="00483E5F"/>
    <w:rsid w:val="00485FF9"/>
    <w:rsid w:val="004907F0"/>
    <w:rsid w:val="0049140B"/>
    <w:rsid w:val="004923A5"/>
    <w:rsid w:val="00496197"/>
    <w:rsid w:val="00496BFB"/>
    <w:rsid w:val="004A15C7"/>
    <w:rsid w:val="004B013B"/>
    <w:rsid w:val="004B112B"/>
    <w:rsid w:val="004C01E4"/>
    <w:rsid w:val="004C086C"/>
    <w:rsid w:val="004C1A3F"/>
    <w:rsid w:val="004C1F56"/>
    <w:rsid w:val="004C27BC"/>
    <w:rsid w:val="004D15F3"/>
    <w:rsid w:val="004D5311"/>
    <w:rsid w:val="004D5DCC"/>
    <w:rsid w:val="004E22F1"/>
    <w:rsid w:val="004F10AF"/>
    <w:rsid w:val="004F11A4"/>
    <w:rsid w:val="004F2389"/>
    <w:rsid w:val="004F304D"/>
    <w:rsid w:val="004F61BE"/>
    <w:rsid w:val="004F66B1"/>
    <w:rsid w:val="00511C07"/>
    <w:rsid w:val="00516B59"/>
    <w:rsid w:val="005173A6"/>
    <w:rsid w:val="00520BAA"/>
    <w:rsid w:val="00522ABA"/>
    <w:rsid w:val="00525208"/>
    <w:rsid w:val="005257A5"/>
    <w:rsid w:val="005264C0"/>
    <w:rsid w:val="00526A8A"/>
    <w:rsid w:val="00531DF2"/>
    <w:rsid w:val="005442EE"/>
    <w:rsid w:val="00547353"/>
    <w:rsid w:val="005474E7"/>
    <w:rsid w:val="005512A3"/>
    <w:rsid w:val="005578CE"/>
    <w:rsid w:val="00562781"/>
    <w:rsid w:val="00566E2B"/>
    <w:rsid w:val="0057271C"/>
    <w:rsid w:val="00572845"/>
    <w:rsid w:val="00576986"/>
    <w:rsid w:val="00592772"/>
    <w:rsid w:val="00592C8D"/>
    <w:rsid w:val="0059574A"/>
    <w:rsid w:val="005A1B9B"/>
    <w:rsid w:val="005A6751"/>
    <w:rsid w:val="005B092E"/>
    <w:rsid w:val="005B152C"/>
    <w:rsid w:val="005B1EE0"/>
    <w:rsid w:val="005B2B24"/>
    <w:rsid w:val="005B4425"/>
    <w:rsid w:val="005B4B94"/>
    <w:rsid w:val="005C353F"/>
    <w:rsid w:val="005C3EE8"/>
    <w:rsid w:val="005D34F9"/>
    <w:rsid w:val="005D4190"/>
    <w:rsid w:val="005D67A3"/>
    <w:rsid w:val="005E2988"/>
    <w:rsid w:val="005E3085"/>
    <w:rsid w:val="005F51E1"/>
    <w:rsid w:val="00611C80"/>
    <w:rsid w:val="00613B21"/>
    <w:rsid w:val="00620692"/>
    <w:rsid w:val="006242CA"/>
    <w:rsid w:val="00627507"/>
    <w:rsid w:val="00633717"/>
    <w:rsid w:val="006344E1"/>
    <w:rsid w:val="006361FD"/>
    <w:rsid w:val="00647B6E"/>
    <w:rsid w:val="006545C4"/>
    <w:rsid w:val="00654B7E"/>
    <w:rsid w:val="0066170E"/>
    <w:rsid w:val="00661971"/>
    <w:rsid w:val="00661CE8"/>
    <w:rsid w:val="006623D9"/>
    <w:rsid w:val="00662882"/>
    <w:rsid w:val="0066550C"/>
    <w:rsid w:val="006716F2"/>
    <w:rsid w:val="00682BF2"/>
    <w:rsid w:val="00682F07"/>
    <w:rsid w:val="006859CE"/>
    <w:rsid w:val="00691270"/>
    <w:rsid w:val="00694BA8"/>
    <w:rsid w:val="006A037C"/>
    <w:rsid w:val="006A36F4"/>
    <w:rsid w:val="006A406F"/>
    <w:rsid w:val="006A5D3A"/>
    <w:rsid w:val="006C23D4"/>
    <w:rsid w:val="006C475E"/>
    <w:rsid w:val="006C7BB0"/>
    <w:rsid w:val="006D3237"/>
    <w:rsid w:val="006E2E37"/>
    <w:rsid w:val="006E3CF1"/>
    <w:rsid w:val="006E7E80"/>
    <w:rsid w:val="006F48CA"/>
    <w:rsid w:val="006F64DD"/>
    <w:rsid w:val="00710766"/>
    <w:rsid w:val="00715127"/>
    <w:rsid w:val="00715E8E"/>
    <w:rsid w:val="007172B0"/>
    <w:rsid w:val="00723580"/>
    <w:rsid w:val="00723755"/>
    <w:rsid w:val="00724AE2"/>
    <w:rsid w:val="00730B5C"/>
    <w:rsid w:val="0073136C"/>
    <w:rsid w:val="00731F0F"/>
    <w:rsid w:val="00733250"/>
    <w:rsid w:val="00735951"/>
    <w:rsid w:val="00741404"/>
    <w:rsid w:val="007449E5"/>
    <w:rsid w:val="00747FF0"/>
    <w:rsid w:val="007612E2"/>
    <w:rsid w:val="00764D4E"/>
    <w:rsid w:val="00765A1F"/>
    <w:rsid w:val="00775B6D"/>
    <w:rsid w:val="00776D68"/>
    <w:rsid w:val="007850EE"/>
    <w:rsid w:val="00785B95"/>
    <w:rsid w:val="00790AAD"/>
    <w:rsid w:val="00790E96"/>
    <w:rsid w:val="00793366"/>
    <w:rsid w:val="007971FF"/>
    <w:rsid w:val="007A4070"/>
    <w:rsid w:val="007A716F"/>
    <w:rsid w:val="007B270A"/>
    <w:rsid w:val="007C0695"/>
    <w:rsid w:val="007C419A"/>
    <w:rsid w:val="007C4CC8"/>
    <w:rsid w:val="007C5426"/>
    <w:rsid w:val="007C5798"/>
    <w:rsid w:val="007D4832"/>
    <w:rsid w:val="007D585C"/>
    <w:rsid w:val="007E0B8A"/>
    <w:rsid w:val="007E21B2"/>
    <w:rsid w:val="007E2C4E"/>
    <w:rsid w:val="007F1905"/>
    <w:rsid w:val="00801300"/>
    <w:rsid w:val="00802C64"/>
    <w:rsid w:val="0080523A"/>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65F8F"/>
    <w:rsid w:val="008713A1"/>
    <w:rsid w:val="00873D9C"/>
    <w:rsid w:val="008748BE"/>
    <w:rsid w:val="008754AB"/>
    <w:rsid w:val="00876A02"/>
    <w:rsid w:val="00876F03"/>
    <w:rsid w:val="0088060C"/>
    <w:rsid w:val="00891107"/>
    <w:rsid w:val="00893576"/>
    <w:rsid w:val="00893E73"/>
    <w:rsid w:val="00893F30"/>
    <w:rsid w:val="00895F5B"/>
    <w:rsid w:val="008B02DC"/>
    <w:rsid w:val="008B2698"/>
    <w:rsid w:val="008B57CE"/>
    <w:rsid w:val="008C26DE"/>
    <w:rsid w:val="008D2225"/>
    <w:rsid w:val="008D4752"/>
    <w:rsid w:val="008E271C"/>
    <w:rsid w:val="008E418E"/>
    <w:rsid w:val="008E5BC6"/>
    <w:rsid w:val="008E6A25"/>
    <w:rsid w:val="008E7A1B"/>
    <w:rsid w:val="008F5193"/>
    <w:rsid w:val="009013A7"/>
    <w:rsid w:val="009017FB"/>
    <w:rsid w:val="009017FC"/>
    <w:rsid w:val="009020E3"/>
    <w:rsid w:val="00902601"/>
    <w:rsid w:val="0090506B"/>
    <w:rsid w:val="009050C9"/>
    <w:rsid w:val="009066FC"/>
    <w:rsid w:val="009140A3"/>
    <w:rsid w:val="009144A2"/>
    <w:rsid w:val="0091510C"/>
    <w:rsid w:val="009259AC"/>
    <w:rsid w:val="00926F38"/>
    <w:rsid w:val="00934301"/>
    <w:rsid w:val="00936CD1"/>
    <w:rsid w:val="009375A5"/>
    <w:rsid w:val="00941747"/>
    <w:rsid w:val="00941EFB"/>
    <w:rsid w:val="00947AFB"/>
    <w:rsid w:val="00951D7D"/>
    <w:rsid w:val="00954AD6"/>
    <w:rsid w:val="009630C7"/>
    <w:rsid w:val="00972B55"/>
    <w:rsid w:val="009743B7"/>
    <w:rsid w:val="00975039"/>
    <w:rsid w:val="00977227"/>
    <w:rsid w:val="0098228B"/>
    <w:rsid w:val="009828DA"/>
    <w:rsid w:val="00985BAB"/>
    <w:rsid w:val="009B1B5F"/>
    <w:rsid w:val="009B6673"/>
    <w:rsid w:val="009C191B"/>
    <w:rsid w:val="009C2BD6"/>
    <w:rsid w:val="009D2F52"/>
    <w:rsid w:val="009E16D2"/>
    <w:rsid w:val="009E1F32"/>
    <w:rsid w:val="009E776C"/>
    <w:rsid w:val="00A00672"/>
    <w:rsid w:val="00A132AD"/>
    <w:rsid w:val="00A1726E"/>
    <w:rsid w:val="00A204CF"/>
    <w:rsid w:val="00A21624"/>
    <w:rsid w:val="00A23D49"/>
    <w:rsid w:val="00A27004"/>
    <w:rsid w:val="00A30C29"/>
    <w:rsid w:val="00A34DD6"/>
    <w:rsid w:val="00A36819"/>
    <w:rsid w:val="00A36989"/>
    <w:rsid w:val="00A43628"/>
    <w:rsid w:val="00A43AA3"/>
    <w:rsid w:val="00A4783F"/>
    <w:rsid w:val="00A54192"/>
    <w:rsid w:val="00A6035E"/>
    <w:rsid w:val="00A6144C"/>
    <w:rsid w:val="00A66617"/>
    <w:rsid w:val="00A671F8"/>
    <w:rsid w:val="00A673A4"/>
    <w:rsid w:val="00A724AE"/>
    <w:rsid w:val="00A73329"/>
    <w:rsid w:val="00A75785"/>
    <w:rsid w:val="00A8094B"/>
    <w:rsid w:val="00A82359"/>
    <w:rsid w:val="00A865D2"/>
    <w:rsid w:val="00A94C20"/>
    <w:rsid w:val="00AA227F"/>
    <w:rsid w:val="00AA3BC7"/>
    <w:rsid w:val="00AA754A"/>
    <w:rsid w:val="00AB099E"/>
    <w:rsid w:val="00AB4328"/>
    <w:rsid w:val="00AB5628"/>
    <w:rsid w:val="00AC00C2"/>
    <w:rsid w:val="00AC5872"/>
    <w:rsid w:val="00AE0A2E"/>
    <w:rsid w:val="00AE354C"/>
    <w:rsid w:val="00AF4B07"/>
    <w:rsid w:val="00AF6186"/>
    <w:rsid w:val="00AF7A3A"/>
    <w:rsid w:val="00B009F4"/>
    <w:rsid w:val="00B160DB"/>
    <w:rsid w:val="00B20836"/>
    <w:rsid w:val="00B235BB"/>
    <w:rsid w:val="00B25320"/>
    <w:rsid w:val="00B25943"/>
    <w:rsid w:val="00B25D3B"/>
    <w:rsid w:val="00B27A44"/>
    <w:rsid w:val="00B30BBF"/>
    <w:rsid w:val="00B33C03"/>
    <w:rsid w:val="00B44E56"/>
    <w:rsid w:val="00B46543"/>
    <w:rsid w:val="00B47D33"/>
    <w:rsid w:val="00B52BE0"/>
    <w:rsid w:val="00B54133"/>
    <w:rsid w:val="00B701ED"/>
    <w:rsid w:val="00B751F4"/>
    <w:rsid w:val="00B8086C"/>
    <w:rsid w:val="00B840F7"/>
    <w:rsid w:val="00B861B4"/>
    <w:rsid w:val="00B86DFE"/>
    <w:rsid w:val="00B90990"/>
    <w:rsid w:val="00B922FF"/>
    <w:rsid w:val="00B9281E"/>
    <w:rsid w:val="00B93925"/>
    <w:rsid w:val="00B95187"/>
    <w:rsid w:val="00BA2D55"/>
    <w:rsid w:val="00BA71B1"/>
    <w:rsid w:val="00BB0637"/>
    <w:rsid w:val="00BB345F"/>
    <w:rsid w:val="00BB5CA3"/>
    <w:rsid w:val="00BB68EA"/>
    <w:rsid w:val="00BC1C27"/>
    <w:rsid w:val="00BC1F03"/>
    <w:rsid w:val="00BC6BBF"/>
    <w:rsid w:val="00BD1572"/>
    <w:rsid w:val="00BE14E3"/>
    <w:rsid w:val="00BE3774"/>
    <w:rsid w:val="00BE41E5"/>
    <w:rsid w:val="00BF4109"/>
    <w:rsid w:val="00BF4B9C"/>
    <w:rsid w:val="00BF4CC3"/>
    <w:rsid w:val="00C00E59"/>
    <w:rsid w:val="00C054C7"/>
    <w:rsid w:val="00C057B5"/>
    <w:rsid w:val="00C149F0"/>
    <w:rsid w:val="00C22687"/>
    <w:rsid w:val="00C25983"/>
    <w:rsid w:val="00C32E4D"/>
    <w:rsid w:val="00C333A0"/>
    <w:rsid w:val="00C36408"/>
    <w:rsid w:val="00C36A81"/>
    <w:rsid w:val="00C41974"/>
    <w:rsid w:val="00C45616"/>
    <w:rsid w:val="00C53F4A"/>
    <w:rsid w:val="00C54125"/>
    <w:rsid w:val="00C55B54"/>
    <w:rsid w:val="00C6098E"/>
    <w:rsid w:val="00C6152C"/>
    <w:rsid w:val="00C74810"/>
    <w:rsid w:val="00C81ACF"/>
    <w:rsid w:val="00C90D68"/>
    <w:rsid w:val="00C939FE"/>
    <w:rsid w:val="00CA4BDA"/>
    <w:rsid w:val="00CA7C61"/>
    <w:rsid w:val="00CB1F66"/>
    <w:rsid w:val="00CB2951"/>
    <w:rsid w:val="00CD282B"/>
    <w:rsid w:val="00CD4C35"/>
    <w:rsid w:val="00CD7369"/>
    <w:rsid w:val="00CE0B0E"/>
    <w:rsid w:val="00CE3831"/>
    <w:rsid w:val="00D00ABB"/>
    <w:rsid w:val="00D02781"/>
    <w:rsid w:val="00D02EEC"/>
    <w:rsid w:val="00D03551"/>
    <w:rsid w:val="00D06A63"/>
    <w:rsid w:val="00D07E0E"/>
    <w:rsid w:val="00D11478"/>
    <w:rsid w:val="00D15ED0"/>
    <w:rsid w:val="00D166C2"/>
    <w:rsid w:val="00D21B3E"/>
    <w:rsid w:val="00D21C26"/>
    <w:rsid w:val="00D21FED"/>
    <w:rsid w:val="00D24251"/>
    <w:rsid w:val="00D343E2"/>
    <w:rsid w:val="00D361A2"/>
    <w:rsid w:val="00D44C2E"/>
    <w:rsid w:val="00D45414"/>
    <w:rsid w:val="00D54FF1"/>
    <w:rsid w:val="00D55E2C"/>
    <w:rsid w:val="00D566BD"/>
    <w:rsid w:val="00D57A4D"/>
    <w:rsid w:val="00D60AA7"/>
    <w:rsid w:val="00D62A67"/>
    <w:rsid w:val="00D6435F"/>
    <w:rsid w:val="00D75E28"/>
    <w:rsid w:val="00D772C2"/>
    <w:rsid w:val="00D8008E"/>
    <w:rsid w:val="00D82C45"/>
    <w:rsid w:val="00D908A8"/>
    <w:rsid w:val="00D977B6"/>
    <w:rsid w:val="00DA3634"/>
    <w:rsid w:val="00DA4A31"/>
    <w:rsid w:val="00DA7B04"/>
    <w:rsid w:val="00DB36C2"/>
    <w:rsid w:val="00DB5CBD"/>
    <w:rsid w:val="00DC169B"/>
    <w:rsid w:val="00DC2AB9"/>
    <w:rsid w:val="00DC63F0"/>
    <w:rsid w:val="00DD5382"/>
    <w:rsid w:val="00DD6EE5"/>
    <w:rsid w:val="00DE2362"/>
    <w:rsid w:val="00DE386C"/>
    <w:rsid w:val="00DE4D35"/>
    <w:rsid w:val="00DF098B"/>
    <w:rsid w:val="00DF11C4"/>
    <w:rsid w:val="00DF210C"/>
    <w:rsid w:val="00DF4B6A"/>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90302"/>
    <w:rsid w:val="00E97396"/>
    <w:rsid w:val="00EA185E"/>
    <w:rsid w:val="00EA592A"/>
    <w:rsid w:val="00EB14E4"/>
    <w:rsid w:val="00EB182B"/>
    <w:rsid w:val="00EB32A5"/>
    <w:rsid w:val="00EB34ED"/>
    <w:rsid w:val="00EB4A37"/>
    <w:rsid w:val="00EB7BE0"/>
    <w:rsid w:val="00EC315E"/>
    <w:rsid w:val="00EC58D1"/>
    <w:rsid w:val="00ED077C"/>
    <w:rsid w:val="00ED1190"/>
    <w:rsid w:val="00ED6544"/>
    <w:rsid w:val="00EE0277"/>
    <w:rsid w:val="00EE3E00"/>
    <w:rsid w:val="00EE5DD2"/>
    <w:rsid w:val="00F00A79"/>
    <w:rsid w:val="00F00E86"/>
    <w:rsid w:val="00F07259"/>
    <w:rsid w:val="00F07C1E"/>
    <w:rsid w:val="00F105DB"/>
    <w:rsid w:val="00F132BC"/>
    <w:rsid w:val="00F13D80"/>
    <w:rsid w:val="00F16AAA"/>
    <w:rsid w:val="00F21161"/>
    <w:rsid w:val="00F218EF"/>
    <w:rsid w:val="00F21BC7"/>
    <w:rsid w:val="00F25EFC"/>
    <w:rsid w:val="00F266A2"/>
    <w:rsid w:val="00F27D13"/>
    <w:rsid w:val="00F32269"/>
    <w:rsid w:val="00F56A6F"/>
    <w:rsid w:val="00F5709C"/>
    <w:rsid w:val="00F626DA"/>
    <w:rsid w:val="00F64EF1"/>
    <w:rsid w:val="00F659F3"/>
    <w:rsid w:val="00F83589"/>
    <w:rsid w:val="00F8765F"/>
    <w:rsid w:val="00F90767"/>
    <w:rsid w:val="00F912E4"/>
    <w:rsid w:val="00F94531"/>
    <w:rsid w:val="00F9588E"/>
    <w:rsid w:val="00FA685B"/>
    <w:rsid w:val="00FB0C01"/>
    <w:rsid w:val="00FC18F2"/>
    <w:rsid w:val="00FC39E5"/>
    <w:rsid w:val="00FC3A78"/>
    <w:rsid w:val="00FD1005"/>
    <w:rsid w:val="00FD61AA"/>
    <w:rsid w:val="00FD6C75"/>
    <w:rsid w:val="00FD7649"/>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B585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F25EFC"/>
    <w:rPr>
      <w:sz w:val="24"/>
      <w:szCs w:val="24"/>
      <w:lang w:val="fr-FR"/>
    </w:rPr>
  </w:style>
  <w:style w:type="paragraph" w:styleId="Heading1">
    <w:name w:val="heading 1"/>
    <w:basedOn w:val="Normal"/>
    <w:next w:val="Normal"/>
    <w:link w:val="Heading1Char"/>
    <w:uiPriority w:val="98"/>
    <w:semiHidden/>
    <w:rsid w:val="00F25EFC"/>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F25EFC"/>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F25EFC"/>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F25EFC"/>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F25EFC"/>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F25EFC"/>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F25EFC"/>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F25EFC"/>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F25EFC"/>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F25EFC"/>
    <w:rPr>
      <w:rFonts w:ascii="Tahoma" w:hAnsi="Tahoma" w:cs="Tahoma"/>
      <w:sz w:val="16"/>
      <w:szCs w:val="16"/>
    </w:rPr>
  </w:style>
  <w:style w:type="character" w:customStyle="1" w:styleId="BalloonTextChar">
    <w:name w:val="Balloon Text Char"/>
    <w:basedOn w:val="DefaultParagraphFont"/>
    <w:link w:val="BalloonText"/>
    <w:uiPriority w:val="98"/>
    <w:semiHidden/>
    <w:rsid w:val="00F25EFC"/>
    <w:rPr>
      <w:rFonts w:ascii="Tahoma" w:hAnsi="Tahoma" w:cs="Tahoma"/>
      <w:sz w:val="16"/>
      <w:szCs w:val="16"/>
      <w:lang w:val="fr-FR"/>
    </w:rPr>
  </w:style>
  <w:style w:type="character" w:styleId="BookTitle">
    <w:name w:val="Book Title"/>
    <w:uiPriority w:val="98"/>
    <w:semiHidden/>
    <w:qFormat/>
    <w:rsid w:val="00F25EFC"/>
    <w:rPr>
      <w:i/>
      <w:iCs/>
      <w:smallCaps/>
      <w:spacing w:val="5"/>
    </w:rPr>
  </w:style>
  <w:style w:type="paragraph" w:customStyle="1" w:styleId="JuHeader">
    <w:name w:val="Ju_Header"/>
    <w:aliases w:val="_Header"/>
    <w:basedOn w:val="Header"/>
    <w:uiPriority w:val="29"/>
    <w:qFormat/>
    <w:rsid w:val="00F25EFC"/>
    <w:pPr>
      <w:tabs>
        <w:tab w:val="clear" w:pos="4536"/>
        <w:tab w:val="clear" w:pos="9072"/>
      </w:tabs>
      <w:jc w:val="center"/>
    </w:pPr>
    <w:rPr>
      <w:sz w:val="18"/>
    </w:rPr>
  </w:style>
  <w:style w:type="paragraph" w:customStyle="1" w:styleId="DummyStyle">
    <w:name w:val="Dummy_Style"/>
    <w:aliases w:val="_Dummy"/>
    <w:basedOn w:val="Normal"/>
    <w:semiHidden/>
    <w:qFormat/>
    <w:rsid w:val="00F25EFC"/>
    <w:rPr>
      <w:color w:val="00B050"/>
      <w:sz w:val="22"/>
    </w:rPr>
  </w:style>
  <w:style w:type="character" w:styleId="Strong">
    <w:name w:val="Strong"/>
    <w:uiPriority w:val="98"/>
    <w:semiHidden/>
    <w:qFormat/>
    <w:rsid w:val="00F25EFC"/>
    <w:rPr>
      <w:b/>
      <w:bCs/>
    </w:rPr>
  </w:style>
  <w:style w:type="paragraph" w:styleId="NoSpacing">
    <w:name w:val="No Spacing"/>
    <w:basedOn w:val="Normal"/>
    <w:link w:val="NoSpacingChar"/>
    <w:uiPriority w:val="98"/>
    <w:semiHidden/>
    <w:qFormat/>
    <w:rsid w:val="00F25EFC"/>
  </w:style>
  <w:style w:type="character" w:customStyle="1" w:styleId="NoSpacingChar">
    <w:name w:val="No Spacing Char"/>
    <w:basedOn w:val="DefaultParagraphFont"/>
    <w:link w:val="NoSpacing"/>
    <w:uiPriority w:val="98"/>
    <w:semiHidden/>
    <w:rsid w:val="00F25EFC"/>
    <w:rPr>
      <w:sz w:val="24"/>
      <w:szCs w:val="24"/>
      <w:lang w:val="fr-FR"/>
    </w:rPr>
  </w:style>
  <w:style w:type="paragraph" w:customStyle="1" w:styleId="JuQuot">
    <w:name w:val="Ju_Quot"/>
    <w:aliases w:val="_Quote"/>
    <w:basedOn w:val="NormalJustified"/>
    <w:link w:val="JuQuotChar"/>
    <w:uiPriority w:val="20"/>
    <w:qFormat/>
    <w:rsid w:val="00F25EFC"/>
    <w:pPr>
      <w:spacing w:before="120" w:after="120"/>
      <w:ind w:left="425" w:firstLine="142"/>
    </w:pPr>
    <w:rPr>
      <w:sz w:val="20"/>
    </w:rPr>
  </w:style>
  <w:style w:type="paragraph" w:customStyle="1" w:styleId="JuList">
    <w:name w:val="Ju_List"/>
    <w:aliases w:val="_List_1"/>
    <w:basedOn w:val="NormalJustified"/>
    <w:uiPriority w:val="23"/>
    <w:qFormat/>
    <w:rsid w:val="00F25EFC"/>
    <w:pPr>
      <w:numPr>
        <w:numId w:val="6"/>
      </w:numPr>
      <w:spacing w:before="280" w:after="60"/>
    </w:pPr>
  </w:style>
  <w:style w:type="paragraph" w:customStyle="1" w:styleId="JuLista">
    <w:name w:val="Ju_List_a"/>
    <w:aliases w:val="_List_2"/>
    <w:basedOn w:val="NormalJustified"/>
    <w:uiPriority w:val="23"/>
    <w:rsid w:val="00F25EFC"/>
    <w:pPr>
      <w:numPr>
        <w:ilvl w:val="1"/>
        <w:numId w:val="6"/>
      </w:numPr>
    </w:pPr>
  </w:style>
  <w:style w:type="paragraph" w:customStyle="1" w:styleId="JuListi">
    <w:name w:val="Ju_List_i"/>
    <w:aliases w:val="_List_3"/>
    <w:basedOn w:val="NormalJustified"/>
    <w:uiPriority w:val="23"/>
    <w:rsid w:val="00F25EFC"/>
    <w:pPr>
      <w:numPr>
        <w:ilvl w:val="2"/>
        <w:numId w:val="6"/>
      </w:numPr>
    </w:pPr>
  </w:style>
  <w:style w:type="paragraph" w:customStyle="1" w:styleId="DecHTitle">
    <w:name w:val="Dec_H_Title"/>
    <w:aliases w:val="_Title_1"/>
    <w:basedOn w:val="JuPara"/>
    <w:next w:val="JuPara"/>
    <w:uiPriority w:val="38"/>
    <w:qFormat/>
    <w:rsid w:val="00F25EFC"/>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
    <w:next w:val="JuQuot"/>
    <w:uiPriority w:val="19"/>
    <w:qFormat/>
    <w:rsid w:val="00F25EFC"/>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F25EFC"/>
    <w:pPr>
      <w:keepNext/>
      <w:keepLines/>
      <w:tabs>
        <w:tab w:val="right" w:pos="7938"/>
      </w:tabs>
      <w:ind w:firstLine="0"/>
      <w:jc w:val="center"/>
    </w:pPr>
    <w:rPr>
      <w:i/>
    </w:rPr>
  </w:style>
  <w:style w:type="numbering" w:customStyle="1" w:styleId="ECHRA1StyleBulletedSquare">
    <w:name w:val="ECHR_A1_Style_Bulleted_Square"/>
    <w:basedOn w:val="NoList"/>
    <w:rsid w:val="00F25EFC"/>
    <w:pPr>
      <w:numPr>
        <w:numId w:val="5"/>
      </w:numPr>
    </w:pPr>
  </w:style>
  <w:style w:type="paragraph" w:customStyle="1" w:styleId="JuHHead">
    <w:name w:val="Ju_H_Head"/>
    <w:aliases w:val="_Head_1"/>
    <w:basedOn w:val="Heading1"/>
    <w:next w:val="JuPara"/>
    <w:uiPriority w:val="17"/>
    <w:qFormat/>
    <w:rsid w:val="00F25EFC"/>
    <w:pPr>
      <w:keepNext/>
      <w:keepLines/>
      <w:numPr>
        <w:numId w:val="1"/>
      </w:numPr>
      <w:spacing w:before="100" w:beforeAutospacing="1" w:after="240"/>
      <w:contextualSpacing w:val="0"/>
      <w:jc w:val="both"/>
    </w:pPr>
    <w:rPr>
      <w:b w:val="0"/>
      <w:caps/>
      <w:color w:val="auto"/>
    </w:rPr>
  </w:style>
  <w:style w:type="numbering" w:customStyle="1" w:styleId="ECHRA1StyleList">
    <w:name w:val="ECHR_A1_Style_List"/>
    <w:basedOn w:val="NoList"/>
    <w:uiPriority w:val="99"/>
    <w:rsid w:val="00F25EFC"/>
    <w:pPr>
      <w:numPr>
        <w:numId w:val="6"/>
      </w:numPr>
    </w:pPr>
  </w:style>
  <w:style w:type="paragraph" w:customStyle="1" w:styleId="JuSigned">
    <w:name w:val="Ju_Signed"/>
    <w:aliases w:val="_Signature"/>
    <w:basedOn w:val="Normal"/>
    <w:next w:val="JuPara"/>
    <w:uiPriority w:val="31"/>
    <w:qFormat/>
    <w:rsid w:val="00F25EFC"/>
    <w:pPr>
      <w:tabs>
        <w:tab w:val="center" w:pos="851"/>
        <w:tab w:val="center" w:pos="6407"/>
      </w:tabs>
      <w:spacing w:before="720"/>
    </w:pPr>
  </w:style>
  <w:style w:type="paragraph" w:styleId="Title">
    <w:name w:val="Title"/>
    <w:basedOn w:val="Normal"/>
    <w:next w:val="Normal"/>
    <w:link w:val="TitleChar"/>
    <w:uiPriority w:val="98"/>
    <w:semiHidden/>
    <w:qFormat/>
    <w:rsid w:val="00F25EFC"/>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F25EFC"/>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oList"/>
    <w:rsid w:val="00F25EFC"/>
    <w:pPr>
      <w:numPr>
        <w:numId w:val="7"/>
      </w:numPr>
    </w:pPr>
  </w:style>
  <w:style w:type="table" w:customStyle="1" w:styleId="ECHRTable2019">
    <w:name w:val="ECHR_Table_2019"/>
    <w:basedOn w:val="TableNormal"/>
    <w:uiPriority w:val="99"/>
    <w:rsid w:val="00F25EFC"/>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A00672"/>
    <w:rPr>
      <w:sz w:val="8"/>
    </w:rPr>
  </w:style>
  <w:style w:type="paragraph" w:customStyle="1" w:styleId="JuCourt">
    <w:name w:val="Ju_Court"/>
    <w:aliases w:val="_Court_Names"/>
    <w:basedOn w:val="Normal"/>
    <w:next w:val="Normal"/>
    <w:uiPriority w:val="32"/>
    <w:qFormat/>
    <w:rsid w:val="00F25EFC"/>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
    <w:uiPriority w:val="30"/>
    <w:qFormat/>
    <w:rsid w:val="00F25EFC"/>
    <w:pPr>
      <w:tabs>
        <w:tab w:val="center" w:pos="6407"/>
      </w:tabs>
      <w:spacing w:before="720"/>
      <w:jc w:val="right"/>
    </w:pPr>
  </w:style>
  <w:style w:type="paragraph" w:customStyle="1" w:styleId="JuHIRoman">
    <w:name w:val="Ju_H_I_Roman"/>
    <w:aliases w:val="_Head_2"/>
    <w:basedOn w:val="Heading2"/>
    <w:next w:val="JuPara"/>
    <w:uiPriority w:val="17"/>
    <w:qFormat/>
    <w:rsid w:val="00F25EFC"/>
    <w:pPr>
      <w:keepNext/>
      <w:keepLines/>
      <w:numPr>
        <w:ilvl w:val="1"/>
        <w:numId w:val="1"/>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F25EFC"/>
    <w:pPr>
      <w:keepNext/>
      <w:keepLines/>
      <w:numPr>
        <w:ilvl w:val="2"/>
        <w:numId w:val="1"/>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F25EFC"/>
    <w:pPr>
      <w:keepNext/>
      <w:keepLines/>
      <w:numPr>
        <w:ilvl w:val="3"/>
        <w:numId w:val="1"/>
      </w:numPr>
      <w:spacing w:before="100" w:beforeAutospacing="1" w:after="120"/>
      <w:jc w:val="both"/>
    </w:pPr>
    <w:rPr>
      <w:b w:val="0"/>
      <w:color w:val="auto"/>
      <w:sz w:val="24"/>
    </w:rPr>
  </w:style>
  <w:style w:type="paragraph" w:styleId="Header">
    <w:name w:val="header"/>
    <w:basedOn w:val="Normal"/>
    <w:link w:val="HeaderChar"/>
    <w:uiPriority w:val="98"/>
    <w:semiHidden/>
    <w:rsid w:val="00F25EFC"/>
    <w:pPr>
      <w:tabs>
        <w:tab w:val="center" w:pos="4536"/>
        <w:tab w:val="right" w:pos="9072"/>
      </w:tabs>
    </w:pPr>
  </w:style>
  <w:style w:type="character" w:customStyle="1" w:styleId="HeaderChar">
    <w:name w:val="Header Char"/>
    <w:basedOn w:val="DefaultParagraphFont"/>
    <w:link w:val="Header"/>
    <w:uiPriority w:val="98"/>
    <w:semiHidden/>
    <w:rsid w:val="00F25EFC"/>
    <w:rPr>
      <w:sz w:val="24"/>
      <w:szCs w:val="24"/>
      <w:lang w:val="fr-FR"/>
    </w:rPr>
  </w:style>
  <w:style w:type="character" w:customStyle="1" w:styleId="Heading1Char">
    <w:name w:val="Heading 1 Char"/>
    <w:basedOn w:val="DefaultParagraphFont"/>
    <w:link w:val="Heading1"/>
    <w:uiPriority w:val="98"/>
    <w:semiHidden/>
    <w:rsid w:val="00F25EFC"/>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Heading5"/>
    <w:next w:val="JuPara"/>
    <w:uiPriority w:val="17"/>
    <w:rsid w:val="00F25EFC"/>
    <w:pPr>
      <w:keepNext/>
      <w:keepLines/>
      <w:numPr>
        <w:ilvl w:val="4"/>
        <w:numId w:val="1"/>
      </w:numPr>
      <w:spacing w:before="100" w:beforeAutospacing="1" w:after="120"/>
      <w:jc w:val="both"/>
    </w:pPr>
    <w:rPr>
      <w:color w:val="auto"/>
      <w:sz w:val="20"/>
    </w:rPr>
  </w:style>
  <w:style w:type="paragraph" w:customStyle="1" w:styleId="JuHi">
    <w:name w:val="Ju_H_i"/>
    <w:aliases w:val="_Head_6"/>
    <w:basedOn w:val="Heading6"/>
    <w:next w:val="JuPara"/>
    <w:uiPriority w:val="17"/>
    <w:rsid w:val="00F25EFC"/>
    <w:pPr>
      <w:keepNext/>
      <w:keepLines/>
      <w:numPr>
        <w:ilvl w:val="5"/>
        <w:numId w:val="1"/>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F25EFC"/>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Heading7"/>
    <w:next w:val="JuPara"/>
    <w:uiPriority w:val="17"/>
    <w:rsid w:val="00F25EFC"/>
    <w:pPr>
      <w:keepNext/>
      <w:keepLines/>
      <w:numPr>
        <w:ilvl w:val="6"/>
        <w:numId w:val="1"/>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F25EFC"/>
    <w:pPr>
      <w:keepNext/>
      <w:keepLines/>
      <w:numPr>
        <w:ilvl w:val="7"/>
        <w:numId w:val="1"/>
      </w:numPr>
      <w:spacing w:before="100" w:beforeAutospacing="1" w:after="120"/>
      <w:jc w:val="both"/>
    </w:pPr>
    <w:rPr>
      <w:i/>
    </w:rPr>
  </w:style>
  <w:style w:type="character" w:customStyle="1" w:styleId="Heading3Char">
    <w:name w:val="Heading 3 Char"/>
    <w:basedOn w:val="DefaultParagraphFont"/>
    <w:link w:val="Heading3"/>
    <w:uiPriority w:val="98"/>
    <w:semiHidden/>
    <w:rsid w:val="00F25EFC"/>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F25EFC"/>
    <w:pPr>
      <w:keepNext/>
      <w:keepLines/>
      <w:spacing w:before="240" w:after="240"/>
      <w:ind w:firstLine="284"/>
    </w:pPr>
  </w:style>
  <w:style w:type="paragraph" w:customStyle="1" w:styleId="JuJudges">
    <w:name w:val="Ju_Judges"/>
    <w:aliases w:val="_Judges"/>
    <w:basedOn w:val="Normal"/>
    <w:uiPriority w:val="32"/>
    <w:qFormat/>
    <w:rsid w:val="00F25EFC"/>
    <w:pPr>
      <w:tabs>
        <w:tab w:val="left" w:pos="567"/>
        <w:tab w:val="left" w:pos="1134"/>
      </w:tabs>
    </w:pPr>
  </w:style>
  <w:style w:type="character" w:customStyle="1" w:styleId="Heading4Char">
    <w:name w:val="Heading 4 Char"/>
    <w:basedOn w:val="DefaultParagraphFont"/>
    <w:link w:val="Heading4"/>
    <w:uiPriority w:val="98"/>
    <w:semiHidden/>
    <w:rsid w:val="00F25EFC"/>
    <w:rPr>
      <w:rFonts w:asciiTheme="majorHAnsi" w:eastAsiaTheme="majorEastAsia" w:hAnsiTheme="majorHAnsi" w:cstheme="majorBidi"/>
      <w:b/>
      <w:bCs/>
      <w:i/>
      <w:iCs/>
      <w:color w:val="777777"/>
      <w:lang w:val="fr-FR"/>
    </w:rPr>
  </w:style>
  <w:style w:type="character" w:customStyle="1" w:styleId="JuITMark">
    <w:name w:val="Ju_ITMark"/>
    <w:aliases w:val="_ITMark"/>
    <w:basedOn w:val="DefaultParagraphFont"/>
    <w:uiPriority w:val="54"/>
    <w:qFormat/>
    <w:rsid w:val="00F25EFC"/>
    <w:rPr>
      <w:vanish w:val="0"/>
      <w:color w:val="auto"/>
      <w:sz w:val="14"/>
      <w:bdr w:val="none" w:sz="0" w:space="0" w:color="auto"/>
      <w:shd w:val="clear" w:color="auto" w:fill="BEE5FF" w:themeFill="background1" w:themeFillTint="33"/>
    </w:rPr>
  </w:style>
  <w:style w:type="character" w:customStyle="1" w:styleId="Heading5Char">
    <w:name w:val="Heading 5 Char"/>
    <w:basedOn w:val="DefaultParagraphFont"/>
    <w:link w:val="Heading5"/>
    <w:uiPriority w:val="98"/>
    <w:semiHidden/>
    <w:rsid w:val="00F25EFC"/>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F25EFC"/>
    <w:rPr>
      <w:caps w:val="0"/>
      <w:smallCaps/>
    </w:rPr>
  </w:style>
  <w:style w:type="paragraph" w:customStyle="1" w:styleId="NormalJustified">
    <w:name w:val="Normal_Justified"/>
    <w:basedOn w:val="Normal"/>
    <w:semiHidden/>
    <w:rsid w:val="00F25EFC"/>
    <w:pPr>
      <w:jc w:val="both"/>
    </w:pPr>
  </w:style>
  <w:style w:type="character" w:styleId="SubtleEmphasis">
    <w:name w:val="Subtle Emphasis"/>
    <w:uiPriority w:val="98"/>
    <w:semiHidden/>
    <w:qFormat/>
    <w:rsid w:val="00F25EFC"/>
    <w:rPr>
      <w:i/>
      <w:iCs/>
    </w:rPr>
  </w:style>
  <w:style w:type="table" w:customStyle="1" w:styleId="ECHRTable">
    <w:name w:val="ECHR_Table"/>
    <w:basedOn w:val="TableNormal"/>
    <w:rsid w:val="00F25EFC"/>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F25EF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F25EFC"/>
    <w:rPr>
      <w:b/>
      <w:bCs/>
      <w:i/>
      <w:iCs/>
      <w:spacing w:val="10"/>
      <w:bdr w:val="none" w:sz="0" w:space="0" w:color="auto"/>
      <w:shd w:val="clear" w:color="auto" w:fill="auto"/>
    </w:rPr>
  </w:style>
  <w:style w:type="paragraph" w:styleId="Footer0">
    <w:name w:val="footer"/>
    <w:basedOn w:val="Normal"/>
    <w:link w:val="FooterChar"/>
    <w:uiPriority w:val="98"/>
    <w:semiHidden/>
    <w:rsid w:val="00F25EFC"/>
    <w:pPr>
      <w:tabs>
        <w:tab w:val="center" w:pos="3686"/>
        <w:tab w:val="right" w:pos="7371"/>
      </w:tabs>
    </w:pPr>
  </w:style>
  <w:style w:type="character" w:customStyle="1" w:styleId="FooterChar">
    <w:name w:val="Footer Char"/>
    <w:basedOn w:val="DefaultParagraphFont"/>
    <w:link w:val="Footer0"/>
    <w:uiPriority w:val="98"/>
    <w:semiHidden/>
    <w:rsid w:val="00F25EFC"/>
    <w:rPr>
      <w:sz w:val="24"/>
      <w:szCs w:val="24"/>
      <w:lang w:val="fr-FR"/>
    </w:rPr>
  </w:style>
  <w:style w:type="character" w:styleId="FootnoteReference">
    <w:name w:val="footnote reference"/>
    <w:basedOn w:val="DefaultParagraphFont"/>
    <w:uiPriority w:val="98"/>
    <w:semiHidden/>
    <w:rsid w:val="00F25EFC"/>
    <w:rPr>
      <w:vertAlign w:val="superscript"/>
    </w:rPr>
  </w:style>
  <w:style w:type="paragraph" w:styleId="FootnoteText">
    <w:name w:val="footnote text"/>
    <w:basedOn w:val="Normal"/>
    <w:link w:val="FootnoteTextChar"/>
    <w:uiPriority w:val="98"/>
    <w:semiHidden/>
    <w:rsid w:val="00F25EFC"/>
    <w:rPr>
      <w:sz w:val="20"/>
      <w:szCs w:val="20"/>
    </w:rPr>
  </w:style>
  <w:style w:type="character" w:customStyle="1" w:styleId="FootnoteTextChar">
    <w:name w:val="Footnote Text Char"/>
    <w:basedOn w:val="DefaultParagraphFont"/>
    <w:link w:val="FootnoteText"/>
    <w:uiPriority w:val="98"/>
    <w:semiHidden/>
    <w:rsid w:val="00F25EFC"/>
    <w:rPr>
      <w:sz w:val="20"/>
      <w:szCs w:val="20"/>
      <w:lang w:val="fr-FR"/>
    </w:rPr>
  </w:style>
  <w:style w:type="character" w:customStyle="1" w:styleId="Heading6Char">
    <w:name w:val="Heading 6 Char"/>
    <w:basedOn w:val="DefaultParagraphFont"/>
    <w:link w:val="Heading6"/>
    <w:uiPriority w:val="98"/>
    <w:semiHidden/>
    <w:rsid w:val="00F25EFC"/>
    <w:rPr>
      <w:rFonts w:asciiTheme="majorHAnsi" w:eastAsiaTheme="majorEastAsia" w:hAnsiTheme="majorHAnsi" w:cstheme="majorBidi"/>
      <w:b/>
      <w:bCs/>
      <w:i/>
      <w:iCs/>
      <w:color w:val="7F7F7F" w:themeColor="text1" w:themeTint="80"/>
      <w:lang w:val="fr-FR" w:bidi="en-US"/>
    </w:rPr>
  </w:style>
  <w:style w:type="character" w:customStyle="1" w:styleId="Heading7Char">
    <w:name w:val="Heading 7 Char"/>
    <w:basedOn w:val="DefaultParagraphFont"/>
    <w:link w:val="Heading7"/>
    <w:uiPriority w:val="98"/>
    <w:semiHidden/>
    <w:rsid w:val="00F25EFC"/>
    <w:rPr>
      <w:rFonts w:asciiTheme="majorHAnsi" w:eastAsiaTheme="majorEastAsia" w:hAnsiTheme="majorHAnsi" w:cstheme="majorBidi"/>
      <w:i/>
      <w:iCs/>
      <w:lang w:val="fr-FR" w:bidi="en-US"/>
    </w:rPr>
  </w:style>
  <w:style w:type="character" w:customStyle="1" w:styleId="Heading8Char">
    <w:name w:val="Heading 8 Char"/>
    <w:basedOn w:val="DefaultParagraphFont"/>
    <w:link w:val="Heading8"/>
    <w:uiPriority w:val="98"/>
    <w:semiHidden/>
    <w:rsid w:val="00F25EFC"/>
    <w:rPr>
      <w:rFonts w:asciiTheme="majorHAnsi" w:eastAsiaTheme="majorEastAsia" w:hAnsiTheme="majorHAnsi" w:cstheme="majorBidi"/>
      <w:sz w:val="20"/>
      <w:szCs w:val="20"/>
      <w:lang w:val="fr-FR" w:bidi="en-US"/>
    </w:rPr>
  </w:style>
  <w:style w:type="character" w:customStyle="1" w:styleId="Heading9Char">
    <w:name w:val="Heading 9 Char"/>
    <w:basedOn w:val="DefaultParagraphFont"/>
    <w:link w:val="Heading9"/>
    <w:uiPriority w:val="98"/>
    <w:semiHidden/>
    <w:rsid w:val="00F25EFC"/>
    <w:rPr>
      <w:rFonts w:asciiTheme="majorHAnsi" w:eastAsiaTheme="majorEastAsia" w:hAnsiTheme="majorHAnsi" w:cstheme="majorBidi"/>
      <w:i/>
      <w:iCs/>
      <w:spacing w:val="5"/>
      <w:sz w:val="20"/>
      <w:szCs w:val="20"/>
      <w:lang w:val="fr-FR" w:bidi="en-US"/>
    </w:rPr>
  </w:style>
  <w:style w:type="character" w:styleId="Hyperlink">
    <w:name w:val="Hyperlink"/>
    <w:basedOn w:val="DefaultParagraphFont"/>
    <w:uiPriority w:val="98"/>
    <w:semiHidden/>
    <w:rsid w:val="00F25EFC"/>
    <w:rPr>
      <w:color w:val="0072BC" w:themeColor="hyperlink"/>
      <w:u w:val="single"/>
    </w:rPr>
  </w:style>
  <w:style w:type="character" w:styleId="IntenseEmphasis">
    <w:name w:val="Intense Emphasis"/>
    <w:uiPriority w:val="98"/>
    <w:semiHidden/>
    <w:qFormat/>
    <w:rsid w:val="00F25EFC"/>
    <w:rPr>
      <w:b/>
      <w:bCs/>
    </w:rPr>
  </w:style>
  <w:style w:type="paragraph" w:styleId="IntenseQuote">
    <w:name w:val="Intense Quote"/>
    <w:basedOn w:val="Normal"/>
    <w:next w:val="Normal"/>
    <w:link w:val="IntenseQuoteChar"/>
    <w:uiPriority w:val="98"/>
    <w:semiHidden/>
    <w:qFormat/>
    <w:rsid w:val="00F25EFC"/>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F25EFC"/>
    <w:rPr>
      <w:b/>
      <w:bCs/>
      <w:i/>
      <w:iCs/>
      <w:sz w:val="24"/>
      <w:szCs w:val="24"/>
      <w:lang w:val="fr-FR" w:bidi="en-US"/>
    </w:rPr>
  </w:style>
  <w:style w:type="character" w:styleId="IntenseReference">
    <w:name w:val="Intense Reference"/>
    <w:uiPriority w:val="98"/>
    <w:semiHidden/>
    <w:qFormat/>
    <w:rsid w:val="00F25EFC"/>
    <w:rPr>
      <w:smallCaps/>
      <w:spacing w:val="5"/>
      <w:u w:val="single"/>
    </w:rPr>
  </w:style>
  <w:style w:type="paragraph" w:styleId="ListParagraph">
    <w:name w:val="List Paragraph"/>
    <w:basedOn w:val="Normal"/>
    <w:uiPriority w:val="98"/>
    <w:semiHidden/>
    <w:qFormat/>
    <w:rsid w:val="00F25EFC"/>
    <w:pPr>
      <w:ind w:left="720"/>
      <w:contextualSpacing/>
    </w:pPr>
  </w:style>
  <w:style w:type="table" w:customStyle="1" w:styleId="LtrTableAddress">
    <w:name w:val="Ltr_Table_Address"/>
    <w:aliases w:val="ECHR_Ltr_Table_Address"/>
    <w:basedOn w:val="TableNormal"/>
    <w:uiPriority w:val="99"/>
    <w:rsid w:val="00F25EFC"/>
    <w:rPr>
      <w:sz w:val="24"/>
      <w:szCs w:val="24"/>
    </w:rPr>
    <w:tblPr>
      <w:tblInd w:w="5103" w:type="dxa"/>
    </w:tblPr>
  </w:style>
  <w:style w:type="paragraph" w:styleId="Quote">
    <w:name w:val="Quote"/>
    <w:basedOn w:val="Normal"/>
    <w:next w:val="Normal"/>
    <w:link w:val="QuoteChar"/>
    <w:uiPriority w:val="98"/>
    <w:semiHidden/>
    <w:qFormat/>
    <w:rsid w:val="00F25EFC"/>
    <w:pPr>
      <w:spacing w:before="200"/>
      <w:ind w:left="360" w:right="360"/>
    </w:pPr>
    <w:rPr>
      <w:i/>
      <w:iCs/>
      <w:lang w:bidi="en-US"/>
    </w:rPr>
  </w:style>
  <w:style w:type="character" w:customStyle="1" w:styleId="QuoteChar">
    <w:name w:val="Quote Char"/>
    <w:basedOn w:val="DefaultParagraphFont"/>
    <w:link w:val="Quote"/>
    <w:uiPriority w:val="98"/>
    <w:semiHidden/>
    <w:rsid w:val="00F25EFC"/>
    <w:rPr>
      <w:i/>
      <w:iCs/>
      <w:sz w:val="24"/>
      <w:szCs w:val="24"/>
      <w:lang w:val="fr-FR" w:bidi="en-US"/>
    </w:rPr>
  </w:style>
  <w:style w:type="character" w:styleId="SubtleReference">
    <w:name w:val="Subtle Reference"/>
    <w:uiPriority w:val="98"/>
    <w:semiHidden/>
    <w:qFormat/>
    <w:rsid w:val="00F25EFC"/>
    <w:rPr>
      <w:smallCaps/>
    </w:rPr>
  </w:style>
  <w:style w:type="table" w:styleId="TableGrid">
    <w:name w:val="Table Grid"/>
    <w:basedOn w:val="TableNormal"/>
    <w:uiPriority w:val="59"/>
    <w:semiHidden/>
    <w:rsid w:val="00F25EFC"/>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F25EFC"/>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F25EFC"/>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F25EFC"/>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F25EFC"/>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F25EFC"/>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F25EFC"/>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F25EFC"/>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F25EFC"/>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F25EFC"/>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F25EFC"/>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F25EFC"/>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F25EFC"/>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F25EFC"/>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F25EFC"/>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F25EFC"/>
    <w:rPr>
      <w:rFonts w:asciiTheme="majorHAnsi" w:eastAsiaTheme="majorEastAsia" w:hAnsiTheme="majorHAnsi" w:cstheme="majorBidi"/>
      <w:i/>
      <w:iCs/>
      <w:spacing w:val="13"/>
      <w:sz w:val="24"/>
      <w:szCs w:val="24"/>
      <w:lang w:val="fr-FR" w:bidi="en-US"/>
    </w:rPr>
  </w:style>
  <w:style w:type="numbering" w:styleId="111111">
    <w:name w:val="Outline List 2"/>
    <w:basedOn w:val="NoList"/>
    <w:uiPriority w:val="99"/>
    <w:semiHidden/>
    <w:unhideWhenUsed/>
    <w:rsid w:val="00F25EFC"/>
    <w:pPr>
      <w:numPr>
        <w:numId w:val="2"/>
      </w:numPr>
    </w:pPr>
  </w:style>
  <w:style w:type="paragraph" w:customStyle="1" w:styleId="JuPara">
    <w:name w:val="Ju_Para"/>
    <w:aliases w:val="_Para"/>
    <w:basedOn w:val="NormalJustified"/>
    <w:link w:val="JuParaChar"/>
    <w:uiPriority w:val="4"/>
    <w:qFormat/>
    <w:rsid w:val="00F25EFC"/>
    <w:pPr>
      <w:ind w:firstLine="284"/>
    </w:pPr>
  </w:style>
  <w:style w:type="numbering" w:styleId="1ai">
    <w:name w:val="Outline List 1"/>
    <w:basedOn w:val="NoList"/>
    <w:uiPriority w:val="99"/>
    <w:semiHidden/>
    <w:unhideWhenUsed/>
    <w:rsid w:val="00F25EFC"/>
    <w:pPr>
      <w:numPr>
        <w:numId w:val="3"/>
      </w:numPr>
    </w:pPr>
  </w:style>
  <w:style w:type="table" w:customStyle="1" w:styleId="ECHRTableSimpleBox">
    <w:name w:val="ECHR_Table_Simple_Box"/>
    <w:basedOn w:val="TableNormal"/>
    <w:uiPriority w:val="99"/>
    <w:rsid w:val="00F25EFC"/>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5EFC"/>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F25EFC"/>
    <w:pPr>
      <w:numPr>
        <w:numId w:val="4"/>
      </w:numPr>
    </w:pPr>
  </w:style>
  <w:style w:type="table" w:customStyle="1" w:styleId="ECHRTableForInternalUse">
    <w:name w:val="ECHR_Table_For_Internal_Use"/>
    <w:basedOn w:val="TableNormal"/>
    <w:uiPriority w:val="99"/>
    <w:rsid w:val="00F25EFC"/>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F25EFC"/>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F25EFC"/>
  </w:style>
  <w:style w:type="paragraph" w:styleId="BlockText">
    <w:name w:val="Block Text"/>
    <w:basedOn w:val="Normal"/>
    <w:uiPriority w:val="98"/>
    <w:semiHidden/>
    <w:rsid w:val="00F25EFC"/>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F25EFC"/>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F25EFC"/>
    <w:pPr>
      <w:spacing w:after="120"/>
    </w:pPr>
  </w:style>
  <w:style w:type="character" w:customStyle="1" w:styleId="BodyTextChar">
    <w:name w:val="Body Text Char"/>
    <w:basedOn w:val="DefaultParagraphFont"/>
    <w:link w:val="BodyText"/>
    <w:uiPriority w:val="98"/>
    <w:semiHidden/>
    <w:rsid w:val="00F25EFC"/>
    <w:rPr>
      <w:sz w:val="24"/>
      <w:szCs w:val="24"/>
      <w:lang w:val="fr-FR"/>
    </w:rPr>
  </w:style>
  <w:style w:type="table" w:customStyle="1" w:styleId="ECHRTableOddBanded">
    <w:name w:val="ECHR_Table_Odd_Banded"/>
    <w:basedOn w:val="TableNormal"/>
    <w:uiPriority w:val="99"/>
    <w:rsid w:val="00F25EFC"/>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F25EFC"/>
    <w:pPr>
      <w:spacing w:after="120" w:line="480" w:lineRule="auto"/>
    </w:pPr>
  </w:style>
  <w:style w:type="table" w:customStyle="1" w:styleId="ECHRHeaderTableReduced">
    <w:name w:val="ECHR_Header_Table_Reduced"/>
    <w:basedOn w:val="TableNormal"/>
    <w:uiPriority w:val="99"/>
    <w:rsid w:val="00F25EFC"/>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F25EFC"/>
    <w:pPr>
      <w:ind w:firstLine="284"/>
    </w:pPr>
    <w:rPr>
      <w:b/>
    </w:rPr>
  </w:style>
  <w:style w:type="character" w:styleId="PageNumber">
    <w:name w:val="page number"/>
    <w:uiPriority w:val="98"/>
    <w:semiHidden/>
    <w:rsid w:val="00F25EFC"/>
    <w:rPr>
      <w:sz w:val="18"/>
    </w:rPr>
  </w:style>
  <w:style w:type="paragraph" w:styleId="ListBullet2">
    <w:name w:val="List Bullet 2"/>
    <w:basedOn w:val="Normal"/>
    <w:uiPriority w:val="98"/>
    <w:semiHidden/>
    <w:rsid w:val="00F25EFC"/>
    <w:pPr>
      <w:numPr>
        <w:numId w:val="9"/>
      </w:numPr>
      <w:contextualSpacing/>
    </w:pPr>
  </w:style>
  <w:style w:type="character" w:customStyle="1" w:styleId="BodyText2Char">
    <w:name w:val="Body Text 2 Char"/>
    <w:basedOn w:val="DefaultParagraphFont"/>
    <w:link w:val="BodyText2"/>
    <w:uiPriority w:val="98"/>
    <w:semiHidden/>
    <w:rsid w:val="00F25EFC"/>
    <w:rPr>
      <w:sz w:val="24"/>
      <w:szCs w:val="24"/>
      <w:lang w:val="fr-FR"/>
    </w:rPr>
  </w:style>
  <w:style w:type="paragraph" w:styleId="BodyText3">
    <w:name w:val="Body Text 3"/>
    <w:basedOn w:val="Normal"/>
    <w:link w:val="BodyText3Char"/>
    <w:uiPriority w:val="98"/>
    <w:semiHidden/>
    <w:rsid w:val="00F25EFC"/>
    <w:pPr>
      <w:spacing w:after="120"/>
    </w:pPr>
    <w:rPr>
      <w:sz w:val="16"/>
      <w:szCs w:val="16"/>
    </w:rPr>
  </w:style>
  <w:style w:type="character" w:customStyle="1" w:styleId="BodyText3Char">
    <w:name w:val="Body Text 3 Char"/>
    <w:basedOn w:val="DefaultParagraphFont"/>
    <w:link w:val="BodyText3"/>
    <w:uiPriority w:val="98"/>
    <w:semiHidden/>
    <w:rsid w:val="00F25EFC"/>
    <w:rPr>
      <w:sz w:val="16"/>
      <w:szCs w:val="16"/>
      <w:lang w:val="fr-FR"/>
    </w:rPr>
  </w:style>
  <w:style w:type="paragraph" w:styleId="BodyTextFirstIndent">
    <w:name w:val="Body Text First Indent"/>
    <w:basedOn w:val="BodyText"/>
    <w:link w:val="BodyTextFirstIndentChar"/>
    <w:uiPriority w:val="98"/>
    <w:semiHidden/>
    <w:rsid w:val="00F25EFC"/>
    <w:pPr>
      <w:spacing w:after="0"/>
      <w:ind w:firstLine="360"/>
    </w:pPr>
  </w:style>
  <w:style w:type="character" w:customStyle="1" w:styleId="BodyTextFirstIndentChar">
    <w:name w:val="Body Text First Indent Char"/>
    <w:basedOn w:val="BodyTextChar"/>
    <w:link w:val="BodyTextFirstIndent"/>
    <w:uiPriority w:val="98"/>
    <w:semiHidden/>
    <w:rsid w:val="00F25EFC"/>
    <w:rPr>
      <w:sz w:val="24"/>
      <w:szCs w:val="24"/>
      <w:lang w:val="fr-FR"/>
    </w:rPr>
  </w:style>
  <w:style w:type="paragraph" w:styleId="BodyTextIndent">
    <w:name w:val="Body Text Indent"/>
    <w:basedOn w:val="Normal"/>
    <w:link w:val="BodyTextIndentChar"/>
    <w:uiPriority w:val="98"/>
    <w:semiHidden/>
    <w:rsid w:val="00F25EFC"/>
    <w:pPr>
      <w:spacing w:after="120"/>
      <w:ind w:left="283"/>
    </w:pPr>
  </w:style>
  <w:style w:type="character" w:customStyle="1" w:styleId="BodyTextIndentChar">
    <w:name w:val="Body Text Indent Char"/>
    <w:basedOn w:val="DefaultParagraphFont"/>
    <w:link w:val="BodyTextIndent"/>
    <w:uiPriority w:val="98"/>
    <w:semiHidden/>
    <w:rsid w:val="00F25EFC"/>
    <w:rPr>
      <w:sz w:val="24"/>
      <w:szCs w:val="24"/>
      <w:lang w:val="fr-FR"/>
    </w:rPr>
  </w:style>
  <w:style w:type="paragraph" w:styleId="BodyTextFirstIndent2">
    <w:name w:val="Body Text First Indent 2"/>
    <w:basedOn w:val="BodyTextIndent"/>
    <w:link w:val="BodyTextFirstIndent2Char"/>
    <w:uiPriority w:val="98"/>
    <w:semiHidden/>
    <w:rsid w:val="00F25EFC"/>
    <w:pPr>
      <w:spacing w:after="0"/>
      <w:ind w:left="360" w:firstLine="360"/>
    </w:pPr>
  </w:style>
  <w:style w:type="character" w:customStyle="1" w:styleId="BodyTextFirstIndent2Char">
    <w:name w:val="Body Text First Indent 2 Char"/>
    <w:basedOn w:val="BodyTextIndentChar"/>
    <w:link w:val="BodyTextFirstIndent2"/>
    <w:uiPriority w:val="98"/>
    <w:semiHidden/>
    <w:rsid w:val="00F25EFC"/>
    <w:rPr>
      <w:sz w:val="24"/>
      <w:szCs w:val="24"/>
      <w:lang w:val="fr-FR"/>
    </w:rPr>
  </w:style>
  <w:style w:type="paragraph" w:styleId="BodyTextIndent2">
    <w:name w:val="Body Text Indent 2"/>
    <w:basedOn w:val="Normal"/>
    <w:link w:val="BodyTextIndent2Char"/>
    <w:uiPriority w:val="98"/>
    <w:semiHidden/>
    <w:rsid w:val="00F25EFC"/>
    <w:pPr>
      <w:spacing w:after="120" w:line="480" w:lineRule="auto"/>
      <w:ind w:left="283"/>
    </w:pPr>
  </w:style>
  <w:style w:type="character" w:customStyle="1" w:styleId="BodyTextIndent2Char">
    <w:name w:val="Body Text Indent 2 Char"/>
    <w:basedOn w:val="DefaultParagraphFont"/>
    <w:link w:val="BodyTextIndent2"/>
    <w:uiPriority w:val="98"/>
    <w:semiHidden/>
    <w:rsid w:val="00F25EFC"/>
    <w:rPr>
      <w:sz w:val="24"/>
      <w:szCs w:val="24"/>
      <w:lang w:val="fr-FR"/>
    </w:rPr>
  </w:style>
  <w:style w:type="paragraph" w:styleId="BodyTextIndent3">
    <w:name w:val="Body Text Indent 3"/>
    <w:basedOn w:val="Normal"/>
    <w:link w:val="BodyTextIndent3Char"/>
    <w:uiPriority w:val="98"/>
    <w:semiHidden/>
    <w:rsid w:val="00F25EFC"/>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F25EFC"/>
    <w:rPr>
      <w:sz w:val="16"/>
      <w:szCs w:val="16"/>
      <w:lang w:val="fr-FR"/>
    </w:rPr>
  </w:style>
  <w:style w:type="paragraph" w:styleId="Caption">
    <w:name w:val="caption"/>
    <w:basedOn w:val="Normal"/>
    <w:next w:val="Normal"/>
    <w:uiPriority w:val="98"/>
    <w:semiHidden/>
    <w:qFormat/>
    <w:rsid w:val="00F25EFC"/>
    <w:pPr>
      <w:spacing w:after="200"/>
    </w:pPr>
    <w:rPr>
      <w:b/>
      <w:bCs/>
      <w:color w:val="0072BC" w:themeColor="accent1"/>
      <w:sz w:val="18"/>
      <w:szCs w:val="18"/>
    </w:rPr>
  </w:style>
  <w:style w:type="paragraph" w:styleId="Closing">
    <w:name w:val="Closing"/>
    <w:basedOn w:val="Normal"/>
    <w:link w:val="ClosingChar"/>
    <w:uiPriority w:val="98"/>
    <w:semiHidden/>
    <w:rsid w:val="00F25EFC"/>
    <w:pPr>
      <w:ind w:left="4252"/>
    </w:pPr>
  </w:style>
  <w:style w:type="character" w:customStyle="1" w:styleId="ClosingChar">
    <w:name w:val="Closing Char"/>
    <w:basedOn w:val="DefaultParagraphFont"/>
    <w:link w:val="Closing"/>
    <w:uiPriority w:val="98"/>
    <w:semiHidden/>
    <w:rsid w:val="00F25EFC"/>
    <w:rPr>
      <w:sz w:val="24"/>
      <w:szCs w:val="24"/>
      <w:lang w:val="fr-FR"/>
    </w:rPr>
  </w:style>
  <w:style w:type="table" w:styleId="ColorfulGrid">
    <w:name w:val="Colorful Grid"/>
    <w:basedOn w:val="TableNormal"/>
    <w:uiPriority w:val="73"/>
    <w:semiHidden/>
    <w:rsid w:val="00F25EFC"/>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F25EFC"/>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F25EFC"/>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F25EFC"/>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F25EFC"/>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F25EFC"/>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F25EFC"/>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F25EFC"/>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F25EFC"/>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F25EFC"/>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F25EFC"/>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F25EFC"/>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F25EFC"/>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F25EFC"/>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F25EFC"/>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F25EFC"/>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F25EFC"/>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F25EFC"/>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F25EFC"/>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F25EFC"/>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F25EFC"/>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F25EFC"/>
    <w:rPr>
      <w:sz w:val="16"/>
      <w:szCs w:val="16"/>
    </w:rPr>
  </w:style>
  <w:style w:type="paragraph" w:styleId="CommentText">
    <w:name w:val="annotation text"/>
    <w:basedOn w:val="Normal"/>
    <w:link w:val="CommentTextChar"/>
    <w:uiPriority w:val="98"/>
    <w:semiHidden/>
    <w:rsid w:val="00F25EFC"/>
    <w:rPr>
      <w:sz w:val="20"/>
      <w:szCs w:val="20"/>
    </w:rPr>
  </w:style>
  <w:style w:type="character" w:customStyle="1" w:styleId="CommentTextChar">
    <w:name w:val="Comment Text Char"/>
    <w:basedOn w:val="DefaultParagraphFont"/>
    <w:link w:val="CommentText"/>
    <w:uiPriority w:val="98"/>
    <w:semiHidden/>
    <w:rsid w:val="00F25EFC"/>
    <w:rPr>
      <w:sz w:val="20"/>
      <w:szCs w:val="20"/>
      <w:lang w:val="fr-FR"/>
    </w:rPr>
  </w:style>
  <w:style w:type="paragraph" w:styleId="CommentSubject">
    <w:name w:val="annotation subject"/>
    <w:basedOn w:val="CommentText"/>
    <w:next w:val="CommentText"/>
    <w:link w:val="CommentSubjectChar"/>
    <w:uiPriority w:val="98"/>
    <w:semiHidden/>
    <w:rsid w:val="00F25EFC"/>
    <w:rPr>
      <w:b/>
      <w:bCs/>
    </w:rPr>
  </w:style>
  <w:style w:type="character" w:customStyle="1" w:styleId="CommentSubjectChar">
    <w:name w:val="Comment Subject Char"/>
    <w:basedOn w:val="CommentTextChar"/>
    <w:link w:val="CommentSubject"/>
    <w:uiPriority w:val="98"/>
    <w:semiHidden/>
    <w:rsid w:val="00F25EFC"/>
    <w:rPr>
      <w:b/>
      <w:bCs/>
      <w:sz w:val="20"/>
      <w:szCs w:val="20"/>
      <w:lang w:val="fr-FR"/>
    </w:rPr>
  </w:style>
  <w:style w:type="table" w:styleId="DarkList">
    <w:name w:val="Dark List"/>
    <w:basedOn w:val="TableNormal"/>
    <w:uiPriority w:val="70"/>
    <w:semiHidden/>
    <w:rsid w:val="00F25EFC"/>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F25EFC"/>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F25EFC"/>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F25EFC"/>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F25EFC"/>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F25EFC"/>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F25EFC"/>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F25EFC"/>
  </w:style>
  <w:style w:type="character" w:customStyle="1" w:styleId="DateChar">
    <w:name w:val="Date Char"/>
    <w:basedOn w:val="DefaultParagraphFont"/>
    <w:link w:val="Date"/>
    <w:uiPriority w:val="98"/>
    <w:semiHidden/>
    <w:rsid w:val="00F25EFC"/>
    <w:rPr>
      <w:sz w:val="24"/>
      <w:szCs w:val="24"/>
      <w:lang w:val="fr-FR"/>
    </w:rPr>
  </w:style>
  <w:style w:type="paragraph" w:styleId="DocumentMap">
    <w:name w:val="Document Map"/>
    <w:basedOn w:val="Normal"/>
    <w:link w:val="DocumentMapChar"/>
    <w:uiPriority w:val="98"/>
    <w:semiHidden/>
    <w:rsid w:val="00F25EFC"/>
    <w:rPr>
      <w:rFonts w:ascii="Tahoma" w:hAnsi="Tahoma" w:cs="Tahoma"/>
      <w:sz w:val="16"/>
      <w:szCs w:val="16"/>
    </w:rPr>
  </w:style>
  <w:style w:type="character" w:customStyle="1" w:styleId="DocumentMapChar">
    <w:name w:val="Document Map Char"/>
    <w:basedOn w:val="DefaultParagraphFont"/>
    <w:link w:val="DocumentMap"/>
    <w:uiPriority w:val="98"/>
    <w:semiHidden/>
    <w:rsid w:val="00F25EFC"/>
    <w:rPr>
      <w:rFonts w:ascii="Tahoma" w:hAnsi="Tahoma" w:cs="Tahoma"/>
      <w:sz w:val="16"/>
      <w:szCs w:val="16"/>
      <w:lang w:val="fr-FR"/>
    </w:rPr>
  </w:style>
  <w:style w:type="paragraph" w:styleId="E-mailSignature">
    <w:name w:val="E-mail Signature"/>
    <w:basedOn w:val="Normal"/>
    <w:link w:val="E-mailSignatureChar"/>
    <w:uiPriority w:val="98"/>
    <w:semiHidden/>
    <w:rsid w:val="00F25EFC"/>
  </w:style>
  <w:style w:type="character" w:customStyle="1" w:styleId="E-mailSignatureChar">
    <w:name w:val="E-mail Signature Char"/>
    <w:basedOn w:val="DefaultParagraphFont"/>
    <w:link w:val="E-mailSignature"/>
    <w:uiPriority w:val="98"/>
    <w:semiHidden/>
    <w:rsid w:val="00F25EFC"/>
    <w:rPr>
      <w:sz w:val="24"/>
      <w:szCs w:val="24"/>
      <w:lang w:val="fr-FR"/>
    </w:rPr>
  </w:style>
  <w:style w:type="character" w:styleId="EndnoteReference">
    <w:name w:val="endnote reference"/>
    <w:basedOn w:val="DefaultParagraphFont"/>
    <w:uiPriority w:val="98"/>
    <w:semiHidden/>
    <w:rsid w:val="00F25EFC"/>
    <w:rPr>
      <w:vertAlign w:val="superscript"/>
    </w:rPr>
  </w:style>
  <w:style w:type="paragraph" w:styleId="EndnoteText">
    <w:name w:val="endnote text"/>
    <w:basedOn w:val="Normal"/>
    <w:link w:val="EndnoteTextChar"/>
    <w:uiPriority w:val="98"/>
    <w:semiHidden/>
    <w:rsid w:val="00F25EFC"/>
    <w:rPr>
      <w:sz w:val="20"/>
      <w:szCs w:val="20"/>
    </w:rPr>
  </w:style>
  <w:style w:type="character" w:customStyle="1" w:styleId="EndnoteTextChar">
    <w:name w:val="Endnote Text Char"/>
    <w:basedOn w:val="DefaultParagraphFont"/>
    <w:link w:val="EndnoteText"/>
    <w:uiPriority w:val="98"/>
    <w:semiHidden/>
    <w:rsid w:val="00F25EFC"/>
    <w:rPr>
      <w:sz w:val="20"/>
      <w:szCs w:val="20"/>
      <w:lang w:val="fr-FR"/>
    </w:rPr>
  </w:style>
  <w:style w:type="paragraph" w:styleId="EnvelopeAddress">
    <w:name w:val="envelope address"/>
    <w:basedOn w:val="Normal"/>
    <w:uiPriority w:val="98"/>
    <w:semiHidden/>
    <w:rsid w:val="00F25EFC"/>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F25EFC"/>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F25EFC"/>
    <w:rPr>
      <w:color w:val="7030A0" w:themeColor="followedHyperlink"/>
      <w:u w:val="single"/>
    </w:rPr>
  </w:style>
  <w:style w:type="character" w:styleId="HTMLAcronym">
    <w:name w:val="HTML Acronym"/>
    <w:basedOn w:val="DefaultParagraphFont"/>
    <w:uiPriority w:val="98"/>
    <w:semiHidden/>
    <w:rsid w:val="00F25EFC"/>
  </w:style>
  <w:style w:type="paragraph" w:styleId="HTMLAddress">
    <w:name w:val="HTML Address"/>
    <w:basedOn w:val="Normal"/>
    <w:link w:val="HTMLAddressChar"/>
    <w:uiPriority w:val="98"/>
    <w:semiHidden/>
    <w:rsid w:val="00F25EFC"/>
    <w:rPr>
      <w:i/>
      <w:iCs/>
    </w:rPr>
  </w:style>
  <w:style w:type="character" w:customStyle="1" w:styleId="HTMLAddressChar">
    <w:name w:val="HTML Address Char"/>
    <w:basedOn w:val="DefaultParagraphFont"/>
    <w:link w:val="HTMLAddress"/>
    <w:uiPriority w:val="98"/>
    <w:semiHidden/>
    <w:rsid w:val="00F25EFC"/>
    <w:rPr>
      <w:i/>
      <w:iCs/>
      <w:sz w:val="24"/>
      <w:szCs w:val="24"/>
      <w:lang w:val="fr-FR"/>
    </w:rPr>
  </w:style>
  <w:style w:type="character" w:styleId="HTMLCite">
    <w:name w:val="HTML Cite"/>
    <w:basedOn w:val="DefaultParagraphFont"/>
    <w:uiPriority w:val="98"/>
    <w:semiHidden/>
    <w:rsid w:val="00F25EFC"/>
    <w:rPr>
      <w:i/>
      <w:iCs/>
    </w:rPr>
  </w:style>
  <w:style w:type="character" w:styleId="HTMLCode">
    <w:name w:val="HTML Code"/>
    <w:basedOn w:val="DefaultParagraphFont"/>
    <w:uiPriority w:val="98"/>
    <w:semiHidden/>
    <w:rsid w:val="00F25EFC"/>
    <w:rPr>
      <w:rFonts w:ascii="Consolas" w:hAnsi="Consolas" w:cs="Consolas"/>
      <w:sz w:val="20"/>
      <w:szCs w:val="20"/>
    </w:rPr>
  </w:style>
  <w:style w:type="character" w:styleId="HTMLDefinition">
    <w:name w:val="HTML Definition"/>
    <w:basedOn w:val="DefaultParagraphFont"/>
    <w:uiPriority w:val="98"/>
    <w:semiHidden/>
    <w:rsid w:val="00F25EFC"/>
    <w:rPr>
      <w:i/>
      <w:iCs/>
    </w:rPr>
  </w:style>
  <w:style w:type="character" w:styleId="HTMLKeyboard">
    <w:name w:val="HTML Keyboard"/>
    <w:basedOn w:val="DefaultParagraphFont"/>
    <w:uiPriority w:val="98"/>
    <w:semiHidden/>
    <w:rsid w:val="00F25EFC"/>
    <w:rPr>
      <w:rFonts w:ascii="Consolas" w:hAnsi="Consolas" w:cs="Consolas"/>
      <w:sz w:val="20"/>
      <w:szCs w:val="20"/>
    </w:rPr>
  </w:style>
  <w:style w:type="paragraph" w:styleId="HTMLPreformatted">
    <w:name w:val="HTML Preformatted"/>
    <w:basedOn w:val="Normal"/>
    <w:link w:val="HTMLPreformattedChar"/>
    <w:uiPriority w:val="98"/>
    <w:semiHidden/>
    <w:rsid w:val="00F25EFC"/>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F25EFC"/>
    <w:rPr>
      <w:rFonts w:ascii="Consolas" w:hAnsi="Consolas" w:cs="Consolas"/>
      <w:sz w:val="20"/>
      <w:szCs w:val="20"/>
      <w:lang w:val="fr-FR"/>
    </w:rPr>
  </w:style>
  <w:style w:type="character" w:styleId="HTMLSample">
    <w:name w:val="HTML Sample"/>
    <w:basedOn w:val="DefaultParagraphFont"/>
    <w:uiPriority w:val="98"/>
    <w:semiHidden/>
    <w:rsid w:val="00F25EFC"/>
    <w:rPr>
      <w:rFonts w:ascii="Consolas" w:hAnsi="Consolas" w:cs="Consolas"/>
      <w:sz w:val="24"/>
      <w:szCs w:val="24"/>
    </w:rPr>
  </w:style>
  <w:style w:type="character" w:styleId="HTMLTypewriter">
    <w:name w:val="HTML Typewriter"/>
    <w:basedOn w:val="DefaultParagraphFont"/>
    <w:uiPriority w:val="98"/>
    <w:semiHidden/>
    <w:rsid w:val="00F25EFC"/>
    <w:rPr>
      <w:rFonts w:ascii="Consolas" w:hAnsi="Consolas" w:cs="Consolas"/>
      <w:sz w:val="20"/>
      <w:szCs w:val="20"/>
    </w:rPr>
  </w:style>
  <w:style w:type="character" w:styleId="HTMLVariable">
    <w:name w:val="HTML Variable"/>
    <w:basedOn w:val="DefaultParagraphFont"/>
    <w:uiPriority w:val="98"/>
    <w:semiHidden/>
    <w:rsid w:val="00F25EFC"/>
    <w:rPr>
      <w:i/>
      <w:iCs/>
    </w:rPr>
  </w:style>
  <w:style w:type="paragraph" w:styleId="Index1">
    <w:name w:val="index 1"/>
    <w:basedOn w:val="Normal"/>
    <w:next w:val="Normal"/>
    <w:autoRedefine/>
    <w:uiPriority w:val="98"/>
    <w:semiHidden/>
    <w:rsid w:val="00F25EFC"/>
    <w:pPr>
      <w:ind w:left="240" w:hanging="240"/>
    </w:pPr>
  </w:style>
  <w:style w:type="paragraph" w:styleId="Index2">
    <w:name w:val="index 2"/>
    <w:basedOn w:val="Normal"/>
    <w:next w:val="Normal"/>
    <w:autoRedefine/>
    <w:uiPriority w:val="98"/>
    <w:semiHidden/>
    <w:rsid w:val="00F25EFC"/>
    <w:pPr>
      <w:ind w:left="480" w:hanging="240"/>
    </w:pPr>
  </w:style>
  <w:style w:type="paragraph" w:styleId="Index3">
    <w:name w:val="index 3"/>
    <w:basedOn w:val="Normal"/>
    <w:next w:val="Normal"/>
    <w:autoRedefine/>
    <w:uiPriority w:val="98"/>
    <w:semiHidden/>
    <w:rsid w:val="00F25EFC"/>
    <w:pPr>
      <w:ind w:left="720" w:hanging="240"/>
    </w:pPr>
  </w:style>
  <w:style w:type="paragraph" w:styleId="Index4">
    <w:name w:val="index 4"/>
    <w:basedOn w:val="Normal"/>
    <w:next w:val="Normal"/>
    <w:autoRedefine/>
    <w:uiPriority w:val="98"/>
    <w:semiHidden/>
    <w:rsid w:val="00F25EFC"/>
    <w:pPr>
      <w:ind w:left="960" w:hanging="240"/>
    </w:pPr>
  </w:style>
  <w:style w:type="paragraph" w:styleId="Index5">
    <w:name w:val="index 5"/>
    <w:basedOn w:val="Normal"/>
    <w:next w:val="Normal"/>
    <w:autoRedefine/>
    <w:uiPriority w:val="98"/>
    <w:semiHidden/>
    <w:rsid w:val="00F25EFC"/>
    <w:pPr>
      <w:ind w:left="1200" w:hanging="240"/>
    </w:pPr>
  </w:style>
  <w:style w:type="paragraph" w:styleId="Index6">
    <w:name w:val="index 6"/>
    <w:basedOn w:val="Normal"/>
    <w:next w:val="Normal"/>
    <w:autoRedefine/>
    <w:uiPriority w:val="98"/>
    <w:semiHidden/>
    <w:rsid w:val="00F25EFC"/>
    <w:pPr>
      <w:ind w:left="1440" w:hanging="240"/>
    </w:pPr>
  </w:style>
  <w:style w:type="paragraph" w:styleId="Index7">
    <w:name w:val="index 7"/>
    <w:basedOn w:val="Normal"/>
    <w:next w:val="Normal"/>
    <w:autoRedefine/>
    <w:uiPriority w:val="98"/>
    <w:semiHidden/>
    <w:rsid w:val="00F25EFC"/>
    <w:pPr>
      <w:ind w:left="1680" w:hanging="240"/>
    </w:pPr>
  </w:style>
  <w:style w:type="paragraph" w:styleId="Index8">
    <w:name w:val="index 8"/>
    <w:basedOn w:val="Normal"/>
    <w:next w:val="Normal"/>
    <w:autoRedefine/>
    <w:uiPriority w:val="98"/>
    <w:semiHidden/>
    <w:rsid w:val="00F25EFC"/>
    <w:pPr>
      <w:ind w:left="1920" w:hanging="240"/>
    </w:pPr>
  </w:style>
  <w:style w:type="paragraph" w:styleId="Index9">
    <w:name w:val="index 9"/>
    <w:basedOn w:val="Normal"/>
    <w:next w:val="Normal"/>
    <w:autoRedefine/>
    <w:uiPriority w:val="98"/>
    <w:semiHidden/>
    <w:rsid w:val="00F25EFC"/>
    <w:pPr>
      <w:ind w:left="2160" w:hanging="240"/>
    </w:pPr>
  </w:style>
  <w:style w:type="paragraph" w:styleId="IndexHeading">
    <w:name w:val="index heading"/>
    <w:basedOn w:val="Normal"/>
    <w:next w:val="Index1"/>
    <w:uiPriority w:val="98"/>
    <w:semiHidden/>
    <w:rsid w:val="00F25EFC"/>
    <w:rPr>
      <w:rFonts w:asciiTheme="majorHAnsi" w:eastAsiaTheme="majorEastAsia" w:hAnsiTheme="majorHAnsi" w:cstheme="majorBidi"/>
      <w:b/>
      <w:bCs/>
    </w:rPr>
  </w:style>
  <w:style w:type="table" w:styleId="LightGrid">
    <w:name w:val="Light Grid"/>
    <w:basedOn w:val="TableNormal"/>
    <w:uiPriority w:val="62"/>
    <w:semiHidden/>
    <w:rsid w:val="00F25EFC"/>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F25EFC"/>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F25EFC"/>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F25EFC"/>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F25EFC"/>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F25EFC"/>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F25EFC"/>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F25EFC"/>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F25EFC"/>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F25EFC"/>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F25EFC"/>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F25EFC"/>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F25EFC"/>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F25EFC"/>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F25EFC"/>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F25EFC"/>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F25EFC"/>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F25EFC"/>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F25EFC"/>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F25EFC"/>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F25EFC"/>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F25EFC"/>
  </w:style>
  <w:style w:type="paragraph" w:styleId="List">
    <w:name w:val="List"/>
    <w:basedOn w:val="Normal"/>
    <w:uiPriority w:val="98"/>
    <w:semiHidden/>
    <w:rsid w:val="00F25EFC"/>
    <w:pPr>
      <w:ind w:left="283" w:hanging="283"/>
      <w:contextualSpacing/>
    </w:pPr>
  </w:style>
  <w:style w:type="paragraph" w:styleId="List2">
    <w:name w:val="List 2"/>
    <w:basedOn w:val="Normal"/>
    <w:uiPriority w:val="98"/>
    <w:semiHidden/>
    <w:rsid w:val="00F25EFC"/>
    <w:pPr>
      <w:ind w:left="566" w:hanging="283"/>
      <w:contextualSpacing/>
    </w:pPr>
  </w:style>
  <w:style w:type="paragraph" w:styleId="List3">
    <w:name w:val="List 3"/>
    <w:basedOn w:val="Normal"/>
    <w:uiPriority w:val="98"/>
    <w:semiHidden/>
    <w:rsid w:val="00F25EFC"/>
    <w:pPr>
      <w:ind w:left="849" w:hanging="283"/>
      <w:contextualSpacing/>
    </w:pPr>
  </w:style>
  <w:style w:type="paragraph" w:styleId="List4">
    <w:name w:val="List 4"/>
    <w:basedOn w:val="Normal"/>
    <w:uiPriority w:val="98"/>
    <w:semiHidden/>
    <w:rsid w:val="00F25EFC"/>
    <w:pPr>
      <w:ind w:left="1132" w:hanging="283"/>
      <w:contextualSpacing/>
    </w:pPr>
  </w:style>
  <w:style w:type="paragraph" w:styleId="List5">
    <w:name w:val="List 5"/>
    <w:basedOn w:val="Normal"/>
    <w:uiPriority w:val="98"/>
    <w:semiHidden/>
    <w:rsid w:val="00F25EFC"/>
    <w:pPr>
      <w:ind w:left="1415" w:hanging="283"/>
      <w:contextualSpacing/>
    </w:pPr>
  </w:style>
  <w:style w:type="paragraph" w:styleId="ListBullet">
    <w:name w:val="List Bullet"/>
    <w:basedOn w:val="Normal"/>
    <w:uiPriority w:val="98"/>
    <w:semiHidden/>
    <w:rsid w:val="00F25EFC"/>
    <w:pPr>
      <w:numPr>
        <w:numId w:val="8"/>
      </w:numPr>
    </w:pPr>
  </w:style>
  <w:style w:type="paragraph" w:styleId="ListBullet3">
    <w:name w:val="List Bullet 3"/>
    <w:basedOn w:val="Normal"/>
    <w:uiPriority w:val="98"/>
    <w:semiHidden/>
    <w:rsid w:val="00F25EFC"/>
    <w:pPr>
      <w:numPr>
        <w:numId w:val="10"/>
      </w:numPr>
      <w:contextualSpacing/>
    </w:pPr>
  </w:style>
  <w:style w:type="paragraph" w:styleId="ListBullet4">
    <w:name w:val="List Bullet 4"/>
    <w:basedOn w:val="Normal"/>
    <w:uiPriority w:val="98"/>
    <w:semiHidden/>
    <w:rsid w:val="00F25EFC"/>
    <w:pPr>
      <w:numPr>
        <w:numId w:val="11"/>
      </w:numPr>
      <w:contextualSpacing/>
    </w:pPr>
  </w:style>
  <w:style w:type="paragraph" w:styleId="ListBullet5">
    <w:name w:val="List Bullet 5"/>
    <w:basedOn w:val="Normal"/>
    <w:uiPriority w:val="98"/>
    <w:semiHidden/>
    <w:rsid w:val="00F25EFC"/>
    <w:pPr>
      <w:numPr>
        <w:numId w:val="12"/>
      </w:numPr>
      <w:contextualSpacing/>
    </w:pPr>
  </w:style>
  <w:style w:type="paragraph" w:styleId="ListContinue">
    <w:name w:val="List Continue"/>
    <w:basedOn w:val="Normal"/>
    <w:uiPriority w:val="98"/>
    <w:semiHidden/>
    <w:rsid w:val="00F25EFC"/>
    <w:pPr>
      <w:spacing w:after="120"/>
      <w:ind w:left="283"/>
      <w:contextualSpacing/>
    </w:pPr>
  </w:style>
  <w:style w:type="paragraph" w:styleId="ListContinue2">
    <w:name w:val="List Continue 2"/>
    <w:basedOn w:val="Normal"/>
    <w:uiPriority w:val="98"/>
    <w:semiHidden/>
    <w:rsid w:val="00F25EFC"/>
    <w:pPr>
      <w:spacing w:after="120"/>
      <w:ind w:left="566"/>
      <w:contextualSpacing/>
    </w:pPr>
  </w:style>
  <w:style w:type="paragraph" w:styleId="ListContinue3">
    <w:name w:val="List Continue 3"/>
    <w:basedOn w:val="Normal"/>
    <w:uiPriority w:val="98"/>
    <w:semiHidden/>
    <w:rsid w:val="00F25EFC"/>
    <w:pPr>
      <w:spacing w:after="120"/>
      <w:ind w:left="849"/>
      <w:contextualSpacing/>
    </w:pPr>
  </w:style>
  <w:style w:type="paragraph" w:styleId="ListContinue4">
    <w:name w:val="List Continue 4"/>
    <w:basedOn w:val="Normal"/>
    <w:uiPriority w:val="98"/>
    <w:semiHidden/>
    <w:rsid w:val="00F25EFC"/>
    <w:pPr>
      <w:spacing w:after="120"/>
      <w:ind w:left="1132"/>
      <w:contextualSpacing/>
    </w:pPr>
  </w:style>
  <w:style w:type="paragraph" w:styleId="ListContinue5">
    <w:name w:val="List Continue 5"/>
    <w:basedOn w:val="Normal"/>
    <w:uiPriority w:val="98"/>
    <w:semiHidden/>
    <w:rsid w:val="00F25EFC"/>
    <w:pPr>
      <w:spacing w:after="120"/>
      <w:ind w:left="1415"/>
      <w:contextualSpacing/>
    </w:pPr>
  </w:style>
  <w:style w:type="paragraph" w:styleId="ListNumber">
    <w:name w:val="List Number"/>
    <w:basedOn w:val="Normal"/>
    <w:uiPriority w:val="98"/>
    <w:semiHidden/>
    <w:rsid w:val="00F25EFC"/>
    <w:pPr>
      <w:numPr>
        <w:numId w:val="13"/>
      </w:numPr>
      <w:contextualSpacing/>
    </w:pPr>
  </w:style>
  <w:style w:type="paragraph" w:styleId="ListNumber2">
    <w:name w:val="List Number 2"/>
    <w:basedOn w:val="Normal"/>
    <w:uiPriority w:val="98"/>
    <w:semiHidden/>
    <w:rsid w:val="00F25EFC"/>
    <w:pPr>
      <w:numPr>
        <w:numId w:val="14"/>
      </w:numPr>
      <w:contextualSpacing/>
    </w:pPr>
  </w:style>
  <w:style w:type="paragraph" w:styleId="ListNumber3">
    <w:name w:val="List Number 3"/>
    <w:basedOn w:val="Normal"/>
    <w:uiPriority w:val="98"/>
    <w:semiHidden/>
    <w:rsid w:val="00F25EFC"/>
    <w:pPr>
      <w:numPr>
        <w:numId w:val="15"/>
      </w:numPr>
      <w:contextualSpacing/>
    </w:pPr>
  </w:style>
  <w:style w:type="paragraph" w:styleId="ListNumber4">
    <w:name w:val="List Number 4"/>
    <w:basedOn w:val="Normal"/>
    <w:uiPriority w:val="98"/>
    <w:semiHidden/>
    <w:rsid w:val="00F25EFC"/>
    <w:pPr>
      <w:numPr>
        <w:numId w:val="16"/>
      </w:numPr>
      <w:contextualSpacing/>
    </w:pPr>
  </w:style>
  <w:style w:type="paragraph" w:styleId="ListNumber5">
    <w:name w:val="List Number 5"/>
    <w:basedOn w:val="Normal"/>
    <w:uiPriority w:val="98"/>
    <w:semiHidden/>
    <w:rsid w:val="00F25EFC"/>
    <w:pPr>
      <w:numPr>
        <w:numId w:val="17"/>
      </w:numPr>
      <w:contextualSpacing/>
    </w:pPr>
  </w:style>
  <w:style w:type="paragraph" w:styleId="MacroText">
    <w:name w:val="macro"/>
    <w:link w:val="MacroTextChar"/>
    <w:uiPriority w:val="98"/>
    <w:semiHidden/>
    <w:rsid w:val="00F25EF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F25EFC"/>
    <w:rPr>
      <w:rFonts w:ascii="Consolas" w:eastAsiaTheme="minorEastAsia" w:hAnsi="Consolas" w:cs="Consolas"/>
      <w:sz w:val="20"/>
      <w:szCs w:val="20"/>
    </w:rPr>
  </w:style>
  <w:style w:type="table" w:styleId="MediumGrid1">
    <w:name w:val="Medium Grid 1"/>
    <w:basedOn w:val="TableNormal"/>
    <w:uiPriority w:val="67"/>
    <w:semiHidden/>
    <w:rsid w:val="00F25EFC"/>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F25EFC"/>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F25EFC"/>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F25EFC"/>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F25EFC"/>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F25EFC"/>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F25EFC"/>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F25EFC"/>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F25EFC"/>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F25EFC"/>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F25EF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F25EFC"/>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F25EF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F25EFC"/>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F25EF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F25EF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F25EF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F25EF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F25EF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F25EF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F25EF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F25EFC"/>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F25EFC"/>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F25EFC"/>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F25EFC"/>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F25EFC"/>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F25EFC"/>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F25EFC"/>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F25EFC"/>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F25EFC"/>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F25EFC"/>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F25EF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F25EFC"/>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F25EF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F25EFC"/>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F25EFC"/>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F25EFC"/>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F25EFC"/>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F25EFC"/>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F25EFC"/>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F25EFC"/>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F25EFC"/>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F25EF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F25EF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F25EF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F25EF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F25EF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F25EF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F25EF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F25EF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F25EFC"/>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8"/>
    <w:semiHidden/>
    <w:rsid w:val="00F25EFC"/>
    <w:rPr>
      <w:rFonts w:ascii="Times New Roman" w:hAnsi="Times New Roman" w:cs="Times New Roman"/>
    </w:rPr>
  </w:style>
  <w:style w:type="paragraph" w:styleId="NormalIndent">
    <w:name w:val="Normal Indent"/>
    <w:basedOn w:val="Normal"/>
    <w:uiPriority w:val="98"/>
    <w:semiHidden/>
    <w:rsid w:val="00F25EFC"/>
    <w:pPr>
      <w:ind w:left="720"/>
    </w:pPr>
  </w:style>
  <w:style w:type="paragraph" w:styleId="NoteHeading">
    <w:name w:val="Note Heading"/>
    <w:basedOn w:val="Normal"/>
    <w:next w:val="Normal"/>
    <w:link w:val="NoteHeadingChar"/>
    <w:uiPriority w:val="98"/>
    <w:semiHidden/>
    <w:rsid w:val="00F25EFC"/>
  </w:style>
  <w:style w:type="character" w:customStyle="1" w:styleId="NoteHeadingChar">
    <w:name w:val="Note Heading Char"/>
    <w:basedOn w:val="DefaultParagraphFont"/>
    <w:link w:val="NoteHeading"/>
    <w:uiPriority w:val="98"/>
    <w:semiHidden/>
    <w:rsid w:val="00F25EFC"/>
    <w:rPr>
      <w:sz w:val="24"/>
      <w:szCs w:val="24"/>
      <w:lang w:val="fr-FR"/>
    </w:rPr>
  </w:style>
  <w:style w:type="character" w:styleId="PlaceholderText">
    <w:name w:val="Placeholder Text"/>
    <w:basedOn w:val="DefaultParagraphFont"/>
    <w:uiPriority w:val="98"/>
    <w:semiHidden/>
    <w:rsid w:val="00F25EFC"/>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F25EFC"/>
    <w:rPr>
      <w:rFonts w:ascii="Consolas" w:hAnsi="Consolas" w:cs="Consolas"/>
      <w:sz w:val="21"/>
      <w:szCs w:val="21"/>
    </w:rPr>
  </w:style>
  <w:style w:type="character" w:customStyle="1" w:styleId="PlainTextChar">
    <w:name w:val="Plain Text Char"/>
    <w:basedOn w:val="DefaultParagraphFont"/>
    <w:link w:val="PlainText"/>
    <w:uiPriority w:val="98"/>
    <w:semiHidden/>
    <w:rsid w:val="00F25EFC"/>
    <w:rPr>
      <w:rFonts w:ascii="Consolas" w:hAnsi="Consolas" w:cs="Consolas"/>
      <w:sz w:val="21"/>
      <w:szCs w:val="21"/>
      <w:lang w:val="fr-FR"/>
    </w:rPr>
  </w:style>
  <w:style w:type="paragraph" w:styleId="Salutation">
    <w:name w:val="Salutation"/>
    <w:basedOn w:val="Normal"/>
    <w:next w:val="Normal"/>
    <w:link w:val="SalutationChar"/>
    <w:uiPriority w:val="98"/>
    <w:semiHidden/>
    <w:rsid w:val="00F25EFC"/>
  </w:style>
  <w:style w:type="character" w:customStyle="1" w:styleId="SalutationChar">
    <w:name w:val="Salutation Char"/>
    <w:basedOn w:val="DefaultParagraphFont"/>
    <w:link w:val="Salutation"/>
    <w:uiPriority w:val="98"/>
    <w:semiHidden/>
    <w:rsid w:val="00F25EFC"/>
    <w:rPr>
      <w:sz w:val="24"/>
      <w:szCs w:val="24"/>
      <w:lang w:val="fr-FR"/>
    </w:rPr>
  </w:style>
  <w:style w:type="paragraph" w:styleId="Signature">
    <w:name w:val="Signature"/>
    <w:basedOn w:val="Normal"/>
    <w:link w:val="SignatureChar"/>
    <w:uiPriority w:val="98"/>
    <w:semiHidden/>
    <w:rsid w:val="00F25EFC"/>
    <w:pPr>
      <w:ind w:left="4252"/>
    </w:pPr>
  </w:style>
  <w:style w:type="character" w:customStyle="1" w:styleId="SignatureChar">
    <w:name w:val="Signature Char"/>
    <w:basedOn w:val="DefaultParagraphFont"/>
    <w:link w:val="Signature"/>
    <w:uiPriority w:val="98"/>
    <w:semiHidden/>
    <w:rsid w:val="00F25EFC"/>
    <w:rPr>
      <w:sz w:val="24"/>
      <w:szCs w:val="24"/>
      <w:lang w:val="fr-FR"/>
    </w:rPr>
  </w:style>
  <w:style w:type="table" w:styleId="Table3Deffects1">
    <w:name w:val="Table 3D effects 1"/>
    <w:basedOn w:val="TableNormal"/>
    <w:uiPriority w:val="99"/>
    <w:semiHidden/>
    <w:unhideWhenUsed/>
    <w:rsid w:val="00F25EFC"/>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25EFC"/>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25EFC"/>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25EFC"/>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25EFC"/>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25EFC"/>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25EFC"/>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25EFC"/>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25EFC"/>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25EFC"/>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25EFC"/>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25EFC"/>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25EFC"/>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25EFC"/>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25EFC"/>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25EFC"/>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25EFC"/>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25EF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25EFC"/>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25EFC"/>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25EFC"/>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25EFC"/>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25EFC"/>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25EFC"/>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25EFC"/>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F25EFC"/>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25EFC"/>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25EFC"/>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25EFC"/>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25EF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25EFC"/>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25EFC"/>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25EFC"/>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F25EFC"/>
    <w:pPr>
      <w:ind w:left="240" w:hanging="240"/>
    </w:pPr>
  </w:style>
  <w:style w:type="paragraph" w:styleId="TableofFigures">
    <w:name w:val="table of figures"/>
    <w:basedOn w:val="Normal"/>
    <w:next w:val="Normal"/>
    <w:uiPriority w:val="98"/>
    <w:semiHidden/>
    <w:rsid w:val="00F25EFC"/>
  </w:style>
  <w:style w:type="table" w:styleId="TableProfessional">
    <w:name w:val="Table Professional"/>
    <w:basedOn w:val="TableNormal"/>
    <w:uiPriority w:val="99"/>
    <w:semiHidden/>
    <w:unhideWhenUsed/>
    <w:rsid w:val="00F25EF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25EFC"/>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25EFC"/>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25EFC"/>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25EFC"/>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25EFC"/>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25EFC"/>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25EFC"/>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25EFC"/>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25EFC"/>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F25EFC"/>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F25EFC"/>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F25EFC"/>
    <w:pPr>
      <w:spacing w:after="100"/>
      <w:ind w:left="1680"/>
    </w:pPr>
  </w:style>
  <w:style w:type="paragraph" w:styleId="TOC9">
    <w:name w:val="toc 9"/>
    <w:basedOn w:val="Normal"/>
    <w:next w:val="Normal"/>
    <w:autoRedefine/>
    <w:uiPriority w:val="98"/>
    <w:semiHidden/>
    <w:rsid w:val="00F25EFC"/>
    <w:pPr>
      <w:spacing w:after="100"/>
      <w:ind w:left="1920"/>
    </w:pPr>
  </w:style>
  <w:style w:type="paragraph" w:customStyle="1" w:styleId="ECHRFooter">
    <w:name w:val="ECHR_Footer"/>
    <w:aliases w:val="Footer_ECHR"/>
    <w:basedOn w:val="Footer0"/>
    <w:uiPriority w:val="57"/>
    <w:semiHidden/>
    <w:rsid w:val="00893F30"/>
    <w:rPr>
      <w:sz w:val="8"/>
    </w:rPr>
  </w:style>
  <w:style w:type="paragraph" w:customStyle="1" w:styleId="ECHRFooterLine">
    <w:name w:val="ECHR_Footer_Line"/>
    <w:aliases w:val="_Footer_Line"/>
    <w:basedOn w:val="Normal"/>
    <w:next w:val="Normal"/>
    <w:uiPriority w:val="29"/>
    <w:semiHidden/>
    <w:rsid w:val="00F25EFC"/>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F25EFC"/>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F25EFC"/>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F25EFC"/>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F25EFC"/>
    <w:pPr>
      <w:numPr>
        <w:numId w:val="5"/>
      </w:numPr>
      <w:spacing w:before="60" w:after="60"/>
    </w:pPr>
  </w:style>
  <w:style w:type="paragraph" w:customStyle="1" w:styleId="ECHRBullet2">
    <w:name w:val="ECHR_Bullet_2"/>
    <w:aliases w:val="_Bul_2"/>
    <w:basedOn w:val="ECHRBullet1"/>
    <w:uiPriority w:val="23"/>
    <w:semiHidden/>
    <w:rsid w:val="00F25EFC"/>
    <w:pPr>
      <w:numPr>
        <w:ilvl w:val="1"/>
      </w:numPr>
    </w:pPr>
  </w:style>
  <w:style w:type="paragraph" w:customStyle="1" w:styleId="ECHRBullet3">
    <w:name w:val="ECHR_Bullet_3"/>
    <w:aliases w:val="_Bul_3"/>
    <w:basedOn w:val="ECHRBullet2"/>
    <w:uiPriority w:val="23"/>
    <w:semiHidden/>
    <w:rsid w:val="00F25EFC"/>
    <w:pPr>
      <w:numPr>
        <w:ilvl w:val="2"/>
      </w:numPr>
    </w:pPr>
  </w:style>
  <w:style w:type="paragraph" w:customStyle="1" w:styleId="ECHRBullet4">
    <w:name w:val="ECHR_Bullet_4"/>
    <w:aliases w:val="_Bul_4"/>
    <w:basedOn w:val="ECHRBullet3"/>
    <w:uiPriority w:val="23"/>
    <w:semiHidden/>
    <w:rsid w:val="00F25EFC"/>
    <w:pPr>
      <w:numPr>
        <w:ilvl w:val="3"/>
      </w:numPr>
    </w:pPr>
  </w:style>
  <w:style w:type="paragraph" w:customStyle="1" w:styleId="ECHRConfidential">
    <w:name w:val="ECHR_Confidential"/>
    <w:aliases w:val="_Confidential"/>
    <w:basedOn w:val="Normal"/>
    <w:next w:val="Normal"/>
    <w:uiPriority w:val="42"/>
    <w:semiHidden/>
    <w:qFormat/>
    <w:rsid w:val="00F25EFC"/>
    <w:pPr>
      <w:jc w:val="right"/>
    </w:pPr>
    <w:rPr>
      <w:color w:val="C00000"/>
      <w:sz w:val="20"/>
    </w:rPr>
  </w:style>
  <w:style w:type="paragraph" w:customStyle="1" w:styleId="ECHRDecisionBody">
    <w:name w:val="ECHR_Decision_Body"/>
    <w:aliases w:val="_Decision_Body"/>
    <w:basedOn w:val="NormalJustified"/>
    <w:uiPriority w:val="54"/>
    <w:semiHidden/>
    <w:rsid w:val="00F25EFC"/>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F25EFC"/>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F25EFC"/>
    <w:rPr>
      <w:rFonts w:ascii="Arial" w:hAnsi="Arial"/>
      <w:i/>
      <w:color w:val="002856"/>
      <w:sz w:val="32"/>
      <w:szCs w:val="24"/>
      <w:lang w:val="fr-FR"/>
    </w:rPr>
  </w:style>
  <w:style w:type="paragraph" w:customStyle="1" w:styleId="ECHRFooterLineLandscape">
    <w:name w:val="ECHR_Footer_Line_Landscape"/>
    <w:aliases w:val="_Footer_Line_Landscape"/>
    <w:basedOn w:val="Normal"/>
    <w:uiPriority w:val="29"/>
    <w:semiHidden/>
    <w:rsid w:val="00F25EFC"/>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F25EFC"/>
    <w:pPr>
      <w:jc w:val="right"/>
    </w:pPr>
    <w:rPr>
      <w:sz w:val="20"/>
    </w:rPr>
  </w:style>
  <w:style w:type="paragraph" w:customStyle="1" w:styleId="ECHRHeaderRefIt">
    <w:name w:val="ECHR_Header_Ref_It"/>
    <w:aliases w:val="_Ref_Ital"/>
    <w:basedOn w:val="Normal"/>
    <w:next w:val="ECHRHeaderDate"/>
    <w:uiPriority w:val="43"/>
    <w:qFormat/>
    <w:rsid w:val="00F25EFC"/>
    <w:pPr>
      <w:jc w:val="right"/>
    </w:pPr>
    <w:rPr>
      <w:i/>
      <w:sz w:val="20"/>
    </w:rPr>
  </w:style>
  <w:style w:type="paragraph" w:customStyle="1" w:styleId="ECHRHeading9">
    <w:name w:val="ECHR_Heading_9"/>
    <w:aliases w:val="_Head_9"/>
    <w:basedOn w:val="Heading9"/>
    <w:uiPriority w:val="17"/>
    <w:semiHidden/>
    <w:rsid w:val="00F25EFC"/>
    <w:pPr>
      <w:keepNext/>
      <w:keepLines/>
      <w:numPr>
        <w:ilvl w:val="8"/>
        <w:numId w:val="1"/>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F25EFC"/>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F25EFC"/>
    <w:pPr>
      <w:numPr>
        <w:numId w:val="7"/>
      </w:numPr>
      <w:spacing w:before="60" w:after="60"/>
    </w:pPr>
  </w:style>
  <w:style w:type="paragraph" w:customStyle="1" w:styleId="ECHRNumberedList2">
    <w:name w:val="ECHR_Numbered_List_2"/>
    <w:aliases w:val="_Num_2"/>
    <w:basedOn w:val="ECHRNumberedList1"/>
    <w:uiPriority w:val="23"/>
    <w:semiHidden/>
    <w:rsid w:val="00F25EFC"/>
    <w:pPr>
      <w:numPr>
        <w:ilvl w:val="1"/>
      </w:numPr>
    </w:pPr>
  </w:style>
  <w:style w:type="paragraph" w:customStyle="1" w:styleId="ECHRNumberedList3">
    <w:name w:val="ECHR_Numbered_List_3"/>
    <w:aliases w:val="_Num_3"/>
    <w:basedOn w:val="ECHRNumberedList2"/>
    <w:uiPriority w:val="23"/>
    <w:semiHidden/>
    <w:rsid w:val="00F25EFC"/>
    <w:pPr>
      <w:numPr>
        <w:ilvl w:val="2"/>
      </w:numPr>
    </w:pPr>
  </w:style>
  <w:style w:type="paragraph" w:customStyle="1" w:styleId="ECHRParaHanging">
    <w:name w:val="ECHR_Para_Hanging"/>
    <w:aliases w:val="_Hanging"/>
    <w:basedOn w:val="Normal"/>
    <w:uiPriority w:val="8"/>
    <w:semiHidden/>
    <w:qFormat/>
    <w:rsid w:val="00F25EFC"/>
    <w:pPr>
      <w:ind w:left="567" w:hanging="567"/>
      <w:jc w:val="both"/>
    </w:pPr>
  </w:style>
  <w:style w:type="paragraph" w:customStyle="1" w:styleId="ECHRParaIndent">
    <w:name w:val="ECHR_Para_Indent"/>
    <w:aliases w:val="_Indent"/>
    <w:basedOn w:val="Normal"/>
    <w:uiPriority w:val="7"/>
    <w:semiHidden/>
    <w:qFormat/>
    <w:rsid w:val="00F25EFC"/>
    <w:pPr>
      <w:spacing w:before="120" w:after="120"/>
      <w:ind w:left="567"/>
      <w:jc w:val="both"/>
    </w:pPr>
  </w:style>
  <w:style w:type="character" w:customStyle="1" w:styleId="ECHRRed">
    <w:name w:val="ECHR_Red"/>
    <w:aliases w:val="_Red"/>
    <w:basedOn w:val="DefaultParagraphFont"/>
    <w:uiPriority w:val="15"/>
    <w:semiHidden/>
    <w:qFormat/>
    <w:rsid w:val="00F25EFC"/>
    <w:rPr>
      <w:color w:val="C00000" w:themeColor="accent2"/>
    </w:rPr>
  </w:style>
  <w:style w:type="paragraph" w:customStyle="1" w:styleId="DecList">
    <w:name w:val="Dec_List"/>
    <w:aliases w:val="_List"/>
    <w:basedOn w:val="JuList"/>
    <w:uiPriority w:val="22"/>
    <w:rsid w:val="00F25EFC"/>
    <w:pPr>
      <w:numPr>
        <w:numId w:val="0"/>
      </w:numPr>
      <w:ind w:left="284"/>
    </w:pPr>
  </w:style>
  <w:style w:type="table" w:customStyle="1" w:styleId="ECHRTable2">
    <w:name w:val="ECHR_Table_2"/>
    <w:basedOn w:val="TableNormal"/>
    <w:uiPriority w:val="99"/>
    <w:rsid w:val="00F25EFC"/>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F25EFC"/>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F25EFC"/>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F25EFC"/>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F25EFC"/>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F25EFC"/>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F25EFC"/>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F25EFC"/>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F25EFC"/>
    <w:pPr>
      <w:outlineLvl w:val="0"/>
    </w:pPr>
  </w:style>
  <w:style w:type="paragraph" w:customStyle="1" w:styleId="ECHRTitleTOC1">
    <w:name w:val="ECHR_Title_TOC_1"/>
    <w:aliases w:val="_Title_L_TOC"/>
    <w:basedOn w:val="ECHRTitle1"/>
    <w:next w:val="Normal"/>
    <w:uiPriority w:val="27"/>
    <w:semiHidden/>
    <w:qFormat/>
    <w:rsid w:val="00F25EFC"/>
    <w:pPr>
      <w:outlineLvl w:val="0"/>
    </w:pPr>
  </w:style>
  <w:style w:type="paragraph" w:customStyle="1" w:styleId="ECHRPlaceholder">
    <w:name w:val="ECHR_Placeholder"/>
    <w:aliases w:val="_Placeholder"/>
    <w:basedOn w:val="JuSigned"/>
    <w:uiPriority w:val="31"/>
    <w:rsid w:val="00F25EFC"/>
    <w:rPr>
      <w:color w:val="FFFFFF"/>
    </w:rPr>
  </w:style>
  <w:style w:type="paragraph" w:customStyle="1" w:styleId="ECHRSpacer">
    <w:name w:val="ECHR_Spacer"/>
    <w:aliases w:val="_Spacer"/>
    <w:basedOn w:val="Normal"/>
    <w:uiPriority w:val="45"/>
    <w:semiHidden/>
    <w:rsid w:val="00F25EFC"/>
    <w:rPr>
      <w:sz w:val="4"/>
    </w:rPr>
  </w:style>
  <w:style w:type="table" w:customStyle="1" w:styleId="ECHRTableGrey">
    <w:name w:val="ECHR_Table_Grey"/>
    <w:basedOn w:val="TableNormal"/>
    <w:uiPriority w:val="99"/>
    <w:rsid w:val="00F25EFC"/>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2A531E"/>
    <w:rPr>
      <w:sz w:val="24"/>
      <w:szCs w:val="24"/>
      <w:lang w:val="fr-FR"/>
    </w:rPr>
  </w:style>
  <w:style w:type="character" w:customStyle="1" w:styleId="JuNames0">
    <w:name w:val="Ju_Names"/>
    <w:rsid w:val="002A531E"/>
    <w:rPr>
      <w:smallCaps/>
    </w:rPr>
  </w:style>
  <w:style w:type="paragraph" w:customStyle="1" w:styleId="JuList4">
    <w:name w:val="Ju_List_4"/>
    <w:aliases w:val="N_Bul_4"/>
    <w:basedOn w:val="JuListi"/>
    <w:uiPriority w:val="19"/>
    <w:rsid w:val="002A531E"/>
    <w:pPr>
      <w:numPr>
        <w:ilvl w:val="0"/>
        <w:numId w:val="0"/>
      </w:numPr>
      <w:tabs>
        <w:tab w:val="num" w:pos="1701"/>
      </w:tabs>
      <w:spacing w:before="60" w:after="60" w:line="240" w:lineRule="exact"/>
      <w:ind w:left="1703" w:hanging="284"/>
      <w:contextualSpacing/>
    </w:pPr>
    <w:rPr>
      <w:sz w:val="22"/>
      <w:lang w:eastAsia="fr-FR"/>
    </w:rPr>
  </w:style>
  <w:style w:type="table" w:styleId="GridTable1Light">
    <w:name w:val="Grid Table 1 Light"/>
    <w:basedOn w:val="TableNormal"/>
    <w:uiPriority w:val="46"/>
    <w:rsid w:val="002A531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531E"/>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531E"/>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531E"/>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character" w:customStyle="1" w:styleId="JuQuotChar">
    <w:name w:val="Ju_Quot Char"/>
    <w:basedOn w:val="DefaultParagraphFont"/>
    <w:link w:val="JuQuot"/>
    <w:uiPriority w:val="20"/>
    <w:rsid w:val="002A531E"/>
    <w:rPr>
      <w:sz w:val="20"/>
      <w:szCs w:val="24"/>
      <w:lang w:val="fr-FR"/>
    </w:rPr>
  </w:style>
  <w:style w:type="table" w:styleId="GridTable1Light-Accent4">
    <w:name w:val="Grid Table 1 Light Accent 4"/>
    <w:basedOn w:val="TableNormal"/>
    <w:uiPriority w:val="46"/>
    <w:rsid w:val="002A531E"/>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531E"/>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531E"/>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531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531E"/>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rsid w:val="002A531E"/>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rsid w:val="002A531E"/>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rsid w:val="002A531E"/>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rsid w:val="002A531E"/>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character" w:customStyle="1" w:styleId="UnresolvedMention">
    <w:name w:val="Unresolved Mention"/>
    <w:basedOn w:val="DefaultParagraphFont"/>
    <w:uiPriority w:val="99"/>
    <w:semiHidden/>
    <w:unhideWhenUsed/>
    <w:rsid w:val="002A531E"/>
    <w:rPr>
      <w:color w:val="605E5C"/>
      <w:shd w:val="clear" w:color="auto" w:fill="E1DFDD"/>
    </w:rPr>
  </w:style>
  <w:style w:type="paragraph" w:styleId="Revision">
    <w:name w:val="Revision"/>
    <w:hidden/>
    <w:uiPriority w:val="99"/>
    <w:semiHidden/>
    <w:rsid w:val="002A531E"/>
    <w:rPr>
      <w:sz w:val="24"/>
      <w:szCs w:val="24"/>
      <w:lang w:val="fr-FR"/>
    </w:rPr>
  </w:style>
  <w:style w:type="table" w:styleId="GridTable2-Accent6">
    <w:name w:val="Grid Table 2 Accent 6"/>
    <w:basedOn w:val="TableNormal"/>
    <w:uiPriority w:val="47"/>
    <w:rsid w:val="002A531E"/>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2A531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531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rsid w:val="002A531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rsid w:val="002A531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rsid w:val="002A531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rsid w:val="002A531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2A531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2A531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531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rsid w:val="002A531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rsid w:val="002A531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rsid w:val="002A531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rsid w:val="002A531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2A531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2A531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531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rsid w:val="002A531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rsid w:val="002A531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rsid w:val="002A531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rsid w:val="002A531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2A531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2A531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531E"/>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rsid w:val="002A531E"/>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rsid w:val="002A531E"/>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rsid w:val="002A531E"/>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rsid w:val="002A531E"/>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2A531E"/>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2A531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531E"/>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rsid w:val="002A531E"/>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rsid w:val="002A531E"/>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rsid w:val="002A531E"/>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rsid w:val="002A531E"/>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2A531E"/>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2A531E"/>
    <w:rPr>
      <w:color w:val="2B579A"/>
      <w:shd w:val="clear" w:color="auto" w:fill="E1DFDD"/>
    </w:rPr>
  </w:style>
  <w:style w:type="table" w:styleId="ListTable1Light">
    <w:name w:val="List Table 1 Light"/>
    <w:basedOn w:val="TableNormal"/>
    <w:uiPriority w:val="46"/>
    <w:rsid w:val="002A531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531E"/>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rsid w:val="002A531E"/>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rsid w:val="002A531E"/>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rsid w:val="002A531E"/>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rsid w:val="002A531E"/>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2A531E"/>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2A531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531E"/>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rsid w:val="002A531E"/>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rsid w:val="002A531E"/>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rsid w:val="002A531E"/>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rsid w:val="002A531E"/>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2A531E"/>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2A531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531E"/>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rsid w:val="002A531E"/>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rsid w:val="002A531E"/>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rsid w:val="002A531E"/>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rsid w:val="002A531E"/>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2A531E"/>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2A531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531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rsid w:val="002A531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rsid w:val="002A531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rsid w:val="002A531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rsid w:val="002A531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2A531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2A531E"/>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531E"/>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531E"/>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531E"/>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531E"/>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531E"/>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531E"/>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A531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A531E"/>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rsid w:val="002A531E"/>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rsid w:val="002A531E"/>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rsid w:val="002A531E"/>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rsid w:val="002A531E"/>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2A531E"/>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2A531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531E"/>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531E"/>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531E"/>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531E"/>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531E"/>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531E"/>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2A531E"/>
    <w:rPr>
      <w:color w:val="2B579A"/>
      <w:shd w:val="clear" w:color="auto" w:fill="E1DFDD"/>
    </w:rPr>
  </w:style>
  <w:style w:type="table" w:styleId="PlainTable1">
    <w:name w:val="Plain Table 1"/>
    <w:basedOn w:val="TableNormal"/>
    <w:uiPriority w:val="41"/>
    <w:rsid w:val="002A531E"/>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rsid w:val="002A531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531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531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rsid w:val="002A531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2A531E"/>
    <w:rPr>
      <w:u w:val="dotted"/>
    </w:rPr>
  </w:style>
  <w:style w:type="character" w:customStyle="1" w:styleId="SmartLink">
    <w:name w:val="Smart Link"/>
    <w:basedOn w:val="DefaultParagraphFont"/>
    <w:uiPriority w:val="99"/>
    <w:semiHidden/>
    <w:unhideWhenUsed/>
    <w:rsid w:val="002A531E"/>
    <w:rPr>
      <w:color w:val="0000FF"/>
      <w:u w:val="single"/>
      <w:shd w:val="clear" w:color="auto" w:fill="F3F2F1"/>
    </w:rPr>
  </w:style>
  <w:style w:type="table" w:styleId="TableGridLight">
    <w:name w:val="Grid Table Light"/>
    <w:basedOn w:val="TableNormal"/>
    <w:uiPriority w:val="40"/>
    <w:rsid w:val="002A531E"/>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hudoc.echr.coe.int/eng"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hudoc.echr.coe.int/e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udoc.echr.coe.int/eng" TargetMode="External"/><Relationship Id="rId20" Type="http://schemas.openxmlformats.org/officeDocument/2006/relationships/hyperlink" Target="https://hudoc.echr.coe.int/e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udoc.echr.coe.int/eng" TargetMode="External"/><Relationship Id="rId23" Type="http://schemas.openxmlformats.org/officeDocument/2006/relationships/footer" Target="footer4.xml"/><Relationship Id="rId28"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hyperlink" Target="https://hudoc.echr.coe.int/en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hudoc.echr.coe.int/eng" TargetMode="External"/><Relationship Id="rId22" Type="http://schemas.openxmlformats.org/officeDocument/2006/relationships/header" Target="header5.xml"/><Relationship Id="rId27"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ABA1C7-080A-4FC6-A887-B5159C3CD63C}">
  <ds:schemaRefs>
    <ds:schemaRef ds:uri="http://schemas.openxmlformats.org/officeDocument/2006/bibliography"/>
  </ds:schemaRefs>
</ds:datastoreItem>
</file>

<file path=customXml/itemProps2.xml><?xml version="1.0" encoding="utf-8"?>
<ds:datastoreItem xmlns:ds="http://schemas.openxmlformats.org/officeDocument/2006/customXml" ds:itemID="{30E016AD-1E57-4656-8A54-4706390CA593}"/>
</file>

<file path=customXml/itemProps3.xml><?xml version="1.0" encoding="utf-8"?>
<ds:datastoreItem xmlns:ds="http://schemas.openxmlformats.org/officeDocument/2006/customXml" ds:itemID="{E99030DC-5923-4191-9E63-18FE908EFCA5}"/>
</file>

<file path=customXml/itemProps4.xml><?xml version="1.0" encoding="utf-8"?>
<ds:datastoreItem xmlns:ds="http://schemas.openxmlformats.org/officeDocument/2006/customXml" ds:itemID="{DF44BB6E-FE6A-4007-8F78-C745775650FE}"/>
</file>

<file path=docProps/app.xml><?xml version="1.0" encoding="utf-8"?>
<Properties xmlns="http://schemas.openxmlformats.org/officeDocument/2006/extended-properties" xmlns:vt="http://schemas.openxmlformats.org/officeDocument/2006/docPropsVTypes">
  <Template>Normal.dotm</Template>
  <TotalTime>0</TotalTime>
  <Pages>1</Pages>
  <Words>8406</Words>
  <Characters>47919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56213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keywords/>
  <cp:lastModifiedBy/>
  <cp:revision>1</cp:revision>
  <dcterms:created xsi:type="dcterms:W3CDTF">2021-09-14T07:50:00Z</dcterms:created>
  <dcterms:modified xsi:type="dcterms:W3CDTF">2021-09-14T07:50:00Z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31417/19</vt:lpwstr>
  </property>
  <property fmtid="{D5CDD505-2E9C-101B-9397-08002B2CF9AE}" pid="4" name="CASEID">
    <vt:lpwstr>1459442</vt:lpwstr>
  </property>
  <property fmtid="{D5CDD505-2E9C-101B-9397-08002B2CF9AE}" pid="5" name="ContentTypeId">
    <vt:lpwstr>0x010100558EB02BDB9E204AB350EDD385B68E10</vt:lpwstr>
  </property>
</Properties>
</file>