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5402" w:rsidR="00001CC5" w:rsidP="00BD5402" w:rsidRDefault="00001CC5" w14:paraId="34C8C1BB" w14:textId="77777777">
      <w:pPr>
        <w:rPr>
          <w:rFonts w:ascii="Times New Roman" w:hAnsi="Times New Roman" w:cs="Times New Roman"/>
        </w:rPr>
      </w:pPr>
    </w:p>
    <w:p w:rsidRPr="00BD5402" w:rsidR="007A4070" w:rsidP="00BD5402" w:rsidRDefault="007A4070" w14:paraId="5B08EB5C" w14:textId="77777777"/>
    <w:p w:rsidRPr="00BD5402" w:rsidR="007A4070" w:rsidP="00BD5402" w:rsidRDefault="00001CC5" w14:paraId="003A16DF" w14:textId="4CC181E7">
      <w:pPr>
        <w:pStyle w:val="DecHCase"/>
      </w:pPr>
      <w:r w:rsidRPr="00BD5402">
        <w:t>TROISIÈME SECTION</w:t>
      </w:r>
    </w:p>
    <w:p w:rsidRPr="00BD5402" w:rsidR="007A4070" w:rsidP="00BD5402" w:rsidRDefault="007A4070" w14:paraId="4F8C1272" w14:textId="66FDFF7B">
      <w:pPr>
        <w:pStyle w:val="JuTitle"/>
      </w:pPr>
      <w:r w:rsidRPr="00BD5402">
        <w:t xml:space="preserve">AFFAIRE </w:t>
      </w:r>
      <w:r w:rsidRPr="00BD5402" w:rsidR="00001CC5">
        <w:t>SHEVELEV c. RUSSIE</w:t>
      </w:r>
    </w:p>
    <w:p w:rsidRPr="00BD5402" w:rsidR="007A4070" w:rsidP="00BD5402" w:rsidRDefault="007A4070" w14:paraId="3546D50F" w14:textId="05FD5E0A">
      <w:pPr>
        <w:pStyle w:val="ECHRCoverTitle4"/>
      </w:pPr>
      <w:r w:rsidRPr="00BD5402">
        <w:t>(</w:t>
      </w:r>
      <w:r w:rsidRPr="00BD5402" w:rsidR="00001CC5">
        <w:t>Requête n</w:t>
      </w:r>
      <w:r w:rsidRPr="00BD5402" w:rsidR="00001CC5">
        <w:rPr>
          <w:vertAlign w:val="superscript"/>
        </w:rPr>
        <w:t>o</w:t>
      </w:r>
      <w:r w:rsidRPr="00BD5402">
        <w:t xml:space="preserve"> </w:t>
      </w:r>
      <w:r w:rsidRPr="00BD5402" w:rsidR="00001CC5">
        <w:t>46173/15</w:t>
      </w:r>
      <w:r w:rsidRPr="00BD5402">
        <w:t>)</w:t>
      </w:r>
    </w:p>
    <w:p w:rsidRPr="00BD5402" w:rsidR="007A4070" w:rsidP="00BD5402" w:rsidRDefault="007A4070" w14:paraId="79685E09" w14:textId="77777777">
      <w:pPr>
        <w:pStyle w:val="DecHCase"/>
      </w:pPr>
    </w:p>
    <w:p w:rsidRPr="00BD5402" w:rsidR="007A4070" w:rsidP="00BD5402" w:rsidRDefault="007A4070" w14:paraId="33EC8B50" w14:textId="77777777">
      <w:pPr>
        <w:pStyle w:val="DecHCase"/>
      </w:pPr>
    </w:p>
    <w:p w:rsidRPr="00BD5402" w:rsidR="007A4070" w:rsidP="00BD5402" w:rsidRDefault="007A4070" w14:paraId="14A94246" w14:textId="77777777">
      <w:pPr>
        <w:pStyle w:val="DecHCase"/>
      </w:pPr>
    </w:p>
    <w:p w:rsidRPr="00BD5402" w:rsidR="007A4070" w:rsidP="00BD5402" w:rsidRDefault="007A4070" w14:paraId="3C603279" w14:textId="77777777">
      <w:pPr>
        <w:pStyle w:val="DecHCase"/>
      </w:pPr>
    </w:p>
    <w:p w:rsidRPr="00BD5402" w:rsidR="007A4070" w:rsidP="00BD5402" w:rsidRDefault="007A4070" w14:paraId="517D2AE4" w14:textId="77777777">
      <w:pPr>
        <w:pStyle w:val="DecHCase"/>
      </w:pPr>
    </w:p>
    <w:p w:rsidRPr="00BD5402" w:rsidR="007A4070" w:rsidP="00BD5402" w:rsidRDefault="007A4070" w14:paraId="49E34BFD" w14:textId="77777777">
      <w:pPr>
        <w:pStyle w:val="DecHCase"/>
      </w:pPr>
    </w:p>
    <w:p w:rsidRPr="00BD5402" w:rsidR="007A4070" w:rsidP="00BD5402" w:rsidRDefault="007A4070" w14:paraId="2FE6F69D" w14:textId="0F72C991">
      <w:pPr>
        <w:pStyle w:val="DecHCase"/>
      </w:pPr>
      <w:r w:rsidRPr="00BD5402">
        <w:t>ARRÊT</w:t>
      </w:r>
      <w:r w:rsidRPr="00BD5402">
        <w:br/>
      </w:r>
    </w:p>
    <w:p w:rsidRPr="00BD5402" w:rsidR="007A4070" w:rsidP="00BD5402" w:rsidRDefault="007A4070" w14:paraId="4A8FA65F" w14:textId="77777777">
      <w:pPr>
        <w:pStyle w:val="DecHCase"/>
      </w:pPr>
      <w:r w:rsidRPr="00BD5402">
        <w:t>STRASBOURG</w:t>
      </w:r>
    </w:p>
    <w:p w:rsidRPr="00BD5402" w:rsidR="007A4070" w:rsidP="00BD5402" w:rsidRDefault="00001CC5" w14:paraId="03EE7357" w14:textId="3A56EE19">
      <w:pPr>
        <w:pStyle w:val="DecHCase"/>
      </w:pPr>
      <w:r w:rsidRPr="00BD5402">
        <w:t>28 septembre 2021</w:t>
      </w:r>
    </w:p>
    <w:p w:rsidRPr="00BD5402" w:rsidR="007A4070" w:rsidP="00BD5402" w:rsidRDefault="007A4070" w14:paraId="6DCB8880" w14:textId="77777777">
      <w:pPr>
        <w:pStyle w:val="DecHCase"/>
      </w:pPr>
    </w:p>
    <w:p w:rsidRPr="00BD5402" w:rsidR="00516B59" w:rsidP="00BD5402" w:rsidRDefault="007A4070" w14:paraId="344083AC" w14:textId="3D805CA0">
      <w:pPr>
        <w:rPr>
          <w:rFonts w:ascii="Times New Roman" w:hAnsi="Times New Roman" w:cs="Times New Roman"/>
          <w:i/>
          <w:sz w:val="22"/>
        </w:rPr>
      </w:pPr>
      <w:r w:rsidRPr="00BD5402">
        <w:rPr>
          <w:i/>
          <w:sz w:val="22"/>
        </w:rPr>
        <w:t xml:space="preserve">Cet arrêt </w:t>
      </w:r>
      <w:r w:rsidRPr="00BD5402" w:rsidR="00001CC5">
        <w:rPr>
          <w:i/>
          <w:sz w:val="22"/>
        </w:rPr>
        <w:t>est définitif</w:t>
      </w:r>
      <w:r w:rsidRPr="00BD5402">
        <w:rPr>
          <w:i/>
          <w:sz w:val="22"/>
        </w:rPr>
        <w:t>. Il peut subir des retouches de fo</w:t>
      </w:r>
      <w:r w:rsidRPr="00BD5402" w:rsidR="00516B59">
        <w:rPr>
          <w:rFonts w:ascii="Times New Roman" w:hAnsi="Times New Roman" w:cs="Times New Roman"/>
          <w:i/>
          <w:sz w:val="22"/>
        </w:rPr>
        <w:t>rme.</w:t>
      </w:r>
    </w:p>
    <w:p w:rsidRPr="00BD5402" w:rsidR="00516B59" w:rsidP="00BD5402" w:rsidRDefault="00516B59" w14:paraId="2A0829FD" w14:textId="77777777">
      <w:pPr>
        <w:ind w:left="720"/>
        <w:rPr>
          <w:rFonts w:ascii="Times New Roman" w:hAnsi="Times New Roman" w:cs="Times New Roman"/>
          <w:sz w:val="22"/>
        </w:rPr>
        <w:sectPr w:rsidRPr="00BD5402"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D5402" w:rsidR="004344E6" w:rsidP="00BD5402" w:rsidRDefault="004344E6" w14:paraId="163F93D9" w14:textId="6CA0527C">
      <w:pPr>
        <w:pStyle w:val="JuCase"/>
      </w:pPr>
      <w:r w:rsidRPr="00BD5402">
        <w:t>En l</w:t>
      </w:r>
      <w:r w:rsidRPr="00BD5402" w:rsidR="00BD5402">
        <w:t>’</w:t>
      </w:r>
      <w:r w:rsidRPr="00BD5402">
        <w:t xml:space="preserve">affaire </w:t>
      </w:r>
      <w:r w:rsidRPr="00BD5402" w:rsidR="00001CC5">
        <w:t>Shevelev c. Russie</w:t>
      </w:r>
      <w:r w:rsidRPr="00BD5402">
        <w:t>,</w:t>
      </w:r>
    </w:p>
    <w:p w:rsidRPr="00BD5402" w:rsidR="004344E6" w:rsidP="00BD5402" w:rsidRDefault="004344E6" w14:paraId="2017A382" w14:textId="7A45E9ED">
      <w:pPr>
        <w:pStyle w:val="JuPara"/>
      </w:pPr>
      <w:r w:rsidRPr="00BD5402">
        <w:t>La Cour européenne des droits de l</w:t>
      </w:r>
      <w:r w:rsidRPr="00BD5402" w:rsidR="00BD5402">
        <w:t>’</w:t>
      </w:r>
      <w:r w:rsidRPr="00BD5402">
        <w:t>homme (</w:t>
      </w:r>
      <w:r w:rsidRPr="00BD5402" w:rsidR="00001CC5">
        <w:t>troisième section</w:t>
      </w:r>
      <w:r w:rsidRPr="00BD5402">
        <w:t xml:space="preserve">), siégeant en </w:t>
      </w:r>
      <w:r w:rsidRPr="00BD5402" w:rsidR="00001CC5">
        <w:rPr>
          <w:color w:val="000000"/>
        </w:rPr>
        <w:t xml:space="preserve">un </w:t>
      </w:r>
      <w:r w:rsidRPr="00BD5402" w:rsidR="00001CC5">
        <w:t>comité composé</w:t>
      </w:r>
      <w:r w:rsidRPr="00BD5402">
        <w:t xml:space="preserve"> de :</w:t>
      </w:r>
    </w:p>
    <w:p w:rsidRPr="00BD5402" w:rsidR="004344E6" w:rsidP="00BD5402" w:rsidRDefault="002756D0" w14:paraId="45E86421" w14:textId="0DD081FD">
      <w:pPr>
        <w:pStyle w:val="JuJudges"/>
      </w:pPr>
      <w:r w:rsidRPr="00BD5402">
        <w:tab/>
        <w:t>Darian Pavli,</w:t>
      </w:r>
      <w:r w:rsidRPr="00BD5402">
        <w:rPr>
          <w:i/>
        </w:rPr>
        <w:t xml:space="preserve"> président,</w:t>
      </w:r>
      <w:r w:rsidRPr="00BD5402">
        <w:rPr>
          <w:i/>
        </w:rPr>
        <w:br/>
      </w:r>
      <w:r w:rsidRPr="00BD5402">
        <w:tab/>
        <w:t>Dmitry Dedov,</w:t>
      </w:r>
      <w:r w:rsidRPr="00BD5402">
        <w:rPr>
          <w:i/>
        </w:rPr>
        <w:br/>
      </w:r>
      <w:r w:rsidRPr="00BD5402">
        <w:tab/>
        <w:t>Peeter Roosma,</w:t>
      </w:r>
      <w:r w:rsidRPr="00BD5402">
        <w:rPr>
          <w:i/>
        </w:rPr>
        <w:t xml:space="preserve"> juges,</w:t>
      </w:r>
      <w:r w:rsidRPr="00BD5402" w:rsidR="004344E6">
        <w:br/>
        <w:t xml:space="preserve">et de </w:t>
      </w:r>
      <w:r w:rsidRPr="00BD5402" w:rsidR="00001CC5">
        <w:t>Olga Chernishova</w:t>
      </w:r>
      <w:r w:rsidRPr="00BD5402" w:rsidR="004344E6">
        <w:t xml:space="preserve">, </w:t>
      </w:r>
      <w:r w:rsidRPr="00BD5402" w:rsidR="00001CC5">
        <w:rPr>
          <w:i/>
        </w:rPr>
        <w:t>greffière adjointe</w:t>
      </w:r>
      <w:r w:rsidRPr="00BD5402" w:rsidR="00001CC5">
        <w:rPr>
          <w:iCs/>
        </w:rPr>
        <w:t xml:space="preserve"> </w:t>
      </w:r>
      <w:r w:rsidRPr="00BD5402" w:rsidR="00001CC5">
        <w:rPr>
          <w:i/>
          <w:iCs/>
        </w:rPr>
        <w:t>d</w:t>
      </w:r>
      <w:r w:rsidRPr="00BD5402" w:rsidR="00001CC5">
        <w:rPr>
          <w:i/>
        </w:rPr>
        <w:t>e section</w:t>
      </w:r>
      <w:r w:rsidRPr="00BD5402" w:rsidR="004344E6">
        <w:t>,</w:t>
      </w:r>
    </w:p>
    <w:p w:rsidRPr="00BD5402" w:rsidR="00001CC5" w:rsidP="00BD5402" w:rsidRDefault="00001CC5" w14:paraId="25E79B80" w14:textId="3E8DFCE9">
      <w:pPr>
        <w:pStyle w:val="JuPara"/>
      </w:pPr>
      <w:r w:rsidRPr="00BD5402">
        <w:t>Vu la requête (n</w:t>
      </w:r>
      <w:r w:rsidRPr="00BD5402">
        <w:rPr>
          <w:vertAlign w:val="superscript"/>
        </w:rPr>
        <w:t>o</w:t>
      </w:r>
      <w:r w:rsidRPr="00BD5402">
        <w:t xml:space="preserve"> 46173/15) dirigée contre la Fédération de Russie et dont un ressortissant de cet État, M. Yevgeniy Nikolayevich Shevelev (« le requérant ») a </w:t>
      </w:r>
      <w:bookmarkStart w:name="_Hlk36124016" w:id="0"/>
      <w:r w:rsidRPr="00BD5402">
        <w:t>saisi la Cour en vertu de l</w:t>
      </w:r>
      <w:r w:rsidRPr="00BD5402" w:rsidR="00BD5402">
        <w:t>’</w:t>
      </w:r>
      <w:r w:rsidRPr="00BD5402">
        <w:t>article 34 de la Convention de sauvegarde des droits de l</w:t>
      </w:r>
      <w:r w:rsidRPr="00BD5402" w:rsidR="00BD5402">
        <w:t>’</w:t>
      </w:r>
      <w:r w:rsidRPr="00BD5402">
        <w:t>homme et des libertés fondamentales (« la Convention »)</w:t>
      </w:r>
      <w:bookmarkEnd w:id="0"/>
      <w:r w:rsidRPr="00BD5402">
        <w:t xml:space="preserve"> le </w:t>
      </w:r>
      <w:bookmarkStart w:name="_Hlk66873181" w:id="1"/>
      <w:r w:rsidRPr="00BD5402">
        <w:t>2 septembre 2015</w:t>
      </w:r>
      <w:bookmarkEnd w:id="1"/>
      <w:r w:rsidRPr="00BD5402">
        <w:t>,</w:t>
      </w:r>
    </w:p>
    <w:p w:rsidRPr="00BD5402" w:rsidR="00001CC5" w:rsidP="00BD5402" w:rsidRDefault="00001CC5" w14:paraId="414543DC" w14:textId="77777777">
      <w:pPr>
        <w:pStyle w:val="JuPara"/>
      </w:pPr>
      <w:r w:rsidRPr="00BD5402">
        <w:t>Vu la décision de porter la requête à la connaissance du gouvernement russe (« le Gouvernement »),</w:t>
      </w:r>
    </w:p>
    <w:p w:rsidRPr="00BD5402" w:rsidR="00001CC5" w:rsidP="00BD5402" w:rsidRDefault="00001CC5" w14:paraId="194917E8" w14:textId="77777777">
      <w:pPr>
        <w:pStyle w:val="JuPara"/>
      </w:pPr>
      <w:r w:rsidRPr="00BD5402">
        <w:t>Vu les observations des parties,</w:t>
      </w:r>
    </w:p>
    <w:p w:rsidRPr="00BD5402" w:rsidR="00001CC5" w:rsidP="00BD5402" w:rsidRDefault="00001CC5" w14:paraId="2426CF9D" w14:textId="3214E258">
      <w:pPr>
        <w:pStyle w:val="JuPara"/>
      </w:pPr>
      <w:r w:rsidRPr="00BD5402">
        <w:t>Vu la décision par laquelle la Cour a rejeté l</w:t>
      </w:r>
      <w:r w:rsidRPr="00BD5402" w:rsidR="00BD5402">
        <w:t>’</w:t>
      </w:r>
      <w:r w:rsidRPr="00BD5402">
        <w:t>opposition du Gouvernement à l</w:t>
      </w:r>
      <w:r w:rsidRPr="00BD5402" w:rsidR="00BD5402">
        <w:t>’</w:t>
      </w:r>
      <w:r w:rsidRPr="00BD5402">
        <w:t>examen de la requête par un comité,</w:t>
      </w:r>
    </w:p>
    <w:p w:rsidRPr="00BD5402" w:rsidR="004344E6" w:rsidP="00BD5402" w:rsidRDefault="004344E6" w14:paraId="7FF77394" w14:textId="114982CA">
      <w:pPr>
        <w:pStyle w:val="JuPara"/>
      </w:pPr>
      <w:r w:rsidRPr="00BD5402">
        <w:t xml:space="preserve">Après en avoir délibéré en chambre du conseil le </w:t>
      </w:r>
      <w:r w:rsidRPr="00BD5402" w:rsidR="00001CC5">
        <w:t>7 septembre 2021</w:t>
      </w:r>
      <w:r w:rsidRPr="00BD5402">
        <w:t>,</w:t>
      </w:r>
    </w:p>
    <w:p w:rsidRPr="00BD5402" w:rsidR="00876F03" w:rsidP="00BD5402" w:rsidRDefault="004344E6" w14:paraId="5319E1C9" w14:textId="279C02E5">
      <w:pPr>
        <w:pStyle w:val="JuPara"/>
      </w:pPr>
      <w:r w:rsidRPr="00BD5402">
        <w:t>Rend l</w:t>
      </w:r>
      <w:r w:rsidRPr="00BD5402" w:rsidR="00BD5402">
        <w:t>’</w:t>
      </w:r>
      <w:r w:rsidRPr="00BD5402">
        <w:t>arrêt que voici</w:t>
      </w:r>
      <w:r w:rsidRPr="00BD5402" w:rsidR="00876F03">
        <w:t>, adopté à cette date :</w:t>
      </w:r>
    </w:p>
    <w:p w:rsidRPr="00BD5402" w:rsidR="00001CC5" w:rsidP="00BD5402" w:rsidRDefault="00001CC5" w14:paraId="22F7C0F3" w14:textId="77777777">
      <w:pPr>
        <w:pStyle w:val="JuHHead"/>
      </w:pPr>
      <w:r w:rsidRPr="00BD5402">
        <w:rPr>
          <w:caps w:val="0"/>
        </w:rPr>
        <w:t>INTRODUCTION</w:t>
      </w:r>
    </w:p>
    <w:p w:rsidRPr="00BD5402" w:rsidR="00001CC5" w:rsidP="00BD5402" w:rsidRDefault="00001CC5" w14:paraId="15B1F775" w14:textId="40B83382">
      <w:pPr>
        <w:pStyle w:val="JuPara"/>
      </w:pPr>
      <w:r w:rsidRPr="00BD5402">
        <w:fldChar w:fldCharType="begin"/>
      </w:r>
      <w:r w:rsidRPr="00BD5402">
        <w:instrText xml:space="preserve"> SEQ level0 \*arabic </w:instrText>
      </w:r>
      <w:r w:rsidRPr="00BD5402">
        <w:fldChar w:fldCharType="separate"/>
      </w:r>
      <w:r w:rsidRPr="00BD5402" w:rsidR="00BD5402">
        <w:rPr>
          <w:noProof/>
        </w:rPr>
        <w:t>1</w:t>
      </w:r>
      <w:r w:rsidRPr="00BD5402">
        <w:fldChar w:fldCharType="end"/>
      </w:r>
      <w:r w:rsidRPr="00BD5402">
        <w:t>.  La présente affaire concerne la condamnation pénale du requérant en raison de ses propos tenus lors d</w:t>
      </w:r>
      <w:r w:rsidRPr="00BD5402" w:rsidR="00BD5402">
        <w:t>’</w:t>
      </w:r>
      <w:r w:rsidRPr="00BD5402">
        <w:t>une manifestation publique.</w:t>
      </w:r>
    </w:p>
    <w:p w:rsidRPr="00BD5402" w:rsidR="00001CC5" w:rsidP="00BD5402" w:rsidRDefault="00001CC5" w14:paraId="676EFA6D" w14:textId="77777777">
      <w:pPr>
        <w:pStyle w:val="JuHHead"/>
      </w:pPr>
      <w:bookmarkStart w:name="_Hlk36126677" w:id="2"/>
      <w:r w:rsidRPr="00BD5402">
        <w:t>EN FAIT</w:t>
      </w:r>
    </w:p>
    <w:bookmarkEnd w:id="2"/>
    <w:p w:rsidRPr="00BD5402" w:rsidR="00001CC5" w:rsidP="00BD5402" w:rsidRDefault="00001CC5" w14:paraId="278A06E9" w14:textId="69E18814">
      <w:pPr>
        <w:pStyle w:val="JuPara"/>
      </w:pPr>
      <w:r w:rsidRPr="00BD5402">
        <w:fldChar w:fldCharType="begin"/>
      </w:r>
      <w:r w:rsidRPr="00BD5402">
        <w:instrText xml:space="preserve"> SEQ level0 \*arabic </w:instrText>
      </w:r>
      <w:r w:rsidRPr="00BD5402">
        <w:fldChar w:fldCharType="separate"/>
      </w:r>
      <w:r w:rsidRPr="00BD5402" w:rsidR="00BD5402">
        <w:rPr>
          <w:noProof/>
        </w:rPr>
        <w:t>2</w:t>
      </w:r>
      <w:r w:rsidRPr="00BD5402">
        <w:fldChar w:fldCharType="end"/>
      </w:r>
      <w:r w:rsidRPr="00BD5402">
        <w:t>.  Le requérant est né en 1954 et réside à Medvedovo. Il a été représenté par M</w:t>
      </w:r>
      <w:r w:rsidRPr="00BD5402">
        <w:rPr>
          <w:vertAlign w:val="superscript"/>
        </w:rPr>
        <w:t>e</w:t>
      </w:r>
      <w:r w:rsidRPr="00BD5402">
        <w:t> </w:t>
      </w:r>
      <w:bookmarkStart w:name="_Hlk83387688" w:id="3"/>
      <w:r w:rsidRPr="00BD5402">
        <w:t>S.I. Kuzevanova</w:t>
      </w:r>
      <w:bookmarkEnd w:id="3"/>
      <w:r w:rsidRPr="00BD5402">
        <w:t>, avocate.</w:t>
      </w:r>
    </w:p>
    <w:p w:rsidRPr="00BD5402" w:rsidR="00001CC5" w:rsidP="00BD5402" w:rsidRDefault="00001CC5" w14:paraId="7537CDEA" w14:textId="1F3FF801">
      <w:pPr>
        <w:pStyle w:val="JuPara"/>
      </w:pPr>
      <w:r w:rsidRPr="00BD5402">
        <w:fldChar w:fldCharType="begin"/>
      </w:r>
      <w:r w:rsidRPr="00BD5402">
        <w:instrText xml:space="preserve"> SEQ level0 \*arabic </w:instrText>
      </w:r>
      <w:r w:rsidRPr="00BD5402">
        <w:fldChar w:fldCharType="separate"/>
      </w:r>
      <w:r w:rsidRPr="00BD5402" w:rsidR="00BD5402">
        <w:rPr>
          <w:noProof/>
        </w:rPr>
        <w:t>3</w:t>
      </w:r>
      <w:r w:rsidRPr="00BD5402">
        <w:fldChar w:fldCharType="end"/>
      </w:r>
      <w:r w:rsidRPr="00BD5402">
        <w:t xml:space="preserve">.  Le Gouvernement a été représenté </w:t>
      </w:r>
      <w:r w:rsidRPr="00BD5402" w:rsidR="00F267A7">
        <w:t xml:space="preserve">initialement </w:t>
      </w:r>
      <w:r w:rsidRPr="00BD5402">
        <w:t xml:space="preserve">par M. M. Galperine, </w:t>
      </w:r>
      <w:r w:rsidRPr="00BD5402" w:rsidR="00F267A7">
        <w:t xml:space="preserve">ancien </w:t>
      </w:r>
      <w:r w:rsidRPr="00BD5402">
        <w:t>représentant de la Fédération de Russie auprès de la Cour européenne des droits de l</w:t>
      </w:r>
      <w:r w:rsidRPr="00BD5402" w:rsidR="00BD5402">
        <w:t>’</w:t>
      </w:r>
      <w:r w:rsidRPr="00BD5402">
        <w:t>homme</w:t>
      </w:r>
      <w:r w:rsidRPr="00BD5402" w:rsidR="00F267A7">
        <w:t>, puis par M. M. Vinogradov, son successeur dans cette fonction.</w:t>
      </w:r>
    </w:p>
    <w:bookmarkStart w:name="manif" w:id="4"/>
    <w:p w:rsidRPr="00BD5402" w:rsidR="00001CC5" w:rsidP="00BD5402" w:rsidRDefault="00001CC5" w14:paraId="78E38FD4" w14:textId="26491156">
      <w:pPr>
        <w:pStyle w:val="JuPara"/>
      </w:pPr>
      <w:r w:rsidRPr="00BD5402">
        <w:fldChar w:fldCharType="begin"/>
      </w:r>
      <w:r w:rsidRPr="00BD5402">
        <w:instrText xml:space="preserve"> SEQ level0 \*arabic </w:instrText>
      </w:r>
      <w:r w:rsidRPr="00BD5402">
        <w:fldChar w:fldCharType="separate"/>
      </w:r>
      <w:r w:rsidRPr="00BD5402" w:rsidR="00BD5402">
        <w:rPr>
          <w:noProof/>
        </w:rPr>
        <w:t>4</w:t>
      </w:r>
      <w:r w:rsidRPr="00BD5402">
        <w:fldChar w:fldCharType="end"/>
      </w:r>
      <w:bookmarkEnd w:id="4"/>
      <w:r w:rsidRPr="00BD5402">
        <w:t>.  Le 29 mars 2014, le requérant participa à une manifestation publique dans la ville de Yochkar-Ola (république de Mariy-El) dont le but était d</w:t>
      </w:r>
      <w:r w:rsidRPr="00BD5402" w:rsidR="00BD5402">
        <w:t>’</w:t>
      </w:r>
      <w:r w:rsidRPr="00BD5402">
        <w:t>attirer l</w:t>
      </w:r>
      <w:r w:rsidRPr="00BD5402" w:rsidR="00BD5402">
        <w:t>’</w:t>
      </w:r>
      <w:r w:rsidRPr="00BD5402">
        <w:t>attention publique aux problèmes dans la gestion et le financement du réseau routier. Pendant la manifestation, qui rassembla environ 250 personnes, quinze orateurs prirent la parole dont le requérant. Dans ses propos, le requérant a émis des critiques envers le gouverneur de la région, M., en s</w:t>
      </w:r>
      <w:r w:rsidRPr="00BD5402" w:rsidR="00BD5402">
        <w:t>’</w:t>
      </w:r>
      <w:r w:rsidRPr="00BD5402">
        <w:t>exprimant notamment comme suit :</w:t>
      </w:r>
    </w:p>
    <w:p w:rsidRPr="00BD5402" w:rsidR="00001CC5" w:rsidP="00BD5402" w:rsidRDefault="00001CC5" w14:paraId="4D11A1BD" w14:textId="2B6237A3">
      <w:pPr>
        <w:pStyle w:val="JuQuot"/>
      </w:pPr>
      <w:r w:rsidRPr="00BD5402">
        <w:t>« Vous vous souvenez, il y a un an ou un an et demi, un grand panneau publicitaire était installé ici [avec le slogan] « De bonnes routes dans [la république] de Mariy</w:t>
      </w:r>
      <w:r w:rsidRPr="00BD5402">
        <w:noBreakHyphen/>
        <w:t>El</w:t>
      </w:r>
      <w:r w:rsidRPr="00BD5402" w:rsidR="00F267A7">
        <w:t xml:space="preserve"> </w:t>
      </w:r>
      <w:r w:rsidRPr="00BD5402">
        <w:noBreakHyphen/>
      </w:r>
      <w:r w:rsidRPr="00BD5402" w:rsidR="00F267A7">
        <w:t xml:space="preserve"> </w:t>
      </w:r>
      <w:r w:rsidRPr="00BD5402">
        <w:t>c</w:t>
      </w:r>
      <w:r w:rsidRPr="00BD5402" w:rsidR="00BD5402">
        <w:t>’</w:t>
      </w:r>
      <w:r w:rsidRPr="00BD5402">
        <w:t>est le programme principal de Russie Unie », alors, il semble que c</w:t>
      </w:r>
      <w:r w:rsidRPr="00BD5402" w:rsidR="00BD5402">
        <w:t>’</w:t>
      </w:r>
      <w:r w:rsidRPr="00BD5402">
        <w:t>est là le grand problème, ils s</w:t>
      </w:r>
      <w:r w:rsidRPr="00BD5402" w:rsidR="00BD5402">
        <w:t>’</w:t>
      </w:r>
      <w:r w:rsidRPr="00BD5402">
        <w:t>en fichent de nos routes, ils se sont fait construire des bureaux, [on voit les annonces] de location de bureaux publiés dans le journal gratuit « Gorod », ils ont fait déloger les gens, ont fait construire des bureaux et les mettent en location.</w:t>
      </w:r>
    </w:p>
    <w:p w:rsidRPr="00BD5402" w:rsidR="00001CC5" w:rsidP="00BD5402" w:rsidRDefault="00001CC5" w14:paraId="3876B4E4" w14:textId="77777777">
      <w:pPr>
        <w:pStyle w:val="JuQuot"/>
      </w:pPr>
      <w:r w:rsidRPr="00BD5402">
        <w:t>[</w:t>
      </w:r>
      <w:proofErr w:type="gramStart"/>
      <w:r w:rsidRPr="00BD5402">
        <w:t>ci</w:t>
      </w:r>
      <w:proofErr w:type="gramEnd"/>
      <w:r w:rsidRPr="00BD5402">
        <w:t>-après, les propos litigieux]</w:t>
      </w:r>
    </w:p>
    <w:p w:rsidRPr="00BD5402" w:rsidR="00001CC5" w:rsidP="00BD5402" w:rsidRDefault="00001CC5" w14:paraId="3D065184" w14:textId="331EC7E8">
      <w:pPr>
        <w:pStyle w:val="JuQuot"/>
      </w:pPr>
      <w:r w:rsidRPr="00BD5402">
        <w:t>A l</w:t>
      </w:r>
      <w:r w:rsidRPr="00BD5402" w:rsidR="00BD5402">
        <w:t>’</w:t>
      </w:r>
      <w:r w:rsidRPr="00BD5402">
        <w:t xml:space="preserve">instar des </w:t>
      </w:r>
      <w:r w:rsidRPr="00BD5402">
        <w:rPr>
          <w:i/>
          <w:iCs/>
        </w:rPr>
        <w:t>vory v zakone</w:t>
      </w:r>
      <w:r w:rsidRPr="00BD5402">
        <w:rPr>
          <w:vertAlign w:val="superscript"/>
        </w:rPr>
        <w:footnoteReference w:id="1"/>
      </w:r>
      <w:r w:rsidRPr="00BD5402">
        <w:t xml:space="preserve"> qui placent leur </w:t>
      </w:r>
      <w:r w:rsidRPr="00BD5402">
        <w:rPr>
          <w:i/>
          <w:iCs/>
        </w:rPr>
        <w:t>smotriashchi</w:t>
      </w:r>
      <w:r w:rsidRPr="00BD5402">
        <w:t>y</w:t>
      </w:r>
      <w:r w:rsidRPr="00BD5402">
        <w:rPr>
          <w:vertAlign w:val="superscript"/>
        </w:rPr>
        <w:footnoteReference w:id="2"/>
      </w:r>
      <w:r w:rsidRPr="00BD5402">
        <w:t xml:space="preserve"> pour contrôler la ville de Yochkar-Ola, les voleurs au-dessus de la loi ont placé leur </w:t>
      </w:r>
      <w:r w:rsidRPr="00BD5402">
        <w:rPr>
          <w:i/>
          <w:iCs/>
        </w:rPr>
        <w:t>smotriashchiy</w:t>
      </w:r>
      <w:r w:rsidRPr="00BD5402">
        <w:t xml:space="preserve"> [M.] avec ses hommes de main, ils vont piller le budget [de la république] et ils s</w:t>
      </w:r>
      <w:r w:rsidRPr="00BD5402" w:rsidR="00BD5402">
        <w:t>’</w:t>
      </w:r>
      <w:r w:rsidRPr="00BD5402">
        <w:t>en fichent de nous ; tant que le pouvoir sera détenu par Russie Unie il n</w:t>
      </w:r>
      <w:r w:rsidRPr="00BD5402" w:rsidR="00BD5402">
        <w:t>’</w:t>
      </w:r>
      <w:r w:rsidRPr="00BD5402">
        <w:t>y aura aucun changement, mais si (...) ils [sentiront] la menace de perdre leur pouvoir, leur fauteuil confortable, leur part du gâteau avec du beurre, c</w:t>
      </w:r>
      <w:r w:rsidRPr="00BD5402" w:rsidR="00BD5402">
        <w:t>’</w:t>
      </w:r>
      <w:r w:rsidRPr="00BD5402">
        <w:t>est seulement à ce moment qu</w:t>
      </w:r>
      <w:r w:rsidRPr="00BD5402" w:rsidR="00BD5402">
        <w:t>’</w:t>
      </w:r>
      <w:r w:rsidRPr="00BD5402">
        <w:t xml:space="preserve">ils commenceront à bouger » </w:t>
      </w:r>
      <w:r w:rsidRPr="00BD5402">
        <w:rPr>
          <w:i/>
          <w:iCs/>
        </w:rPr>
        <w:t>(«</w:t>
      </w:r>
      <w:r w:rsidRPr="00BD5402">
        <w:rPr>
          <w:i/>
          <w:iCs/>
          <w:lang w:val="ru-RU"/>
        </w:rPr>
        <w:t>Как</w:t>
      </w:r>
      <w:r w:rsidRPr="00BD5402">
        <w:rPr>
          <w:i/>
          <w:iCs/>
        </w:rPr>
        <w:t xml:space="preserve"> </w:t>
      </w:r>
      <w:r w:rsidRPr="00BD5402">
        <w:rPr>
          <w:i/>
          <w:iCs/>
          <w:lang w:val="ru-RU"/>
        </w:rPr>
        <w:t>воры</w:t>
      </w:r>
      <w:r w:rsidRPr="00BD5402">
        <w:rPr>
          <w:i/>
          <w:iCs/>
        </w:rPr>
        <w:t xml:space="preserve"> </w:t>
      </w:r>
      <w:r w:rsidRPr="00BD5402">
        <w:rPr>
          <w:i/>
          <w:iCs/>
          <w:lang w:val="ru-RU"/>
        </w:rPr>
        <w:t>в</w:t>
      </w:r>
      <w:r w:rsidRPr="00BD5402">
        <w:rPr>
          <w:i/>
          <w:iCs/>
        </w:rPr>
        <w:t xml:space="preserve"> </w:t>
      </w:r>
      <w:r w:rsidRPr="00BD5402">
        <w:rPr>
          <w:i/>
          <w:iCs/>
          <w:lang w:val="ru-RU"/>
        </w:rPr>
        <w:t>законе</w:t>
      </w:r>
      <w:r w:rsidRPr="00BD5402">
        <w:rPr>
          <w:i/>
          <w:iCs/>
        </w:rPr>
        <w:t xml:space="preserve"> </w:t>
      </w:r>
      <w:r w:rsidRPr="00BD5402">
        <w:rPr>
          <w:i/>
          <w:iCs/>
          <w:lang w:val="ru-RU"/>
        </w:rPr>
        <w:t>ставят</w:t>
      </w:r>
      <w:r w:rsidRPr="00BD5402">
        <w:rPr>
          <w:i/>
          <w:iCs/>
        </w:rPr>
        <w:t xml:space="preserve"> </w:t>
      </w:r>
      <w:r w:rsidRPr="00BD5402">
        <w:rPr>
          <w:i/>
          <w:iCs/>
          <w:lang w:val="ru-RU"/>
        </w:rPr>
        <w:t>своего</w:t>
      </w:r>
      <w:r w:rsidRPr="00BD5402">
        <w:rPr>
          <w:i/>
          <w:iCs/>
        </w:rPr>
        <w:t xml:space="preserve"> </w:t>
      </w:r>
      <w:r w:rsidRPr="00BD5402">
        <w:rPr>
          <w:i/>
          <w:iCs/>
          <w:lang w:val="ru-RU"/>
        </w:rPr>
        <w:t>смотрящего</w:t>
      </w:r>
      <w:r w:rsidRPr="00BD5402">
        <w:rPr>
          <w:i/>
          <w:iCs/>
        </w:rPr>
        <w:t xml:space="preserve"> </w:t>
      </w:r>
      <w:r w:rsidRPr="00BD5402">
        <w:rPr>
          <w:i/>
          <w:iCs/>
          <w:lang w:val="ru-RU"/>
        </w:rPr>
        <w:t>за</w:t>
      </w:r>
      <w:r w:rsidRPr="00BD5402">
        <w:rPr>
          <w:i/>
          <w:iCs/>
        </w:rPr>
        <w:t xml:space="preserve"> </w:t>
      </w:r>
      <w:r w:rsidRPr="00BD5402">
        <w:rPr>
          <w:i/>
          <w:iCs/>
          <w:lang w:val="ru-RU"/>
        </w:rPr>
        <w:t>г</w:t>
      </w:r>
      <w:r w:rsidRPr="00BD5402">
        <w:rPr>
          <w:i/>
          <w:iCs/>
        </w:rPr>
        <w:t xml:space="preserve">. </w:t>
      </w:r>
      <w:r w:rsidRPr="00BD5402">
        <w:rPr>
          <w:i/>
          <w:iCs/>
          <w:lang w:val="ru-RU"/>
        </w:rPr>
        <w:t>Йошкар</w:t>
      </w:r>
      <w:r w:rsidRPr="00BD5402">
        <w:rPr>
          <w:i/>
          <w:iCs/>
        </w:rPr>
        <w:t>-</w:t>
      </w:r>
      <w:r w:rsidRPr="00BD5402">
        <w:rPr>
          <w:i/>
          <w:iCs/>
          <w:lang w:val="ru-RU"/>
        </w:rPr>
        <w:t>Ола</w:t>
      </w:r>
      <w:r w:rsidRPr="00BD5402">
        <w:rPr>
          <w:i/>
          <w:iCs/>
        </w:rPr>
        <w:t xml:space="preserve">, </w:t>
      </w:r>
      <w:r w:rsidRPr="00BD5402">
        <w:rPr>
          <w:i/>
          <w:iCs/>
          <w:lang w:val="ru-RU"/>
        </w:rPr>
        <w:t>так</w:t>
      </w:r>
      <w:r w:rsidRPr="00BD5402">
        <w:rPr>
          <w:i/>
          <w:iCs/>
        </w:rPr>
        <w:t xml:space="preserve"> </w:t>
      </w:r>
      <w:r w:rsidRPr="00BD5402">
        <w:rPr>
          <w:i/>
          <w:iCs/>
          <w:lang w:val="ru-RU"/>
        </w:rPr>
        <w:t>и</w:t>
      </w:r>
      <w:r w:rsidRPr="00BD5402">
        <w:rPr>
          <w:i/>
          <w:iCs/>
        </w:rPr>
        <w:t xml:space="preserve"> </w:t>
      </w:r>
      <w:r w:rsidRPr="00BD5402">
        <w:rPr>
          <w:i/>
          <w:iCs/>
          <w:lang w:val="ru-RU"/>
        </w:rPr>
        <w:t>воры</w:t>
      </w:r>
      <w:r w:rsidRPr="00BD5402">
        <w:rPr>
          <w:i/>
          <w:iCs/>
        </w:rPr>
        <w:t xml:space="preserve"> </w:t>
      </w:r>
      <w:r w:rsidRPr="00BD5402">
        <w:rPr>
          <w:i/>
          <w:iCs/>
          <w:lang w:val="ru-RU"/>
        </w:rPr>
        <w:t>над</w:t>
      </w:r>
      <w:r w:rsidRPr="00BD5402">
        <w:rPr>
          <w:i/>
          <w:iCs/>
        </w:rPr>
        <w:t xml:space="preserve"> </w:t>
      </w:r>
      <w:r w:rsidRPr="00BD5402">
        <w:rPr>
          <w:i/>
          <w:iCs/>
          <w:lang w:val="ru-RU"/>
        </w:rPr>
        <w:t>законом</w:t>
      </w:r>
      <w:r w:rsidRPr="00BD5402">
        <w:rPr>
          <w:i/>
          <w:iCs/>
        </w:rPr>
        <w:t xml:space="preserve"> </w:t>
      </w:r>
      <w:r w:rsidRPr="00BD5402">
        <w:rPr>
          <w:i/>
          <w:iCs/>
          <w:lang w:val="ru-RU"/>
        </w:rPr>
        <w:t>поставили</w:t>
      </w:r>
      <w:r w:rsidRPr="00BD5402">
        <w:rPr>
          <w:i/>
          <w:iCs/>
        </w:rPr>
        <w:t xml:space="preserve"> </w:t>
      </w:r>
      <w:r w:rsidRPr="00BD5402">
        <w:rPr>
          <w:i/>
          <w:iCs/>
          <w:lang w:val="ru-RU"/>
        </w:rPr>
        <w:t>своего</w:t>
      </w:r>
      <w:r w:rsidRPr="00BD5402">
        <w:rPr>
          <w:i/>
          <w:iCs/>
        </w:rPr>
        <w:t xml:space="preserve"> </w:t>
      </w:r>
      <w:r w:rsidRPr="00BD5402">
        <w:rPr>
          <w:i/>
          <w:iCs/>
          <w:lang w:val="ru-RU"/>
        </w:rPr>
        <w:t>смотрящего</w:t>
      </w:r>
      <w:r w:rsidRPr="00BD5402">
        <w:rPr>
          <w:i/>
          <w:iCs/>
        </w:rPr>
        <w:t xml:space="preserve"> [</w:t>
      </w:r>
      <w:r w:rsidRPr="00BD5402">
        <w:rPr>
          <w:i/>
          <w:iCs/>
          <w:lang w:val="ru-RU"/>
        </w:rPr>
        <w:t>М</w:t>
      </w:r>
      <w:r w:rsidRPr="00BD5402">
        <w:rPr>
          <w:i/>
          <w:iCs/>
        </w:rPr>
        <w:t xml:space="preserve">.] </w:t>
      </w:r>
      <w:r w:rsidRPr="00BD5402">
        <w:rPr>
          <w:i/>
          <w:iCs/>
          <w:lang w:val="ru-RU"/>
        </w:rPr>
        <w:t>со</w:t>
      </w:r>
      <w:r w:rsidRPr="00BD5402">
        <w:rPr>
          <w:i/>
          <w:iCs/>
        </w:rPr>
        <w:t xml:space="preserve"> </w:t>
      </w:r>
      <w:r w:rsidRPr="00BD5402">
        <w:rPr>
          <w:i/>
          <w:iCs/>
          <w:lang w:val="ru-RU"/>
        </w:rPr>
        <w:t>своими</w:t>
      </w:r>
      <w:r w:rsidRPr="00BD5402">
        <w:rPr>
          <w:i/>
          <w:iCs/>
        </w:rPr>
        <w:t xml:space="preserve"> </w:t>
      </w:r>
      <w:r w:rsidRPr="00BD5402">
        <w:rPr>
          <w:i/>
          <w:iCs/>
          <w:lang w:val="ru-RU"/>
        </w:rPr>
        <w:t>подручными</w:t>
      </w:r>
      <w:r w:rsidRPr="00BD5402">
        <w:rPr>
          <w:i/>
          <w:iCs/>
        </w:rPr>
        <w:t xml:space="preserve">, </w:t>
      </w:r>
      <w:r w:rsidRPr="00BD5402">
        <w:rPr>
          <w:i/>
          <w:iCs/>
          <w:lang w:val="ru-RU"/>
        </w:rPr>
        <w:t>распилят</w:t>
      </w:r>
      <w:r w:rsidRPr="00BD5402">
        <w:rPr>
          <w:i/>
          <w:iCs/>
        </w:rPr>
        <w:t xml:space="preserve"> </w:t>
      </w:r>
      <w:r w:rsidRPr="00BD5402">
        <w:rPr>
          <w:i/>
          <w:iCs/>
          <w:lang w:val="ru-RU"/>
        </w:rPr>
        <w:t>они</w:t>
      </w:r>
      <w:r w:rsidRPr="00BD5402">
        <w:rPr>
          <w:i/>
          <w:iCs/>
        </w:rPr>
        <w:t xml:space="preserve"> </w:t>
      </w:r>
      <w:r w:rsidRPr="00BD5402">
        <w:rPr>
          <w:i/>
          <w:iCs/>
          <w:lang w:val="ru-RU"/>
        </w:rPr>
        <w:t>наш</w:t>
      </w:r>
      <w:r w:rsidRPr="00BD5402">
        <w:rPr>
          <w:i/>
          <w:iCs/>
        </w:rPr>
        <w:t xml:space="preserve"> </w:t>
      </w:r>
      <w:r w:rsidRPr="00BD5402">
        <w:rPr>
          <w:i/>
          <w:iCs/>
          <w:lang w:val="ru-RU"/>
        </w:rPr>
        <w:t>бюджет</w:t>
      </w:r>
      <w:r w:rsidRPr="00BD5402">
        <w:rPr>
          <w:i/>
          <w:iCs/>
        </w:rPr>
        <w:t xml:space="preserve"> </w:t>
      </w:r>
      <w:r w:rsidRPr="00BD5402">
        <w:rPr>
          <w:i/>
          <w:iCs/>
          <w:lang w:val="ru-RU"/>
        </w:rPr>
        <w:t>и</w:t>
      </w:r>
      <w:r w:rsidRPr="00BD5402">
        <w:rPr>
          <w:i/>
          <w:iCs/>
        </w:rPr>
        <w:t xml:space="preserve"> </w:t>
      </w:r>
      <w:r w:rsidRPr="00BD5402">
        <w:rPr>
          <w:i/>
          <w:iCs/>
          <w:lang w:val="ru-RU"/>
        </w:rPr>
        <w:t>наплевать</w:t>
      </w:r>
      <w:r w:rsidRPr="00BD5402">
        <w:rPr>
          <w:i/>
          <w:iCs/>
        </w:rPr>
        <w:t xml:space="preserve"> </w:t>
      </w:r>
      <w:r w:rsidRPr="00BD5402">
        <w:rPr>
          <w:i/>
          <w:iCs/>
          <w:lang w:val="ru-RU"/>
        </w:rPr>
        <w:t>им</w:t>
      </w:r>
      <w:r w:rsidRPr="00BD5402">
        <w:rPr>
          <w:i/>
          <w:iCs/>
        </w:rPr>
        <w:t xml:space="preserve"> </w:t>
      </w:r>
      <w:r w:rsidRPr="00BD5402">
        <w:rPr>
          <w:i/>
          <w:iCs/>
          <w:lang w:val="ru-RU"/>
        </w:rPr>
        <w:t>на</w:t>
      </w:r>
      <w:r w:rsidRPr="00BD5402">
        <w:rPr>
          <w:i/>
          <w:iCs/>
        </w:rPr>
        <w:t xml:space="preserve"> </w:t>
      </w:r>
      <w:r w:rsidRPr="00BD5402">
        <w:rPr>
          <w:i/>
          <w:iCs/>
          <w:lang w:val="ru-RU"/>
        </w:rPr>
        <w:t>нас</w:t>
      </w:r>
      <w:r w:rsidRPr="00BD5402">
        <w:rPr>
          <w:i/>
          <w:iCs/>
        </w:rPr>
        <w:t xml:space="preserve">, </w:t>
      </w:r>
      <w:r w:rsidRPr="00BD5402">
        <w:rPr>
          <w:i/>
          <w:iCs/>
          <w:lang w:val="ru-RU"/>
        </w:rPr>
        <w:t>и</w:t>
      </w:r>
      <w:r w:rsidRPr="00BD5402">
        <w:rPr>
          <w:i/>
          <w:iCs/>
        </w:rPr>
        <w:t xml:space="preserve"> </w:t>
      </w:r>
      <w:r w:rsidRPr="00BD5402">
        <w:rPr>
          <w:i/>
          <w:iCs/>
          <w:lang w:val="ru-RU"/>
        </w:rPr>
        <w:t>пока</w:t>
      </w:r>
      <w:r w:rsidRPr="00BD5402">
        <w:rPr>
          <w:i/>
          <w:iCs/>
        </w:rPr>
        <w:t xml:space="preserve"> </w:t>
      </w:r>
      <w:r w:rsidRPr="00BD5402">
        <w:rPr>
          <w:i/>
          <w:iCs/>
          <w:lang w:val="ru-RU"/>
        </w:rPr>
        <w:t>у</w:t>
      </w:r>
      <w:r w:rsidRPr="00BD5402">
        <w:rPr>
          <w:i/>
          <w:iCs/>
        </w:rPr>
        <w:t xml:space="preserve"> </w:t>
      </w:r>
      <w:r w:rsidRPr="00BD5402">
        <w:rPr>
          <w:i/>
          <w:iCs/>
          <w:lang w:val="ru-RU"/>
        </w:rPr>
        <w:t>власти</w:t>
      </w:r>
      <w:r w:rsidRPr="00BD5402">
        <w:rPr>
          <w:i/>
          <w:iCs/>
        </w:rPr>
        <w:t xml:space="preserve"> </w:t>
      </w:r>
      <w:r w:rsidRPr="00BD5402">
        <w:rPr>
          <w:i/>
          <w:iCs/>
          <w:lang w:val="ru-RU"/>
        </w:rPr>
        <w:t>будет</w:t>
      </w:r>
      <w:r w:rsidRPr="00BD5402">
        <w:rPr>
          <w:i/>
          <w:iCs/>
        </w:rPr>
        <w:t xml:space="preserve"> </w:t>
      </w:r>
      <w:r w:rsidRPr="00BD5402">
        <w:rPr>
          <w:i/>
          <w:iCs/>
          <w:lang w:val="ru-RU"/>
        </w:rPr>
        <w:t>Единая</w:t>
      </w:r>
      <w:r w:rsidRPr="00BD5402">
        <w:rPr>
          <w:i/>
          <w:iCs/>
        </w:rPr>
        <w:t xml:space="preserve"> </w:t>
      </w:r>
      <w:r w:rsidRPr="00BD5402">
        <w:rPr>
          <w:i/>
          <w:iCs/>
          <w:lang w:val="ru-RU"/>
        </w:rPr>
        <w:t>Россия</w:t>
      </w:r>
      <w:r w:rsidRPr="00BD5402">
        <w:rPr>
          <w:i/>
          <w:iCs/>
        </w:rPr>
        <w:t xml:space="preserve">, </w:t>
      </w:r>
      <w:r w:rsidRPr="00BD5402">
        <w:rPr>
          <w:i/>
          <w:iCs/>
          <w:lang w:val="ru-RU"/>
        </w:rPr>
        <w:t>я</w:t>
      </w:r>
      <w:r w:rsidRPr="00BD5402">
        <w:rPr>
          <w:i/>
          <w:iCs/>
        </w:rPr>
        <w:t xml:space="preserve"> </w:t>
      </w:r>
      <w:r w:rsidRPr="00BD5402">
        <w:rPr>
          <w:i/>
          <w:iCs/>
          <w:lang w:val="ru-RU"/>
        </w:rPr>
        <w:t>думаю</w:t>
      </w:r>
      <w:r w:rsidRPr="00BD5402">
        <w:rPr>
          <w:i/>
          <w:iCs/>
        </w:rPr>
        <w:t xml:space="preserve">, </w:t>
      </w:r>
      <w:r w:rsidRPr="00BD5402">
        <w:rPr>
          <w:i/>
          <w:iCs/>
          <w:lang w:val="ru-RU"/>
        </w:rPr>
        <w:t>перемен</w:t>
      </w:r>
      <w:r w:rsidRPr="00BD5402">
        <w:rPr>
          <w:i/>
          <w:iCs/>
        </w:rPr>
        <w:t xml:space="preserve"> </w:t>
      </w:r>
      <w:r w:rsidRPr="00BD5402">
        <w:rPr>
          <w:i/>
          <w:iCs/>
          <w:lang w:val="ru-RU"/>
        </w:rPr>
        <w:t>никаких</w:t>
      </w:r>
      <w:r w:rsidRPr="00BD5402">
        <w:rPr>
          <w:i/>
          <w:iCs/>
        </w:rPr>
        <w:t xml:space="preserve"> </w:t>
      </w:r>
      <w:r w:rsidRPr="00BD5402">
        <w:rPr>
          <w:i/>
          <w:iCs/>
          <w:lang w:val="ru-RU"/>
        </w:rPr>
        <w:t>не</w:t>
      </w:r>
      <w:r w:rsidRPr="00BD5402">
        <w:rPr>
          <w:i/>
          <w:iCs/>
        </w:rPr>
        <w:t xml:space="preserve"> </w:t>
      </w:r>
      <w:r w:rsidRPr="00BD5402">
        <w:rPr>
          <w:i/>
          <w:iCs/>
          <w:lang w:val="ru-RU"/>
        </w:rPr>
        <w:t>будет</w:t>
      </w:r>
      <w:r w:rsidRPr="00BD5402">
        <w:rPr>
          <w:i/>
          <w:iCs/>
        </w:rPr>
        <w:t xml:space="preserve">, </w:t>
      </w:r>
      <w:r w:rsidRPr="00BD5402">
        <w:rPr>
          <w:i/>
          <w:iCs/>
          <w:lang w:val="ru-RU"/>
        </w:rPr>
        <w:t>а</w:t>
      </w:r>
      <w:r w:rsidRPr="00BD5402">
        <w:rPr>
          <w:i/>
          <w:iCs/>
        </w:rPr>
        <w:t xml:space="preserve"> </w:t>
      </w:r>
      <w:r w:rsidRPr="00BD5402">
        <w:rPr>
          <w:i/>
          <w:iCs/>
          <w:lang w:val="ru-RU"/>
        </w:rPr>
        <w:t>вот</w:t>
      </w:r>
      <w:r w:rsidRPr="00BD5402">
        <w:rPr>
          <w:i/>
          <w:iCs/>
        </w:rPr>
        <w:t xml:space="preserve"> </w:t>
      </w:r>
      <w:r w:rsidRPr="00BD5402">
        <w:rPr>
          <w:i/>
          <w:iCs/>
          <w:lang w:val="ru-RU"/>
        </w:rPr>
        <w:t>если</w:t>
      </w:r>
      <w:r w:rsidRPr="00BD5402">
        <w:rPr>
          <w:i/>
          <w:iCs/>
        </w:rPr>
        <w:t xml:space="preserve"> </w:t>
      </w:r>
      <w:r w:rsidRPr="00BD5402">
        <w:rPr>
          <w:i/>
          <w:iCs/>
          <w:lang w:val="ru-RU"/>
        </w:rPr>
        <w:t>мы</w:t>
      </w:r>
      <w:r w:rsidRPr="00BD5402">
        <w:rPr>
          <w:i/>
          <w:iCs/>
        </w:rPr>
        <w:t xml:space="preserve"> (....) </w:t>
      </w:r>
      <w:r w:rsidRPr="00BD5402">
        <w:rPr>
          <w:i/>
          <w:iCs/>
          <w:lang w:val="ru-RU"/>
        </w:rPr>
        <w:t>у</w:t>
      </w:r>
      <w:r w:rsidRPr="00BD5402">
        <w:rPr>
          <w:i/>
          <w:iCs/>
        </w:rPr>
        <w:t xml:space="preserve"> </w:t>
      </w:r>
      <w:r w:rsidRPr="00BD5402">
        <w:rPr>
          <w:i/>
          <w:iCs/>
          <w:lang w:val="ru-RU"/>
        </w:rPr>
        <w:t>них</w:t>
      </w:r>
      <w:r w:rsidRPr="00BD5402">
        <w:rPr>
          <w:i/>
          <w:iCs/>
        </w:rPr>
        <w:t xml:space="preserve"> </w:t>
      </w:r>
      <w:r w:rsidRPr="00BD5402">
        <w:rPr>
          <w:i/>
          <w:iCs/>
          <w:lang w:val="ru-RU"/>
        </w:rPr>
        <w:t>будет</w:t>
      </w:r>
      <w:r w:rsidRPr="00BD5402">
        <w:rPr>
          <w:i/>
          <w:iCs/>
        </w:rPr>
        <w:t xml:space="preserve"> </w:t>
      </w:r>
      <w:r w:rsidRPr="00BD5402">
        <w:rPr>
          <w:i/>
          <w:iCs/>
          <w:lang w:val="ru-RU"/>
        </w:rPr>
        <w:t>угроза</w:t>
      </w:r>
      <w:r w:rsidRPr="00BD5402">
        <w:rPr>
          <w:i/>
          <w:iCs/>
        </w:rPr>
        <w:t xml:space="preserve"> </w:t>
      </w:r>
      <w:r w:rsidRPr="00BD5402">
        <w:rPr>
          <w:i/>
          <w:iCs/>
          <w:lang w:val="ru-RU"/>
        </w:rPr>
        <w:t>потерять</w:t>
      </w:r>
      <w:r w:rsidRPr="00BD5402">
        <w:rPr>
          <w:i/>
          <w:iCs/>
        </w:rPr>
        <w:t xml:space="preserve"> </w:t>
      </w:r>
      <w:r w:rsidRPr="00BD5402">
        <w:rPr>
          <w:i/>
          <w:iCs/>
          <w:lang w:val="ru-RU"/>
        </w:rPr>
        <w:t>свою</w:t>
      </w:r>
      <w:r w:rsidRPr="00BD5402">
        <w:rPr>
          <w:i/>
          <w:iCs/>
        </w:rPr>
        <w:t xml:space="preserve"> </w:t>
      </w:r>
      <w:r w:rsidRPr="00BD5402">
        <w:rPr>
          <w:i/>
          <w:iCs/>
          <w:lang w:val="ru-RU"/>
        </w:rPr>
        <w:t>власть</w:t>
      </w:r>
      <w:r w:rsidRPr="00BD5402">
        <w:rPr>
          <w:i/>
          <w:iCs/>
        </w:rPr>
        <w:t xml:space="preserve">, </w:t>
      </w:r>
      <w:r w:rsidRPr="00BD5402">
        <w:rPr>
          <w:i/>
          <w:iCs/>
          <w:lang w:val="ru-RU"/>
        </w:rPr>
        <w:t>свое</w:t>
      </w:r>
      <w:r w:rsidRPr="00BD5402">
        <w:rPr>
          <w:i/>
          <w:iCs/>
        </w:rPr>
        <w:t xml:space="preserve"> </w:t>
      </w:r>
      <w:r w:rsidRPr="00BD5402">
        <w:rPr>
          <w:i/>
          <w:iCs/>
          <w:lang w:val="ru-RU"/>
        </w:rPr>
        <w:t>мягкое</w:t>
      </w:r>
      <w:r w:rsidRPr="00BD5402">
        <w:rPr>
          <w:i/>
          <w:iCs/>
        </w:rPr>
        <w:t xml:space="preserve"> </w:t>
      </w:r>
      <w:r w:rsidRPr="00BD5402">
        <w:rPr>
          <w:i/>
          <w:iCs/>
          <w:lang w:val="ru-RU"/>
        </w:rPr>
        <w:t>кресло</w:t>
      </w:r>
      <w:r w:rsidRPr="00BD5402">
        <w:rPr>
          <w:i/>
          <w:iCs/>
        </w:rPr>
        <w:t xml:space="preserve">, </w:t>
      </w:r>
      <w:r w:rsidRPr="00BD5402">
        <w:rPr>
          <w:i/>
          <w:iCs/>
          <w:lang w:val="ru-RU"/>
        </w:rPr>
        <w:t>свой</w:t>
      </w:r>
      <w:r w:rsidRPr="00BD5402">
        <w:rPr>
          <w:i/>
          <w:iCs/>
        </w:rPr>
        <w:t xml:space="preserve"> </w:t>
      </w:r>
      <w:r w:rsidRPr="00BD5402">
        <w:rPr>
          <w:i/>
          <w:iCs/>
          <w:lang w:val="ru-RU"/>
        </w:rPr>
        <w:t>пирог</w:t>
      </w:r>
      <w:r w:rsidRPr="00BD5402">
        <w:rPr>
          <w:i/>
          <w:iCs/>
        </w:rPr>
        <w:t xml:space="preserve"> </w:t>
      </w:r>
      <w:r w:rsidRPr="00BD5402">
        <w:rPr>
          <w:i/>
          <w:iCs/>
          <w:lang w:val="ru-RU"/>
        </w:rPr>
        <w:t>с</w:t>
      </w:r>
      <w:r w:rsidRPr="00BD5402">
        <w:rPr>
          <w:i/>
          <w:iCs/>
        </w:rPr>
        <w:t xml:space="preserve"> </w:t>
      </w:r>
      <w:r w:rsidRPr="00BD5402">
        <w:rPr>
          <w:i/>
          <w:iCs/>
          <w:lang w:val="ru-RU"/>
        </w:rPr>
        <w:t>маслом</w:t>
      </w:r>
      <w:r w:rsidRPr="00BD5402">
        <w:rPr>
          <w:i/>
          <w:iCs/>
        </w:rPr>
        <w:t xml:space="preserve">, </w:t>
      </w:r>
      <w:r w:rsidRPr="00BD5402">
        <w:rPr>
          <w:i/>
          <w:iCs/>
          <w:lang w:val="ru-RU"/>
        </w:rPr>
        <w:t>лишь</w:t>
      </w:r>
      <w:r w:rsidRPr="00BD5402">
        <w:rPr>
          <w:i/>
          <w:iCs/>
        </w:rPr>
        <w:t xml:space="preserve"> </w:t>
      </w:r>
      <w:r w:rsidRPr="00BD5402">
        <w:rPr>
          <w:i/>
          <w:iCs/>
          <w:lang w:val="ru-RU"/>
        </w:rPr>
        <w:t>только</w:t>
      </w:r>
      <w:r w:rsidRPr="00BD5402">
        <w:rPr>
          <w:i/>
          <w:iCs/>
        </w:rPr>
        <w:t xml:space="preserve"> </w:t>
      </w:r>
      <w:r w:rsidRPr="00BD5402">
        <w:rPr>
          <w:i/>
          <w:iCs/>
          <w:lang w:val="ru-RU"/>
        </w:rPr>
        <w:t>тогда</w:t>
      </w:r>
      <w:r w:rsidRPr="00BD5402">
        <w:rPr>
          <w:i/>
          <w:iCs/>
        </w:rPr>
        <w:t xml:space="preserve"> </w:t>
      </w:r>
      <w:r w:rsidRPr="00BD5402">
        <w:rPr>
          <w:i/>
          <w:iCs/>
          <w:lang w:val="ru-RU"/>
        </w:rPr>
        <w:t>они</w:t>
      </w:r>
      <w:r w:rsidRPr="00BD5402">
        <w:rPr>
          <w:i/>
          <w:iCs/>
        </w:rPr>
        <w:t xml:space="preserve"> </w:t>
      </w:r>
      <w:r w:rsidRPr="00BD5402">
        <w:rPr>
          <w:i/>
          <w:iCs/>
          <w:lang w:val="ru-RU"/>
        </w:rPr>
        <w:t>начнут</w:t>
      </w:r>
      <w:r w:rsidRPr="00BD5402">
        <w:rPr>
          <w:i/>
          <w:iCs/>
        </w:rPr>
        <w:t xml:space="preserve"> </w:t>
      </w:r>
      <w:r w:rsidRPr="00BD5402">
        <w:rPr>
          <w:i/>
          <w:iCs/>
          <w:lang w:val="ru-RU"/>
        </w:rPr>
        <w:t>шевелиться</w:t>
      </w:r>
      <w:r w:rsidRPr="00BD5402">
        <w:rPr>
          <w:i/>
          <w:iCs/>
        </w:rPr>
        <w:t>»</w:t>
      </w:r>
      <w:r w:rsidRPr="00BD5402">
        <w:t>).</w:t>
      </w:r>
    </w:p>
    <w:p w:rsidRPr="00BD5402" w:rsidR="00001CC5" w:rsidP="00BD5402" w:rsidRDefault="00001CC5" w14:paraId="367201C1" w14:textId="201C1E55">
      <w:pPr>
        <w:pStyle w:val="JuPara"/>
      </w:pPr>
      <w:r w:rsidRPr="00BD5402">
        <w:fldChar w:fldCharType="begin"/>
      </w:r>
      <w:r w:rsidRPr="00BD5402">
        <w:instrText xml:space="preserve"> SEQ level0 \*arabic </w:instrText>
      </w:r>
      <w:r w:rsidRPr="00BD5402">
        <w:fldChar w:fldCharType="separate"/>
      </w:r>
      <w:r w:rsidRPr="00BD5402" w:rsidR="00BD5402">
        <w:rPr>
          <w:noProof/>
        </w:rPr>
        <w:t>5</w:t>
      </w:r>
      <w:r w:rsidRPr="00BD5402">
        <w:fldChar w:fldCharType="end"/>
      </w:r>
      <w:r w:rsidRPr="00BD5402">
        <w:t>.  Le requérant fut poursuivi pour diffamation sur le fondement de l</w:t>
      </w:r>
      <w:r w:rsidRPr="00BD5402" w:rsidR="00BD5402">
        <w:t>’</w:t>
      </w:r>
      <w:r w:rsidRPr="00BD5402">
        <w:t xml:space="preserve">article 128.1 § 2 du code pénal (paragraphe </w:t>
      </w:r>
      <w:r w:rsidRPr="00BD5402">
        <w:fldChar w:fldCharType="begin"/>
      </w:r>
      <w:r w:rsidRPr="00BD5402">
        <w:instrText xml:space="preserve"> REF CP128 \h </w:instrText>
      </w:r>
      <w:r w:rsidRPr="00BD5402">
        <w:fldChar w:fldCharType="separate"/>
      </w:r>
      <w:r w:rsidRPr="00BD5402" w:rsidR="00BD5402">
        <w:rPr>
          <w:noProof/>
        </w:rPr>
        <w:t>10</w:t>
      </w:r>
      <w:r w:rsidRPr="00BD5402">
        <w:fldChar w:fldCharType="end"/>
      </w:r>
      <w:r w:rsidRPr="00BD5402">
        <w:t xml:space="preserve"> ci</w:t>
      </w:r>
      <w:r w:rsidRPr="00BD5402">
        <w:noBreakHyphen/>
        <w:t>dessous) en raison des propos litigieux prononcés lors de la manifestation du 29 mars 2014. L</w:t>
      </w:r>
      <w:r w:rsidRPr="00BD5402" w:rsidR="00BD5402">
        <w:t>’</w:t>
      </w:r>
      <w:r w:rsidRPr="00BD5402">
        <w:t>affaire pénale à son encontre fut transmise pour jugement au juge de paix de la circonscription judiciaire n</w:t>
      </w:r>
      <w:r w:rsidRPr="00BD5402">
        <w:rPr>
          <w:vertAlign w:val="superscript"/>
        </w:rPr>
        <w:t>o</w:t>
      </w:r>
      <w:r w:rsidRPr="00BD5402">
        <w:t> 12 de la ville de Yochkar-Ola (« le juge de paix »).</w:t>
      </w:r>
    </w:p>
    <w:p w:rsidRPr="00BD5402" w:rsidR="00001CC5" w:rsidP="00BD5402" w:rsidRDefault="00001CC5" w14:paraId="4EBA29EC" w14:textId="4945CF72">
      <w:pPr>
        <w:pStyle w:val="JuPara"/>
      </w:pPr>
      <w:r w:rsidRPr="00BD5402">
        <w:fldChar w:fldCharType="begin"/>
      </w:r>
      <w:r w:rsidRPr="00BD5402">
        <w:instrText xml:space="preserve"> SEQ level0 \*arabic </w:instrText>
      </w:r>
      <w:r w:rsidRPr="00BD5402">
        <w:fldChar w:fldCharType="separate"/>
      </w:r>
      <w:r w:rsidRPr="00BD5402" w:rsidR="00BD5402">
        <w:rPr>
          <w:noProof/>
        </w:rPr>
        <w:t>6</w:t>
      </w:r>
      <w:r w:rsidRPr="00BD5402">
        <w:fldChar w:fldCharType="end"/>
      </w:r>
      <w:r w:rsidRPr="00BD5402">
        <w:t>.  Par un jugement du 26 novembre 2014, le juge de paix reconnut le requérant coupable de diffamation et le condamna à une amende de 20 000 roubles russes (RUB) ainsi qu</w:t>
      </w:r>
      <w:r w:rsidRPr="00BD5402" w:rsidR="00BD5402">
        <w:t>’</w:t>
      </w:r>
      <w:r w:rsidRPr="00BD5402">
        <w:t>à 7 350 RUB de frais et dépens. Tenant compte du montant de la retraite perçue par le requérant, le juge de paix échelonna le paiement de l</w:t>
      </w:r>
      <w:r w:rsidRPr="00BD5402" w:rsidR="00BD5402">
        <w:t>’</w:t>
      </w:r>
      <w:r w:rsidRPr="00BD5402">
        <w:t>amende à raison de 2 000 RUB par mois. Pour conclure à la culpabilité du requérant, il s</w:t>
      </w:r>
      <w:r w:rsidRPr="00BD5402" w:rsidR="00BD5402">
        <w:t>’</w:t>
      </w:r>
      <w:r w:rsidRPr="00BD5402">
        <w:t>appuya principalement sur les éléments suivants :</w:t>
      </w:r>
    </w:p>
    <w:p w:rsidRPr="00BD5402" w:rsidR="00001CC5" w:rsidP="00BD5402" w:rsidRDefault="00001CC5" w14:paraId="56E71049" w14:textId="6C37C512">
      <w:pPr>
        <w:pStyle w:val="JuPara"/>
      </w:pPr>
      <w:proofErr w:type="gramStart"/>
      <w:r w:rsidRPr="00BD5402">
        <w:rPr>
          <w:rFonts w:cstheme="minorHAnsi"/>
        </w:rPr>
        <w:t>‒</w:t>
      </w:r>
      <w:r w:rsidRPr="00BD5402">
        <w:t>  l</w:t>
      </w:r>
      <w:r w:rsidRPr="00BD5402" w:rsidR="00BD5402">
        <w:t>’</w:t>
      </w:r>
      <w:r w:rsidRPr="00BD5402">
        <w:t>enregistrement</w:t>
      </w:r>
      <w:proofErr w:type="gramEnd"/>
      <w:r w:rsidRPr="00BD5402">
        <w:t xml:space="preserve"> vidéo du discours du requérant tenu lors de la manifestation 29 mars 2014 ;</w:t>
      </w:r>
    </w:p>
    <w:p w:rsidRPr="00BD5402" w:rsidR="00001CC5" w:rsidP="00BD5402" w:rsidRDefault="00001CC5" w14:paraId="79689A48" w14:textId="77777777">
      <w:pPr>
        <w:pStyle w:val="JuPara"/>
      </w:pPr>
      <w:proofErr w:type="gramStart"/>
      <w:r w:rsidRPr="00BD5402">
        <w:rPr>
          <w:rFonts w:cstheme="minorHAnsi"/>
        </w:rPr>
        <w:t>‒</w:t>
      </w:r>
      <w:r w:rsidRPr="00BD5402">
        <w:t>  les</w:t>
      </w:r>
      <w:proofErr w:type="gramEnd"/>
      <w:r w:rsidRPr="00BD5402">
        <w:t xml:space="preserve"> déclarations de M., qui affirmait que la comparaison de ses activités à celles de </w:t>
      </w:r>
      <w:r w:rsidRPr="00BD5402">
        <w:rPr>
          <w:i/>
          <w:iCs/>
        </w:rPr>
        <w:t>smotriashchiy</w:t>
      </w:r>
      <w:r w:rsidRPr="00BD5402">
        <w:t xml:space="preserve"> était attentatoire à son honneur et à sa réputation ;</w:t>
      </w:r>
    </w:p>
    <w:p w:rsidRPr="00BD5402" w:rsidR="00001CC5" w:rsidP="00BD5402" w:rsidRDefault="00001CC5" w14:paraId="3CF3AD39" w14:textId="77777777">
      <w:pPr>
        <w:pStyle w:val="JuPara"/>
      </w:pPr>
      <w:proofErr w:type="gramStart"/>
      <w:r w:rsidRPr="00BD5402">
        <w:rPr>
          <w:rFonts w:cstheme="minorHAnsi"/>
        </w:rPr>
        <w:t>‒</w:t>
      </w:r>
      <w:r w:rsidRPr="00BD5402">
        <w:t>  les</w:t>
      </w:r>
      <w:proofErr w:type="gramEnd"/>
      <w:r w:rsidRPr="00BD5402">
        <w:t xml:space="preserve"> déclarations de quelques témoins présents lors de la manifestation du 29 mars 2014 relatives à son déroulement ;</w:t>
      </w:r>
    </w:p>
    <w:p w:rsidRPr="00BD5402" w:rsidR="00001CC5" w:rsidP="00BD5402" w:rsidRDefault="00001CC5" w14:paraId="6B49414A" w14:textId="6C11E572">
      <w:pPr>
        <w:pStyle w:val="JuPara"/>
      </w:pPr>
      <w:proofErr w:type="gramStart"/>
      <w:r w:rsidRPr="00BD5402">
        <w:rPr>
          <w:rFonts w:cstheme="minorHAnsi"/>
        </w:rPr>
        <w:t>‒</w:t>
      </w:r>
      <w:r w:rsidRPr="00BD5402">
        <w:t>  un</w:t>
      </w:r>
      <w:proofErr w:type="gramEnd"/>
      <w:r w:rsidRPr="00BD5402">
        <w:t xml:space="preserve"> rapport d</w:t>
      </w:r>
      <w:r w:rsidRPr="00BD5402" w:rsidR="00BD5402">
        <w:t>’</w:t>
      </w:r>
      <w:r w:rsidRPr="00BD5402">
        <w:t>expertise linguistique, qui concluait que les propos litigieux du requérant contenaient « une information négative sur le chef de la république [M.] et sur son activité » en raison de l</w:t>
      </w:r>
      <w:r w:rsidRPr="00BD5402" w:rsidR="00BD5402">
        <w:t>’</w:t>
      </w:r>
      <w:r w:rsidRPr="00BD5402">
        <w:t xml:space="preserve">utilisation du mot </w:t>
      </w:r>
      <w:r w:rsidRPr="00BD5402">
        <w:rPr>
          <w:i/>
          <w:iCs/>
        </w:rPr>
        <w:t>smotriashchiy</w:t>
      </w:r>
      <w:r w:rsidRPr="00BD5402">
        <w:t xml:space="preserve"> à l</w:t>
      </w:r>
      <w:r w:rsidRPr="00BD5402" w:rsidR="00BD5402">
        <w:t>’</w:t>
      </w:r>
      <w:r w:rsidRPr="00BD5402">
        <w:t>égard de ce dernier et de la comparaison de son activité à celle des représentants des milieux criminels.</w:t>
      </w:r>
    </w:p>
    <w:bookmarkStart w:name="jug261114" w:id="5"/>
    <w:p w:rsidRPr="00BD5402" w:rsidR="00001CC5" w:rsidP="00BD5402" w:rsidRDefault="00001CC5" w14:paraId="745AAF10" w14:textId="532B6A5D">
      <w:pPr>
        <w:pStyle w:val="JuPara"/>
      </w:pPr>
      <w:r w:rsidRPr="00BD5402">
        <w:fldChar w:fldCharType="begin"/>
      </w:r>
      <w:r w:rsidRPr="00BD5402">
        <w:instrText xml:space="preserve"> SEQ level0 \*arabic </w:instrText>
      </w:r>
      <w:r w:rsidRPr="00BD5402">
        <w:fldChar w:fldCharType="separate"/>
      </w:r>
      <w:r w:rsidRPr="00BD5402" w:rsidR="00BD5402">
        <w:rPr>
          <w:noProof/>
        </w:rPr>
        <w:t>7</w:t>
      </w:r>
      <w:r w:rsidRPr="00BD5402">
        <w:fldChar w:fldCharType="end"/>
      </w:r>
      <w:bookmarkEnd w:id="5"/>
      <w:r w:rsidRPr="00BD5402">
        <w:t>.  Dans son jugement du 26 novembre 2014, le juge de paix se prononça entre autres comme suit :</w:t>
      </w:r>
    </w:p>
    <w:p w:rsidRPr="00BD5402" w:rsidR="00001CC5" w:rsidP="00BD5402" w:rsidRDefault="00001CC5" w14:paraId="55FAEA54" w14:textId="78BC3F15">
      <w:pPr>
        <w:pStyle w:val="JuQuot"/>
      </w:pPr>
      <w:r w:rsidRPr="00BD5402">
        <w:t>« Après avoir analysé le discours que E. N. Shevelev a tenu pendant la manifestation, le tribunal conclut que, en exprimant son opinion subjective à l</w:t>
      </w:r>
      <w:r w:rsidRPr="00BD5402" w:rsidR="00BD5402">
        <w:t>’</w:t>
      </w:r>
      <w:r w:rsidRPr="00BD5402">
        <w:t>égard de la victime, [une opinion qui] correspondait prétendument à la réalité, E. N. Shevelev a passé outre les limites de son droit d</w:t>
      </w:r>
      <w:r w:rsidRPr="00BD5402" w:rsidR="00BD5402">
        <w:t>’</w:t>
      </w:r>
      <w:r w:rsidRPr="00BD5402">
        <w:t>exprimer son opinion subjective. Les renseignements disséminés par l</w:t>
      </w:r>
      <w:r w:rsidRPr="00BD5402" w:rsidR="00BD5402">
        <w:t>’</w:t>
      </w:r>
      <w:r w:rsidRPr="00BD5402">
        <w:t>accusé sont sciemment mensongers, puisque E. N. Shevelev avait confirmé qu</w:t>
      </w:r>
      <w:r w:rsidRPr="00BD5402" w:rsidR="00BD5402">
        <w:t>’</w:t>
      </w:r>
      <w:r w:rsidRPr="00BD5402">
        <w:t>il n</w:t>
      </w:r>
      <w:r w:rsidRPr="00BD5402" w:rsidR="00BD5402">
        <w:t>’</w:t>
      </w:r>
      <w:r w:rsidRPr="00BD5402">
        <w:t>était pas au courant de faits [quelconques] relatifs au comportement illicite de [M.][ ;] ces renseignements sont clairement injurieux pour la victime, portent atteinte à son honneur, à sa dignité et à sa réputation, et contiennent une affirmation d</w:t>
      </w:r>
      <w:r w:rsidRPr="00BD5402" w:rsidR="00BD5402">
        <w:t>’</w:t>
      </w:r>
      <w:r w:rsidRPr="00BD5402">
        <w:t>un comportement indigne de sa part, sortant du cadre [de comportement] généralement accepté, dans l</w:t>
      </w:r>
      <w:r w:rsidRPr="00BD5402" w:rsidR="00BD5402">
        <w:t>’</w:t>
      </w:r>
      <w:r w:rsidRPr="00BD5402">
        <w:t>exercice de son activité professionnelle ».</w:t>
      </w:r>
    </w:p>
    <w:p w:rsidRPr="00BD5402" w:rsidR="00001CC5" w:rsidP="00BD5402" w:rsidRDefault="00001CC5" w14:paraId="15FC798D" w14:textId="759DB28D">
      <w:pPr>
        <w:pStyle w:val="JuPara"/>
      </w:pPr>
      <w:r w:rsidRPr="00BD5402">
        <w:fldChar w:fldCharType="begin"/>
      </w:r>
      <w:r w:rsidRPr="00BD5402">
        <w:instrText xml:space="preserve"> SEQ level0 \*arabic </w:instrText>
      </w:r>
      <w:r w:rsidRPr="00BD5402">
        <w:fldChar w:fldCharType="separate"/>
      </w:r>
      <w:r w:rsidRPr="00BD5402" w:rsidR="00BD5402">
        <w:rPr>
          <w:noProof/>
        </w:rPr>
        <w:t>8</w:t>
      </w:r>
      <w:r w:rsidRPr="00BD5402">
        <w:fldChar w:fldCharType="end"/>
      </w:r>
      <w:r w:rsidRPr="00BD5402">
        <w:t>.  Par un arrêt du 4 février 2015, le tribunal de la ville de Yochkar-Ola confirma en appel le jugement du 26 novembre 2014, faisant siennes les conclusions de la juridiction de première instance.</w:t>
      </w:r>
    </w:p>
    <w:bookmarkStart w:name="cass" w:id="6"/>
    <w:p w:rsidRPr="00BD5402" w:rsidR="00001CC5" w:rsidP="00BD5402" w:rsidRDefault="00001CC5" w14:paraId="11CFD251" w14:textId="75BDD059">
      <w:pPr>
        <w:pStyle w:val="JuPara"/>
      </w:pPr>
      <w:r w:rsidRPr="00BD5402">
        <w:fldChar w:fldCharType="begin"/>
      </w:r>
      <w:r w:rsidRPr="00BD5402">
        <w:instrText xml:space="preserve"> SEQ level0 \*arabic </w:instrText>
      </w:r>
      <w:r w:rsidRPr="00BD5402">
        <w:fldChar w:fldCharType="separate"/>
      </w:r>
      <w:r w:rsidRPr="00BD5402" w:rsidR="00BD5402">
        <w:rPr>
          <w:noProof/>
        </w:rPr>
        <w:t>9</w:t>
      </w:r>
      <w:r w:rsidRPr="00BD5402">
        <w:fldChar w:fldCharType="end"/>
      </w:r>
      <w:bookmarkEnd w:id="6"/>
      <w:r w:rsidRPr="00BD5402">
        <w:t>.  Le requérant se pourvut en cassation contre cet arrêt. Par une décision du 27 mars 2015, la cour suprême de la république de Mariy-El, statuant en formation de juge unique, refusa de transmettre le pourvoi à son présidium pour examen.</w:t>
      </w:r>
    </w:p>
    <w:p w:rsidRPr="00BD5402" w:rsidR="00001CC5" w:rsidP="00BD5402" w:rsidRDefault="00001CC5" w14:paraId="6CC43AD3" w14:textId="77777777">
      <w:pPr>
        <w:pStyle w:val="JuHHead"/>
      </w:pPr>
      <w:bookmarkStart w:name="_Hlk36127227" w:id="7"/>
      <w:r w:rsidRPr="00BD5402">
        <w:t>LE CADRE JURIDIQUE INTERNE PERTINENT</w:t>
      </w:r>
    </w:p>
    <w:bookmarkStart w:name="CP128" w:id="8"/>
    <w:bookmarkEnd w:id="7"/>
    <w:p w:rsidRPr="00BD5402" w:rsidR="00001CC5" w:rsidP="00BD5402" w:rsidRDefault="00001CC5" w14:paraId="3F11A2D8" w14:textId="669173F9">
      <w:pPr>
        <w:pStyle w:val="JuPara"/>
      </w:pPr>
      <w:r w:rsidRPr="00BD5402">
        <w:fldChar w:fldCharType="begin"/>
      </w:r>
      <w:r w:rsidRPr="00BD5402">
        <w:instrText xml:space="preserve"> SEQ level0 \*arabic </w:instrText>
      </w:r>
      <w:r w:rsidRPr="00BD5402">
        <w:fldChar w:fldCharType="separate"/>
      </w:r>
      <w:r w:rsidRPr="00BD5402" w:rsidR="00BD5402">
        <w:rPr>
          <w:noProof/>
        </w:rPr>
        <w:t>10</w:t>
      </w:r>
      <w:r w:rsidRPr="00BD5402">
        <w:fldChar w:fldCharType="end"/>
      </w:r>
      <w:bookmarkEnd w:id="8"/>
      <w:r w:rsidRPr="00BD5402">
        <w:t>.  </w:t>
      </w:r>
      <w:bookmarkStart w:name="_Hlk36127236" w:id="9"/>
      <w:r w:rsidRPr="00BD5402">
        <w:t>L</w:t>
      </w:r>
      <w:r w:rsidRPr="00BD5402" w:rsidR="00BD5402">
        <w:t>’</w:t>
      </w:r>
      <w:r w:rsidRPr="00BD5402">
        <w:t>article 128.1 du code pénal est ainsi libellé en ses parties pertinentes en l</w:t>
      </w:r>
      <w:r w:rsidRPr="00BD5402" w:rsidR="00BD5402">
        <w:t>’</w:t>
      </w:r>
      <w:r w:rsidRPr="00BD5402">
        <w:t>espèce :</w:t>
      </w:r>
    </w:p>
    <w:p w:rsidRPr="00BD5402" w:rsidR="00001CC5" w:rsidP="00BD5402" w:rsidRDefault="00001CC5" w14:paraId="22A10B6B" w14:textId="55AF502A">
      <w:pPr>
        <w:pStyle w:val="JuQuot"/>
      </w:pPr>
      <w:r w:rsidRPr="00BD5402">
        <w:t>« 1.  La diffamation [</w:t>
      </w:r>
      <w:r w:rsidRPr="00BD5402">
        <w:rPr>
          <w:i/>
          <w:lang w:val="ru-RU"/>
        </w:rPr>
        <w:t>клевета</w:t>
      </w:r>
      <w:r w:rsidRPr="00BD5402">
        <w:t>], c</w:t>
      </w:r>
      <w:r w:rsidRPr="00BD5402" w:rsidR="00BD5402">
        <w:t>’</w:t>
      </w:r>
      <w:r w:rsidRPr="00BD5402">
        <w:t>est-à-dire la diffusion de renseignements que l</w:t>
      </w:r>
      <w:r w:rsidRPr="00BD5402" w:rsidR="00BD5402">
        <w:t>’</w:t>
      </w:r>
      <w:r w:rsidRPr="00BD5402">
        <w:t>on sait faux [</w:t>
      </w:r>
      <w:r w:rsidRPr="00BD5402">
        <w:rPr>
          <w:i/>
          <w:lang w:val="ru-RU"/>
        </w:rPr>
        <w:t>заведомо</w:t>
      </w:r>
      <w:r w:rsidRPr="00BD5402">
        <w:rPr>
          <w:i/>
        </w:rPr>
        <w:t xml:space="preserve"> </w:t>
      </w:r>
      <w:r w:rsidRPr="00BD5402">
        <w:rPr>
          <w:i/>
          <w:lang w:val="ru-RU"/>
        </w:rPr>
        <w:t>ложных</w:t>
      </w:r>
      <w:r w:rsidRPr="00BD5402">
        <w:rPr>
          <w:i/>
        </w:rPr>
        <w:t xml:space="preserve"> </w:t>
      </w:r>
      <w:r w:rsidRPr="00BD5402">
        <w:rPr>
          <w:i/>
          <w:lang w:val="ru-RU"/>
        </w:rPr>
        <w:t>сведений</w:t>
      </w:r>
      <w:r w:rsidRPr="00BD5402">
        <w:t>], qui portent atteinte à l</w:t>
      </w:r>
      <w:r w:rsidRPr="00BD5402" w:rsidR="00BD5402">
        <w:t>’</w:t>
      </w:r>
      <w:r w:rsidRPr="00BD5402">
        <w:t>honneur et à la dignité d</w:t>
      </w:r>
      <w:r w:rsidRPr="00BD5402" w:rsidR="00BD5402">
        <w:t>’</w:t>
      </w:r>
      <w:r w:rsidRPr="00BD5402">
        <w:t>une personne ou à sa réputation, est passible de (...)</w:t>
      </w:r>
    </w:p>
    <w:p w:rsidRPr="00BD5402" w:rsidR="00001CC5" w:rsidP="00BD5402" w:rsidRDefault="00001CC5" w14:paraId="173FBE46" w14:textId="1823BD82">
      <w:pPr>
        <w:pStyle w:val="JuQuot"/>
      </w:pPr>
      <w:r w:rsidRPr="00BD5402">
        <w:t>2.  Une diffamation proférée dans un discours public, une œuvre publique ou dans les médias est passible d</w:t>
      </w:r>
      <w:r w:rsidRPr="00BD5402" w:rsidR="00BD5402">
        <w:t>’</w:t>
      </w:r>
      <w:r w:rsidRPr="00BD5402">
        <w:t>une amende d</w:t>
      </w:r>
      <w:r w:rsidRPr="00BD5402" w:rsidR="00BD5402">
        <w:t>’</w:t>
      </w:r>
      <w:r w:rsidRPr="00BD5402">
        <w:t>un montant maximal d</w:t>
      </w:r>
      <w:r w:rsidRPr="00BD5402" w:rsidR="00BD5402">
        <w:t>’</w:t>
      </w:r>
      <w:r w:rsidRPr="00BD5402">
        <w:t>un million de roubles ou d</w:t>
      </w:r>
      <w:r w:rsidRPr="00BD5402" w:rsidR="00BD5402">
        <w:t>’</w:t>
      </w:r>
      <w:r w:rsidRPr="00BD5402">
        <w:t>un montant allant jusqu</w:t>
      </w:r>
      <w:r w:rsidRPr="00BD5402" w:rsidR="00BD5402">
        <w:t>’</w:t>
      </w:r>
      <w:r w:rsidRPr="00BD5402">
        <w:t>à un an de salaire ou de tout autre revenu de la personne condamnée, ou de travaux d</w:t>
      </w:r>
      <w:r w:rsidRPr="00BD5402" w:rsidR="00BD5402">
        <w:t>’</w:t>
      </w:r>
      <w:r w:rsidRPr="00BD5402">
        <w:t>intérêt général d</w:t>
      </w:r>
      <w:r w:rsidRPr="00BD5402" w:rsidR="00BD5402">
        <w:t>’</w:t>
      </w:r>
      <w:r w:rsidRPr="00BD5402">
        <w:t>une durée pouvant aller jusqu</w:t>
      </w:r>
      <w:r w:rsidRPr="00BD5402" w:rsidR="00BD5402">
        <w:t>’</w:t>
      </w:r>
      <w:r w:rsidRPr="00BD5402">
        <w:t>à deux cent quarante heures. »</w:t>
      </w:r>
    </w:p>
    <w:p w:rsidRPr="00BD5402" w:rsidR="00001CC5" w:rsidP="00BD5402" w:rsidRDefault="00001CC5" w14:paraId="037331F7" w14:textId="77777777">
      <w:pPr>
        <w:pStyle w:val="JuHHead"/>
      </w:pPr>
      <w:bookmarkStart w:name="_Hlk36127250" w:id="10"/>
      <w:bookmarkEnd w:id="9"/>
      <w:r w:rsidRPr="00BD5402">
        <w:rPr>
          <w:caps w:val="0"/>
        </w:rPr>
        <w:t>EN DROIT</w:t>
      </w:r>
    </w:p>
    <w:p w:rsidRPr="00BD5402" w:rsidR="00001CC5" w:rsidP="00BD5402" w:rsidRDefault="00001CC5" w14:paraId="75507C7C" w14:textId="15399218">
      <w:pPr>
        <w:pStyle w:val="JuHIRoman"/>
        <w:ind w:left="792" w:hanging="432"/>
      </w:pPr>
      <w:bookmarkStart w:name="_Hlk36127770" w:id="11"/>
      <w:bookmarkEnd w:id="10"/>
      <w:r w:rsidRPr="00BD5402">
        <w:t>SUR LA VIOLATION ALLÉGUÉE DE L</w:t>
      </w:r>
      <w:r w:rsidRPr="00BD5402" w:rsidR="00BD5402">
        <w:t>’</w:t>
      </w:r>
      <w:r w:rsidRPr="00BD5402">
        <w:t>ARTICLE 10 DE LA CONVENTION</w:t>
      </w:r>
      <w:bookmarkEnd w:id="11"/>
    </w:p>
    <w:p w:rsidRPr="00BD5402" w:rsidR="00001CC5" w:rsidP="00BD5402" w:rsidRDefault="00001CC5" w14:paraId="2BC4A43F" w14:textId="67B217EF">
      <w:pPr>
        <w:pStyle w:val="JuPara"/>
      </w:pPr>
      <w:r w:rsidRPr="00BD5402">
        <w:fldChar w:fldCharType="begin"/>
      </w:r>
      <w:r w:rsidRPr="00BD5402">
        <w:instrText xml:space="preserve"> SEQ level0 \*arabic </w:instrText>
      </w:r>
      <w:r w:rsidRPr="00BD5402">
        <w:fldChar w:fldCharType="separate"/>
      </w:r>
      <w:r w:rsidRPr="00BD5402" w:rsidR="00BD5402">
        <w:rPr>
          <w:noProof/>
        </w:rPr>
        <w:t>11</w:t>
      </w:r>
      <w:r w:rsidRPr="00BD5402">
        <w:fldChar w:fldCharType="end"/>
      </w:r>
      <w:r w:rsidRPr="00BD5402">
        <w:t>.  Le requérant voit dans la condamnation pénale dont il a fait l</w:t>
      </w:r>
      <w:r w:rsidRPr="00BD5402" w:rsidR="00BD5402">
        <w:t>’</w:t>
      </w:r>
      <w:r w:rsidRPr="00BD5402">
        <w:t>objet une atteinte à son droit à la liberté d</w:t>
      </w:r>
      <w:r w:rsidRPr="00BD5402" w:rsidR="00BD5402">
        <w:t>’</w:t>
      </w:r>
      <w:r w:rsidRPr="00BD5402">
        <w:t>expression. Il invoque l</w:t>
      </w:r>
      <w:r w:rsidRPr="00BD5402" w:rsidR="00BD5402">
        <w:t>’</w:t>
      </w:r>
      <w:r w:rsidRPr="00BD5402">
        <w:t>article 10 de la Convention, qui est ainsi libellé dans ses parties pertinentes en l</w:t>
      </w:r>
      <w:r w:rsidRPr="00BD5402" w:rsidR="00BD5402">
        <w:t>’</w:t>
      </w:r>
      <w:r w:rsidRPr="00BD5402">
        <w:t>espèce :</w:t>
      </w:r>
    </w:p>
    <w:p w:rsidRPr="00BD5402" w:rsidR="00001CC5" w:rsidP="00BD5402" w:rsidRDefault="00001CC5" w14:paraId="31DDE0D3" w14:textId="59F7360D">
      <w:pPr>
        <w:pStyle w:val="JuQuot"/>
      </w:pPr>
      <w:r w:rsidRPr="00BD5402">
        <w:t>« 1.  Toute personne a droit à la liberté d</w:t>
      </w:r>
      <w:r w:rsidRPr="00BD5402" w:rsidR="00BD5402">
        <w:t>’</w:t>
      </w:r>
      <w:r w:rsidRPr="00BD5402">
        <w:t>expression. Ce droit comprend la liberté d</w:t>
      </w:r>
      <w:r w:rsidRPr="00BD5402" w:rsidR="00BD5402">
        <w:t>’</w:t>
      </w:r>
      <w:r w:rsidRPr="00BD5402">
        <w:t>opinion et la liberté de recevoir ou de communiquer des informations ou des idées sans qu</w:t>
      </w:r>
      <w:r w:rsidRPr="00BD5402" w:rsidR="00BD5402">
        <w:t>’</w:t>
      </w:r>
      <w:r w:rsidRPr="00BD5402">
        <w:t>il puisse y avoir ingérence d</w:t>
      </w:r>
      <w:r w:rsidRPr="00BD5402" w:rsidR="00BD5402">
        <w:t>’</w:t>
      </w:r>
      <w:r w:rsidRPr="00BD5402">
        <w:t>autorités publiques (...)</w:t>
      </w:r>
    </w:p>
    <w:p w:rsidRPr="00BD5402" w:rsidR="00001CC5" w:rsidP="00BD5402" w:rsidRDefault="00001CC5" w14:paraId="2806D39F" w14:textId="3D5900E2">
      <w:pPr>
        <w:pStyle w:val="JuQuot"/>
      </w:pPr>
      <w:r w:rsidRPr="00BD5402">
        <w:t>2.  L</w:t>
      </w:r>
      <w:r w:rsidRPr="00BD5402" w:rsidR="00BD5402">
        <w:t>’</w:t>
      </w:r>
      <w:r w:rsidRPr="00BD5402">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BD5402" w:rsidR="00BD5402">
        <w:t>’</w:t>
      </w:r>
      <w:r w:rsidRPr="00BD5402">
        <w:t>intégrité territoriale ou à la sûreté publique, à la défense de l</w:t>
      </w:r>
      <w:r w:rsidRPr="00BD5402" w:rsidR="00BD5402">
        <w:t>’</w:t>
      </w:r>
      <w:r w:rsidRPr="00BD5402">
        <w:t>ordre et à la prévention du crime, à la protection de la santé ou de la morale, à la protection de la réputation ou des droits d</w:t>
      </w:r>
      <w:r w:rsidRPr="00BD5402" w:rsidR="00BD5402">
        <w:t>’</w:t>
      </w:r>
      <w:r w:rsidRPr="00BD5402">
        <w:t>autrui, pour empêcher la divulgation d</w:t>
      </w:r>
      <w:r w:rsidRPr="00BD5402" w:rsidR="00BD5402">
        <w:t>’</w:t>
      </w:r>
      <w:r w:rsidRPr="00BD5402">
        <w:t>informations confidentielles ou pour garantir l</w:t>
      </w:r>
      <w:r w:rsidRPr="00BD5402" w:rsidR="00BD5402">
        <w:t>’</w:t>
      </w:r>
      <w:r w:rsidRPr="00BD5402">
        <w:t>autorité et l</w:t>
      </w:r>
      <w:r w:rsidRPr="00BD5402" w:rsidR="00BD5402">
        <w:t>’</w:t>
      </w:r>
      <w:r w:rsidRPr="00BD5402">
        <w:t>impartialité du pouvoir judiciaire. »</w:t>
      </w:r>
    </w:p>
    <w:p w:rsidRPr="00BD5402" w:rsidR="00001CC5" w:rsidP="00BD5402" w:rsidRDefault="00001CC5" w14:paraId="28F153DA" w14:textId="77777777">
      <w:pPr>
        <w:pStyle w:val="JuHA"/>
      </w:pPr>
      <w:r w:rsidRPr="00BD5402">
        <w:t>Sur la recevabilité</w:t>
      </w:r>
    </w:p>
    <w:p w:rsidRPr="00BD5402" w:rsidR="00001CC5" w:rsidP="00BD5402" w:rsidRDefault="00001CC5" w14:paraId="4D2AAAE9" w14:textId="5C7DD0B6">
      <w:pPr>
        <w:pStyle w:val="JuPara"/>
      </w:pPr>
      <w:r w:rsidRPr="00BD5402">
        <w:fldChar w:fldCharType="begin"/>
      </w:r>
      <w:r w:rsidRPr="00BD5402">
        <w:instrText xml:space="preserve"> SEQ level0 \*arabic </w:instrText>
      </w:r>
      <w:r w:rsidRPr="00BD5402">
        <w:fldChar w:fldCharType="separate"/>
      </w:r>
      <w:r w:rsidRPr="00BD5402" w:rsidR="00BD5402">
        <w:rPr>
          <w:noProof/>
        </w:rPr>
        <w:t>12</w:t>
      </w:r>
      <w:r w:rsidRPr="00BD5402">
        <w:fldChar w:fldCharType="end"/>
      </w:r>
      <w:r w:rsidRPr="00BD5402">
        <w:t xml:space="preserve">.  La Cour note que le requérant a saisi la Cour dans les six mois après la décision rendue par la juridiction de cassation le 27 mars 2015 (paragraphe </w:t>
      </w:r>
      <w:r w:rsidRPr="00BD5402">
        <w:fldChar w:fldCharType="begin"/>
      </w:r>
      <w:r w:rsidRPr="00BD5402">
        <w:instrText xml:space="preserve"> REF cass \h  \* MERGEFORMAT </w:instrText>
      </w:r>
      <w:r w:rsidRPr="00BD5402">
        <w:fldChar w:fldCharType="separate"/>
      </w:r>
      <w:r w:rsidRPr="00BD5402" w:rsidR="00BD5402">
        <w:t>9</w:t>
      </w:r>
      <w:r w:rsidRPr="00BD5402">
        <w:fldChar w:fldCharType="end"/>
      </w:r>
      <w:r w:rsidRPr="00BD5402">
        <w:t xml:space="preserve"> ci</w:t>
      </w:r>
      <w:r w:rsidRPr="00BD5402">
        <w:noBreakHyphen/>
        <w:t>dessus). Elle rappelle avoir trouvé que la procédure de cassation devant les juridictions pénales telle qu</w:t>
      </w:r>
      <w:r w:rsidRPr="00BD5402" w:rsidR="00BD5402">
        <w:t>’</w:t>
      </w:r>
      <w:r w:rsidRPr="00BD5402">
        <w:t xml:space="preserve">elle existait après le 31 décembre 2014 </w:t>
      </w:r>
      <w:bookmarkStart w:name="_Hlk63086895" w:id="12"/>
      <w:r w:rsidRPr="00BD5402">
        <w:t>ne constituait pas une voie de recours à épuiser</w:t>
      </w:r>
      <w:bookmarkEnd w:id="12"/>
      <w:r w:rsidRPr="00BD5402">
        <w:t xml:space="preserve"> (</w:t>
      </w:r>
      <w:r w:rsidRPr="00BD5402">
        <w:rPr>
          <w:i/>
          <w:iCs/>
        </w:rPr>
        <w:t xml:space="preserve">Kashlan c. Russie </w:t>
      </w:r>
      <w:r w:rsidRPr="00BD5402">
        <w:t>(déc.), n</w:t>
      </w:r>
      <w:r w:rsidRPr="00BD5402">
        <w:rPr>
          <w:vertAlign w:val="superscript"/>
        </w:rPr>
        <w:t>o </w:t>
      </w:r>
      <w:r w:rsidRPr="00BD5402">
        <w:t>60189/15, § 29, 19 avril 2016). La Cour estime toutefois qu</w:t>
      </w:r>
      <w:r w:rsidRPr="00BD5402" w:rsidR="00BD5402">
        <w:t>’</w:t>
      </w:r>
      <w:r w:rsidRPr="00BD5402">
        <w:t>il ne peut être reproché au requérant d</w:t>
      </w:r>
      <w:r w:rsidRPr="00BD5402" w:rsidR="00BD5402">
        <w:t>’</w:t>
      </w:r>
      <w:r w:rsidRPr="00BD5402">
        <w:t>avoir fait usage d</w:t>
      </w:r>
      <w:r w:rsidRPr="00BD5402" w:rsidR="00BD5402">
        <w:t>’</w:t>
      </w:r>
      <w:r w:rsidRPr="00BD5402">
        <w:t>un recours à une époque où elle ne s</w:t>
      </w:r>
      <w:r w:rsidRPr="00BD5402" w:rsidR="00BD5402">
        <w:t>’</w:t>
      </w:r>
      <w:r w:rsidRPr="00BD5402">
        <w:t>était pas encore prononcée sur la compatibilité de celui-ci avec l</w:t>
      </w:r>
      <w:r w:rsidRPr="00BD5402" w:rsidR="00BD5402">
        <w:t>’</w:t>
      </w:r>
      <w:r w:rsidRPr="00BD5402">
        <w:t>article 35 de la Convention (</w:t>
      </w:r>
      <w:r w:rsidRPr="00BD5402">
        <w:rPr>
          <w:i/>
        </w:rPr>
        <w:t>Kruglov et autres c. Russie</w:t>
      </w:r>
      <w:r w:rsidRPr="00BD5402">
        <w:t>, n</w:t>
      </w:r>
      <w:r w:rsidRPr="00BD5402">
        <w:rPr>
          <w:vertAlign w:val="superscript"/>
        </w:rPr>
        <w:t>os</w:t>
      </w:r>
      <w:r w:rsidRPr="00BD5402">
        <w:t xml:space="preserve"> 11264/04 et 15 autres, § 119, 4 février 2020). Par conséquent, elle considère que, ayant introduit sa requête le 2 septembre 2015, le requérant a respecté le délai de </w:t>
      </w:r>
      <w:proofErr w:type="gramStart"/>
      <w:r w:rsidRPr="00BD5402">
        <w:t>six mois prévu</w:t>
      </w:r>
      <w:proofErr w:type="gramEnd"/>
      <w:r w:rsidRPr="00BD5402">
        <w:t xml:space="preserve"> par cette disposition.</w:t>
      </w:r>
    </w:p>
    <w:p w:rsidRPr="00BD5402" w:rsidR="00001CC5" w:rsidP="00BD5402" w:rsidRDefault="00001CC5" w14:paraId="78EB88E1" w14:textId="1E86D1D2">
      <w:pPr>
        <w:pStyle w:val="JuPara"/>
      </w:pPr>
      <w:r w:rsidRPr="00BD5402">
        <w:fldChar w:fldCharType="begin"/>
      </w:r>
      <w:r w:rsidRPr="00BD5402">
        <w:instrText xml:space="preserve"> SEQ level0 \*arabic </w:instrText>
      </w:r>
      <w:r w:rsidRPr="00BD5402">
        <w:fldChar w:fldCharType="separate"/>
      </w:r>
      <w:r w:rsidRPr="00BD5402" w:rsidR="00BD5402">
        <w:rPr>
          <w:noProof/>
        </w:rPr>
        <w:t>13</w:t>
      </w:r>
      <w:r w:rsidRPr="00BD5402">
        <w:fldChar w:fldCharType="end"/>
      </w:r>
      <w:r w:rsidRPr="00BD5402">
        <w:t>.  Constatant par ailleurs que la requête n</w:t>
      </w:r>
      <w:r w:rsidRPr="00BD5402" w:rsidR="00BD5402">
        <w:t>’</w:t>
      </w:r>
      <w:r w:rsidRPr="00BD5402">
        <w:t>est pas manifestement mal fondée ni irrecevable pour un autre motif visé à l</w:t>
      </w:r>
      <w:r w:rsidRPr="00BD5402" w:rsidR="00BD5402">
        <w:t>’</w:t>
      </w:r>
      <w:r w:rsidRPr="00BD5402">
        <w:t>article 35 de la Convention, la Cour la déclare recevable.</w:t>
      </w:r>
    </w:p>
    <w:p w:rsidRPr="00BD5402" w:rsidR="00001CC5" w:rsidP="00BD5402" w:rsidRDefault="00001CC5" w14:paraId="7EEF1094" w14:textId="77777777">
      <w:pPr>
        <w:pStyle w:val="JuHA"/>
      </w:pPr>
      <w:r w:rsidRPr="00BD5402">
        <w:t>Sur le fond</w:t>
      </w:r>
    </w:p>
    <w:p w:rsidRPr="00BD5402" w:rsidR="00001CC5" w:rsidP="00BD5402" w:rsidRDefault="00001CC5" w14:paraId="345BECE3" w14:textId="77777777">
      <w:pPr>
        <w:pStyle w:val="JuH1"/>
      </w:pPr>
      <w:r w:rsidRPr="00BD5402">
        <w:t>Thèses des parties</w:t>
      </w:r>
    </w:p>
    <w:p w:rsidRPr="00BD5402" w:rsidR="00001CC5" w:rsidP="00BD5402" w:rsidRDefault="00001CC5" w14:paraId="459B8254" w14:textId="1DE85D02">
      <w:pPr>
        <w:pStyle w:val="JuPara"/>
      </w:pPr>
      <w:r w:rsidRPr="00BD5402">
        <w:fldChar w:fldCharType="begin"/>
      </w:r>
      <w:r w:rsidRPr="00BD5402">
        <w:instrText xml:space="preserve"> SEQ level0 \*arabic </w:instrText>
      </w:r>
      <w:r w:rsidRPr="00BD5402">
        <w:fldChar w:fldCharType="separate"/>
      </w:r>
      <w:r w:rsidRPr="00BD5402" w:rsidR="00BD5402">
        <w:rPr>
          <w:noProof/>
        </w:rPr>
        <w:t>14</w:t>
      </w:r>
      <w:r w:rsidRPr="00BD5402">
        <w:fldChar w:fldCharType="end"/>
      </w:r>
      <w:r w:rsidRPr="00BD5402">
        <w:t>.  Le requérant soutient que sa condamnation au pénal pour diffamation a constitué une ingérence disproportionnée dans l</w:t>
      </w:r>
      <w:r w:rsidRPr="00BD5402" w:rsidR="00BD5402">
        <w:t>’</w:t>
      </w:r>
      <w:r w:rsidRPr="00BD5402">
        <w:t>exercice de son droit à la liberté d</w:t>
      </w:r>
      <w:r w:rsidRPr="00BD5402" w:rsidR="00BD5402">
        <w:t>’</w:t>
      </w:r>
      <w:r w:rsidRPr="00BD5402">
        <w:t>expression. Selon lui, son discours concernait un sujet d</w:t>
      </w:r>
      <w:r w:rsidRPr="00BD5402" w:rsidR="00BD5402">
        <w:t>’</w:t>
      </w:r>
      <w:r w:rsidRPr="00BD5402">
        <w:t>intérêt général, à savoir l</w:t>
      </w:r>
      <w:r w:rsidRPr="00BD5402" w:rsidR="00BD5402">
        <w:t>’</w:t>
      </w:r>
      <w:r w:rsidRPr="00BD5402">
        <w:t>état des routes dans la république de Mariy-El. Il soutient qu</w:t>
      </w:r>
      <w:r w:rsidRPr="00BD5402" w:rsidR="00BD5402">
        <w:t>’</w:t>
      </w:r>
      <w:r w:rsidRPr="00BD5402">
        <w:t>il n</w:t>
      </w:r>
      <w:r w:rsidRPr="00BD5402" w:rsidR="00BD5402">
        <w:t>’</w:t>
      </w:r>
      <w:r w:rsidRPr="00BD5402">
        <w:t>a jamais affirmé que M. avait commis des infractions pénales. Le requérant avance que le caractère brusque de ses expressions n</w:t>
      </w:r>
      <w:r w:rsidRPr="00BD5402" w:rsidR="00BD5402">
        <w:t>’</w:t>
      </w:r>
      <w:r w:rsidRPr="00BD5402">
        <w:t>était qu</w:t>
      </w:r>
      <w:r w:rsidRPr="00BD5402" w:rsidR="00BD5402">
        <w:t>’</w:t>
      </w:r>
      <w:r w:rsidRPr="00BD5402">
        <w:t>un moyen stylistique pour attirer l</w:t>
      </w:r>
      <w:r w:rsidRPr="00BD5402" w:rsidR="00BD5402">
        <w:t>’</w:t>
      </w:r>
      <w:r w:rsidRPr="00BD5402">
        <w:t>attention du public. Pour lui, les juridictions nationales n</w:t>
      </w:r>
      <w:r w:rsidRPr="00BD5402" w:rsidR="00BD5402">
        <w:t>’</w:t>
      </w:r>
      <w:r w:rsidRPr="00BD5402">
        <w:t>ont pas effectué une mise en balance de son droit à la liberté d</w:t>
      </w:r>
      <w:r w:rsidRPr="00BD5402" w:rsidR="00BD5402">
        <w:t>’</w:t>
      </w:r>
      <w:r w:rsidRPr="00BD5402">
        <w:t>expression et celui de M. à la protection de sa réputation conformément aux standards de la Cour. Le requérant estime surtout que sa condamnation au pénal et l</w:t>
      </w:r>
      <w:r w:rsidRPr="00BD5402" w:rsidR="00BD5402">
        <w:t>’</w:t>
      </w:r>
      <w:r w:rsidRPr="00BD5402">
        <w:t>infliction d</w:t>
      </w:r>
      <w:r w:rsidRPr="00BD5402" w:rsidR="00BD5402">
        <w:t>’</w:t>
      </w:r>
      <w:r w:rsidRPr="00BD5402">
        <w:t>une amende couplée au remboursement des frais et dépens constituaient une mesure disproportionnée, surtout, eu égard au montant de sa pension mensuelle qui s</w:t>
      </w:r>
      <w:r w:rsidRPr="00BD5402" w:rsidR="00BD5402">
        <w:t>’</w:t>
      </w:r>
      <w:r w:rsidRPr="00BD5402">
        <w:t>élevait à 11 758 RUB à l</w:t>
      </w:r>
      <w:r w:rsidRPr="00BD5402" w:rsidR="00BD5402">
        <w:t>’</w:t>
      </w:r>
      <w:r w:rsidRPr="00BD5402">
        <w:t>époque des faits.</w:t>
      </w:r>
    </w:p>
    <w:p w:rsidRPr="00BD5402" w:rsidR="00001CC5" w:rsidP="00BD5402" w:rsidRDefault="00001CC5" w14:paraId="79E39D64" w14:textId="67E11221">
      <w:pPr>
        <w:pStyle w:val="JuPara"/>
      </w:pPr>
      <w:r w:rsidRPr="00BD5402">
        <w:fldChar w:fldCharType="begin"/>
      </w:r>
      <w:r w:rsidRPr="00BD5402">
        <w:instrText xml:space="preserve"> SEQ level0 \*arabic </w:instrText>
      </w:r>
      <w:r w:rsidRPr="00BD5402">
        <w:fldChar w:fldCharType="separate"/>
      </w:r>
      <w:r w:rsidRPr="00BD5402" w:rsidR="00BD5402">
        <w:rPr>
          <w:noProof/>
        </w:rPr>
        <w:t>15</w:t>
      </w:r>
      <w:r w:rsidRPr="00BD5402">
        <w:fldChar w:fldCharType="end"/>
      </w:r>
      <w:r w:rsidRPr="00BD5402">
        <w:t>.  Le Gouvernement admet que la sanction infligée au requérant à l</w:t>
      </w:r>
      <w:r w:rsidRPr="00BD5402" w:rsidR="00BD5402">
        <w:t>’</w:t>
      </w:r>
      <w:r w:rsidRPr="00BD5402">
        <w:t>issue de la procédure pénale dirigée contre lui a constitué une ingérence dans l</w:t>
      </w:r>
      <w:r w:rsidRPr="00BD5402" w:rsidR="00BD5402">
        <w:t>’</w:t>
      </w:r>
      <w:r w:rsidRPr="00BD5402">
        <w:t>exercice par l</w:t>
      </w:r>
      <w:r w:rsidRPr="00BD5402" w:rsidR="00BD5402">
        <w:t>’</w:t>
      </w:r>
      <w:r w:rsidRPr="00BD5402">
        <w:t>intéressé de son droit à la liberté d</w:t>
      </w:r>
      <w:r w:rsidRPr="00BD5402" w:rsidR="00BD5402">
        <w:t>’</w:t>
      </w:r>
      <w:r w:rsidRPr="00BD5402">
        <w:t>expression. Il estime cependant que cette ingérence était prévue par la loi, qu</w:t>
      </w:r>
      <w:r w:rsidRPr="00BD5402" w:rsidR="00BD5402">
        <w:t>’</w:t>
      </w:r>
      <w:r w:rsidRPr="00BD5402">
        <w:t>elle visait la protection des droits d</w:t>
      </w:r>
      <w:r w:rsidRPr="00BD5402" w:rsidR="00BD5402">
        <w:t>’</w:t>
      </w:r>
      <w:r w:rsidRPr="00BD5402">
        <w:t>autrui, plus précisément la réputation de M., et qu</w:t>
      </w:r>
      <w:r w:rsidRPr="00BD5402" w:rsidR="00BD5402">
        <w:t>’</w:t>
      </w:r>
      <w:r w:rsidRPr="00BD5402">
        <w:t>elle poursuivait donc bien un but légitime reconnu par l</w:t>
      </w:r>
      <w:r w:rsidRPr="00BD5402" w:rsidR="00BD5402">
        <w:t>’</w:t>
      </w:r>
      <w:r w:rsidRPr="00BD5402">
        <w:t>article 10 § 2 de la Convention.</w:t>
      </w:r>
    </w:p>
    <w:p w:rsidRPr="00BD5402" w:rsidR="00001CC5" w:rsidP="00BD5402" w:rsidRDefault="00001CC5" w14:paraId="2C19ED1B" w14:textId="766584D0">
      <w:pPr>
        <w:pStyle w:val="JuPara"/>
      </w:pPr>
      <w:r w:rsidRPr="00BD5402">
        <w:fldChar w:fldCharType="begin"/>
      </w:r>
      <w:r w:rsidRPr="00BD5402">
        <w:instrText xml:space="preserve"> SEQ level0 \*arabic </w:instrText>
      </w:r>
      <w:r w:rsidRPr="00BD5402">
        <w:fldChar w:fldCharType="separate"/>
      </w:r>
      <w:r w:rsidRPr="00BD5402" w:rsidR="00BD5402">
        <w:rPr>
          <w:noProof/>
        </w:rPr>
        <w:t>16</w:t>
      </w:r>
      <w:r w:rsidRPr="00BD5402">
        <w:fldChar w:fldCharType="end"/>
      </w:r>
      <w:r w:rsidRPr="00BD5402">
        <w:t>.  Selon le Gouvernement, les juridictions ont correctement mis en balance le droit du requérant à la liberté d</w:t>
      </w:r>
      <w:r w:rsidRPr="00BD5402" w:rsidR="00BD5402">
        <w:t>’</w:t>
      </w:r>
      <w:r w:rsidRPr="00BD5402">
        <w:t>expression au sens de l</w:t>
      </w:r>
      <w:r w:rsidRPr="00BD5402" w:rsidR="00BD5402">
        <w:t>’</w:t>
      </w:r>
      <w:r w:rsidRPr="00BD5402">
        <w:t>article</w:t>
      </w:r>
      <w:r w:rsidRPr="00BD5402" w:rsidR="002756D0">
        <w:t> </w:t>
      </w:r>
      <w:r w:rsidRPr="00BD5402">
        <w:t>10 de la Convention et le droit de M. au respect de son honneur et de sa réputation découlant de l</w:t>
      </w:r>
      <w:r w:rsidRPr="00BD5402" w:rsidR="00BD5402">
        <w:t>’</w:t>
      </w:r>
      <w:r w:rsidRPr="00BD5402">
        <w:t>article 8 de la Convention.</w:t>
      </w:r>
    </w:p>
    <w:p w:rsidRPr="00BD5402" w:rsidR="00001CC5" w:rsidP="00BD5402" w:rsidRDefault="00001CC5" w14:paraId="79A9EE4F" w14:textId="77777777">
      <w:pPr>
        <w:pStyle w:val="JuH1"/>
      </w:pPr>
      <w:r w:rsidRPr="00BD5402">
        <w:t>Appréciation de la Cour</w:t>
      </w:r>
    </w:p>
    <w:bookmarkStart w:name="_Hlk36127973" w:id="13"/>
    <w:p w:rsidRPr="00BD5402" w:rsidR="00001CC5" w:rsidP="00BD5402" w:rsidRDefault="00001CC5" w14:paraId="0728542C" w14:textId="6E362323">
      <w:pPr>
        <w:pStyle w:val="JuPara"/>
      </w:pPr>
      <w:r w:rsidRPr="00BD5402">
        <w:fldChar w:fldCharType="begin"/>
      </w:r>
      <w:r w:rsidRPr="00BD5402">
        <w:instrText xml:space="preserve"> SEQ level0 \*arabic </w:instrText>
      </w:r>
      <w:r w:rsidRPr="00BD5402">
        <w:fldChar w:fldCharType="separate"/>
      </w:r>
      <w:r w:rsidRPr="00BD5402" w:rsidR="00BD5402">
        <w:rPr>
          <w:noProof/>
        </w:rPr>
        <w:t>17</w:t>
      </w:r>
      <w:r w:rsidRPr="00BD5402">
        <w:fldChar w:fldCharType="end"/>
      </w:r>
      <w:r w:rsidRPr="00BD5402">
        <w:t>.  La Cour renvoie aux principes généraux maintes fois réaffirmés par elle depuis l</w:t>
      </w:r>
      <w:r w:rsidRPr="00BD5402" w:rsidR="00BD5402">
        <w:t>’</w:t>
      </w:r>
      <w:r w:rsidRPr="00BD5402">
        <w:t xml:space="preserve">arrêt </w:t>
      </w:r>
      <w:r w:rsidRPr="00BD5402">
        <w:rPr>
          <w:i/>
          <w:iCs/>
        </w:rPr>
        <w:t>Handyside c. Royaume</w:t>
      </w:r>
      <w:r w:rsidRPr="00BD5402">
        <w:rPr>
          <w:i/>
          <w:iCs/>
        </w:rPr>
        <w:noBreakHyphen/>
        <w:t>Uni</w:t>
      </w:r>
      <w:r w:rsidRPr="00BD5402">
        <w:t xml:space="preserve"> (7 décembre 1976, série A n</w:t>
      </w:r>
      <w:r w:rsidRPr="00BD5402">
        <w:rPr>
          <w:vertAlign w:val="superscript"/>
        </w:rPr>
        <w:t>o</w:t>
      </w:r>
      <w:r w:rsidRPr="00BD5402">
        <w:t xml:space="preserve"> 24) et rappelés récemment dans les affaires </w:t>
      </w:r>
      <w:r w:rsidRPr="00BD5402">
        <w:rPr>
          <w:i/>
          <w:iCs/>
        </w:rPr>
        <w:t xml:space="preserve">Morice c. France </w:t>
      </w:r>
      <w:r w:rsidRPr="00BD5402">
        <w:rPr>
          <w:iCs/>
        </w:rPr>
        <w:t>([GC], n</w:t>
      </w:r>
      <w:r w:rsidRPr="00BD5402">
        <w:rPr>
          <w:iCs/>
          <w:vertAlign w:val="superscript"/>
        </w:rPr>
        <w:t>o</w:t>
      </w:r>
      <w:r w:rsidRPr="00BD5402">
        <w:rPr>
          <w:iCs/>
        </w:rPr>
        <w:t> 29369/10, §§ 124</w:t>
      </w:r>
      <w:r w:rsidRPr="00BD5402">
        <w:rPr>
          <w:iCs/>
        </w:rPr>
        <w:noBreakHyphen/>
        <w:t xml:space="preserve">127, </w:t>
      </w:r>
      <w:r w:rsidRPr="00BD5402">
        <w:t>CEDH 2015</w:t>
      </w:r>
      <w:r w:rsidRPr="00BD5402">
        <w:rPr>
          <w:iCs/>
        </w:rPr>
        <w:t xml:space="preserve">), et </w:t>
      </w:r>
      <w:r w:rsidRPr="00BD5402">
        <w:rPr>
          <w:i/>
          <w:iCs/>
        </w:rPr>
        <w:t>Medžlis Islamske Zajednice Brčko et autres c. Bosnie-Herzégovine</w:t>
      </w:r>
      <w:r w:rsidRPr="00BD5402">
        <w:rPr>
          <w:iCs/>
        </w:rPr>
        <w:t xml:space="preserve"> ([GC], n</w:t>
      </w:r>
      <w:r w:rsidRPr="00BD5402">
        <w:rPr>
          <w:iCs/>
          <w:vertAlign w:val="superscript"/>
        </w:rPr>
        <w:t>o</w:t>
      </w:r>
      <w:r w:rsidRPr="00BD5402">
        <w:rPr>
          <w:iCs/>
        </w:rPr>
        <w:t> 17224/11, §§ 75</w:t>
      </w:r>
      <w:r w:rsidRPr="00BD5402">
        <w:rPr>
          <w:iCs/>
        </w:rPr>
        <w:noBreakHyphen/>
        <w:t>77, 27 juin 2017</w:t>
      </w:r>
      <w:r w:rsidRPr="00BD5402">
        <w:t>).</w:t>
      </w:r>
    </w:p>
    <w:p w:rsidRPr="00BD5402" w:rsidR="00001CC5" w:rsidP="00BD5402" w:rsidRDefault="00001CC5" w14:paraId="3131DF0C" w14:textId="2C354B94">
      <w:pPr>
        <w:pStyle w:val="JuPara"/>
      </w:pPr>
      <w:r w:rsidRPr="00BD5402">
        <w:fldChar w:fldCharType="begin"/>
      </w:r>
      <w:r w:rsidRPr="00BD5402">
        <w:instrText xml:space="preserve"> SEQ level0 \*arabic </w:instrText>
      </w:r>
      <w:r w:rsidRPr="00BD5402">
        <w:fldChar w:fldCharType="separate"/>
      </w:r>
      <w:r w:rsidRPr="00BD5402" w:rsidR="00BD5402">
        <w:rPr>
          <w:noProof/>
        </w:rPr>
        <w:t>18</w:t>
      </w:r>
      <w:r w:rsidRPr="00BD5402">
        <w:fldChar w:fldCharType="end"/>
      </w:r>
      <w:r w:rsidRPr="00BD5402">
        <w:t>.  Elle observe que les parties conviennent que l</w:t>
      </w:r>
      <w:r w:rsidRPr="00BD5402" w:rsidR="00BD5402">
        <w:t>’</w:t>
      </w:r>
      <w:r w:rsidRPr="00BD5402">
        <w:t>infliction d</w:t>
      </w:r>
      <w:r w:rsidRPr="00BD5402" w:rsidR="00BD5402">
        <w:t>’</w:t>
      </w:r>
      <w:r w:rsidRPr="00BD5402">
        <w:t>une sanction pénale au requérant s</w:t>
      </w:r>
      <w:r w:rsidRPr="00BD5402" w:rsidR="00BD5402">
        <w:t>’</w:t>
      </w:r>
      <w:r w:rsidRPr="00BD5402">
        <w:t>analyse en une ingérence dans l</w:t>
      </w:r>
      <w:r w:rsidRPr="00BD5402" w:rsidR="00BD5402">
        <w:t>’</w:t>
      </w:r>
      <w:r w:rsidRPr="00BD5402">
        <w:t>exercice par celui-ci de son droit à la liberté d</w:t>
      </w:r>
      <w:r w:rsidRPr="00BD5402" w:rsidR="00BD5402">
        <w:t>’</w:t>
      </w:r>
      <w:r w:rsidRPr="00BD5402">
        <w:t>expression. Elle note ensuite que cette ingérence était bien prévue par la loi, en l</w:t>
      </w:r>
      <w:r w:rsidRPr="00BD5402" w:rsidR="00BD5402">
        <w:t>’</w:t>
      </w:r>
      <w:r w:rsidRPr="00BD5402">
        <w:t>occurrence par l</w:t>
      </w:r>
      <w:r w:rsidRPr="00BD5402" w:rsidR="00BD5402">
        <w:t>’</w:t>
      </w:r>
      <w:r w:rsidRPr="00BD5402">
        <w:t>article 128.1 du code pénal (paragraphe </w:t>
      </w:r>
      <w:r w:rsidRPr="00BD5402">
        <w:fldChar w:fldCharType="begin"/>
      </w:r>
      <w:r w:rsidRPr="00BD5402">
        <w:instrText xml:space="preserve"> REF CP128 \h  \* MERGEFORMAT </w:instrText>
      </w:r>
      <w:r w:rsidRPr="00BD5402">
        <w:fldChar w:fldCharType="separate"/>
      </w:r>
      <w:r w:rsidRPr="00BD5402" w:rsidR="00BD5402">
        <w:t>10</w:t>
      </w:r>
      <w:r w:rsidRPr="00BD5402">
        <w:fldChar w:fldCharType="end"/>
      </w:r>
      <w:r w:rsidRPr="00BD5402">
        <w:t xml:space="preserve"> ci</w:t>
      </w:r>
      <w:r w:rsidRPr="00BD5402">
        <w:noBreakHyphen/>
        <w:t>dessus). Elle constate que la mesure incriminée avait pour but la protection de la réputation de M., et qu</w:t>
      </w:r>
      <w:r w:rsidRPr="00BD5402" w:rsidR="00BD5402">
        <w:t>’</w:t>
      </w:r>
      <w:r w:rsidRPr="00BD5402">
        <w:t>elle poursuivait bien un intérêt légitime au sens de l</w:t>
      </w:r>
      <w:r w:rsidRPr="00BD5402" w:rsidR="00BD5402">
        <w:t>’</w:t>
      </w:r>
      <w:r w:rsidRPr="00BD5402">
        <w:t>article 10 § 2 de la Convention. Il reste donc à déterminer si cette ingérence était « nécessaire dans une société démocratique ».</w:t>
      </w:r>
    </w:p>
    <w:p w:rsidRPr="00BD5402" w:rsidR="00001CC5" w:rsidP="00BD5402" w:rsidRDefault="00001CC5" w14:paraId="614698A3" w14:textId="422685BD">
      <w:pPr>
        <w:pStyle w:val="JuPara"/>
      </w:pPr>
      <w:r w:rsidRPr="00BD5402">
        <w:fldChar w:fldCharType="begin"/>
      </w:r>
      <w:r w:rsidRPr="00BD5402">
        <w:instrText xml:space="preserve"> SEQ level0 \*arabic </w:instrText>
      </w:r>
      <w:r w:rsidRPr="00BD5402">
        <w:fldChar w:fldCharType="separate"/>
      </w:r>
      <w:r w:rsidRPr="00BD5402" w:rsidR="00BD5402">
        <w:rPr>
          <w:noProof/>
        </w:rPr>
        <w:t>19</w:t>
      </w:r>
      <w:r w:rsidRPr="00BD5402">
        <w:fldChar w:fldCharType="end"/>
      </w:r>
      <w:r w:rsidRPr="00BD5402">
        <w:t>.  La Cour rappelle que, lorsqu</w:t>
      </w:r>
      <w:r w:rsidRPr="00BD5402" w:rsidR="00BD5402">
        <w:t>’</w:t>
      </w:r>
      <w:r w:rsidRPr="00BD5402">
        <w:t>elle examine la question de savoir si une ingérence dans l</w:t>
      </w:r>
      <w:r w:rsidRPr="00BD5402" w:rsidR="00BD5402">
        <w:t>’</w:t>
      </w:r>
      <w:r w:rsidRPr="00BD5402">
        <w:t>exercice du droit à la liberté d</w:t>
      </w:r>
      <w:r w:rsidRPr="00BD5402" w:rsidR="00BD5402">
        <w:t>’</w:t>
      </w:r>
      <w:r w:rsidRPr="00BD5402">
        <w:t>expression était « nécessaire », elle vérifie si les motifs invoqués par les autorités nationales pour la justifier apparaissent « pertinents et suffisants » (</w:t>
      </w:r>
      <w:r w:rsidRPr="00BD5402">
        <w:rPr>
          <w:i/>
        </w:rPr>
        <w:t>Morice</w:t>
      </w:r>
      <w:r w:rsidRPr="00BD5402">
        <w:t>, précité, § 124). Ce faisant, elle doit se convaincre que les autorités nationales ont appliqué des règles conformes aux principes consacrés à l</w:t>
      </w:r>
      <w:r w:rsidRPr="00BD5402" w:rsidR="00BD5402">
        <w:t>’</w:t>
      </w:r>
      <w:r w:rsidRPr="00BD5402">
        <w:t>article 10 de la Convention et ce, de surcroît, en se fondant sur une appréciation acceptable des faits pertinents (</w:t>
      </w:r>
      <w:r w:rsidRPr="00BD5402">
        <w:rPr>
          <w:i/>
        </w:rPr>
        <w:t>ibidem</w:t>
      </w:r>
      <w:r w:rsidRPr="00BD5402">
        <w:t>).</w:t>
      </w:r>
    </w:p>
    <w:bookmarkStart w:name="juris" w:id="14"/>
    <w:p w:rsidRPr="00BD5402" w:rsidR="00001CC5" w:rsidP="00BD5402" w:rsidRDefault="00001CC5" w14:paraId="6C5A97C7" w14:textId="41956A06">
      <w:pPr>
        <w:pStyle w:val="JuPara"/>
      </w:pPr>
      <w:r w:rsidRPr="00BD5402">
        <w:fldChar w:fldCharType="begin"/>
      </w:r>
      <w:r w:rsidRPr="00BD5402">
        <w:instrText xml:space="preserve"> SEQ level0 \*arabic </w:instrText>
      </w:r>
      <w:r w:rsidRPr="00BD5402">
        <w:fldChar w:fldCharType="separate"/>
      </w:r>
      <w:r w:rsidRPr="00BD5402" w:rsidR="00BD5402">
        <w:rPr>
          <w:noProof/>
        </w:rPr>
        <w:t>20</w:t>
      </w:r>
      <w:r w:rsidRPr="00BD5402">
        <w:fldChar w:fldCharType="end"/>
      </w:r>
      <w:bookmarkEnd w:id="14"/>
      <w:r w:rsidRPr="00BD5402">
        <w:t>.  La Cour rappelle également que dans de nombreuses affaires dirigées contre la Russie elle a déjà conclu à la violation de l</w:t>
      </w:r>
      <w:r w:rsidRPr="00BD5402" w:rsidR="00BD5402">
        <w:t>’</w:t>
      </w:r>
      <w:r w:rsidRPr="00BD5402">
        <w:t>article 10 de la Convention au motif que les juridictions nationales n</w:t>
      </w:r>
      <w:r w:rsidRPr="00BD5402" w:rsidR="00BD5402">
        <w:t>’</w:t>
      </w:r>
      <w:r w:rsidRPr="00BD5402">
        <w:t>avaient pas appliqué lesdits principes au niveau interne (voir, parmi d</w:t>
      </w:r>
      <w:r w:rsidRPr="00BD5402" w:rsidR="00BD5402">
        <w:t>’</w:t>
      </w:r>
      <w:r w:rsidRPr="00BD5402">
        <w:t xml:space="preserve">autres, </w:t>
      </w:r>
      <w:r w:rsidRPr="00BD5402">
        <w:rPr>
          <w:i/>
        </w:rPr>
        <w:t>Krassoulia c. Russie</w:t>
      </w:r>
      <w:r w:rsidRPr="00BD5402">
        <w:t>, n</w:t>
      </w:r>
      <w:r w:rsidRPr="00BD5402">
        <w:rPr>
          <w:vertAlign w:val="superscript"/>
        </w:rPr>
        <w:t>o</w:t>
      </w:r>
      <w:r w:rsidRPr="00BD5402">
        <w:t> 12365/03, §§ 33</w:t>
      </w:r>
      <w:r w:rsidRPr="00BD5402">
        <w:noBreakHyphen/>
        <w:t xml:space="preserve">46, 22 février 2007, </w:t>
      </w:r>
      <w:r w:rsidRPr="00BD5402">
        <w:rPr>
          <w:i/>
        </w:rPr>
        <w:t>Porubova c. Russie</w:t>
      </w:r>
      <w:r w:rsidRPr="00BD5402">
        <w:t>, n</w:t>
      </w:r>
      <w:r w:rsidRPr="00BD5402">
        <w:rPr>
          <w:vertAlign w:val="superscript"/>
        </w:rPr>
        <w:t>o </w:t>
      </w:r>
      <w:r w:rsidRPr="00BD5402">
        <w:t>8237/03, §§ 39</w:t>
      </w:r>
      <w:r w:rsidRPr="00BD5402">
        <w:noBreakHyphen/>
        <w:t xml:space="preserve">51, 8 octobre 2009, </w:t>
      </w:r>
      <w:r w:rsidRPr="00BD5402">
        <w:rPr>
          <w:i/>
          <w:iCs/>
        </w:rPr>
        <w:t>Cheltsova c. Russie</w:t>
      </w:r>
      <w:r w:rsidRPr="00BD5402">
        <w:t>, n</w:t>
      </w:r>
      <w:r w:rsidRPr="00BD5402">
        <w:rPr>
          <w:vertAlign w:val="superscript"/>
        </w:rPr>
        <w:t>o</w:t>
      </w:r>
      <w:r w:rsidRPr="00BD5402">
        <w:t> 44294/06, §§ 69</w:t>
      </w:r>
      <w:r w:rsidRPr="00BD5402">
        <w:noBreakHyphen/>
        <w:t xml:space="preserve">101, 13 juin 2017, et </w:t>
      </w:r>
      <w:r w:rsidRPr="00BD5402">
        <w:rPr>
          <w:i/>
        </w:rPr>
        <w:t>Margulev c. Russie</w:t>
      </w:r>
      <w:r w:rsidRPr="00BD5402">
        <w:t>, n</w:t>
      </w:r>
      <w:r w:rsidRPr="00BD5402">
        <w:rPr>
          <w:vertAlign w:val="superscript"/>
        </w:rPr>
        <w:t>o</w:t>
      </w:r>
      <w:r w:rsidRPr="00BD5402">
        <w:t> 15449/09, §§ 33</w:t>
      </w:r>
      <w:r w:rsidRPr="00BD5402">
        <w:noBreakHyphen/>
        <w:t>55, 8 octobre 2019). Eu égard aux éléments dont elle dispose, la Cour estime que le Gouvernement n</w:t>
      </w:r>
      <w:r w:rsidRPr="00BD5402" w:rsidR="00BD5402">
        <w:t>’</w:t>
      </w:r>
      <w:r w:rsidRPr="00BD5402">
        <w:t>a mis en avant aucun élément de fait ou de droit à même de la convaincre de parvenir à une conclusion différente en l</w:t>
      </w:r>
      <w:r w:rsidRPr="00BD5402" w:rsidR="00BD5402">
        <w:t>’</w:t>
      </w:r>
      <w:r w:rsidRPr="00BD5402">
        <w:t>espèce.</w:t>
      </w:r>
    </w:p>
    <w:p w:rsidRPr="00BD5402" w:rsidR="00001CC5" w:rsidP="00BD5402" w:rsidRDefault="00001CC5" w14:paraId="6A7DA314" w14:textId="552A6D88">
      <w:pPr>
        <w:pStyle w:val="JuPara"/>
      </w:pPr>
      <w:r w:rsidRPr="00BD5402">
        <w:fldChar w:fldCharType="begin"/>
      </w:r>
      <w:r w:rsidRPr="00BD5402">
        <w:instrText xml:space="preserve"> SEQ level0 \*arabic </w:instrText>
      </w:r>
      <w:r w:rsidRPr="00BD5402">
        <w:fldChar w:fldCharType="separate"/>
      </w:r>
      <w:r w:rsidRPr="00BD5402" w:rsidR="00BD5402">
        <w:rPr>
          <w:noProof/>
        </w:rPr>
        <w:t>21</w:t>
      </w:r>
      <w:r w:rsidRPr="00BD5402">
        <w:fldChar w:fldCharType="end"/>
      </w:r>
      <w:r w:rsidRPr="00BD5402">
        <w:t>.  En effet, la Cour note que les juridictions internes n</w:t>
      </w:r>
      <w:r w:rsidRPr="00BD5402" w:rsidR="00BD5402">
        <w:t>’</w:t>
      </w:r>
      <w:r w:rsidRPr="00BD5402">
        <w:t>ont pas cherché à savoir dans quel contexte le requérant avait formulé les propos litigieux ni en quelle qualité il avait agi. Elle relève que l</w:t>
      </w:r>
      <w:r w:rsidRPr="00BD5402" w:rsidR="00BD5402">
        <w:t>’</w:t>
      </w:r>
      <w:r w:rsidRPr="00BD5402">
        <w:t>intéressé a pris parole lors de la manifestation afin d</w:t>
      </w:r>
      <w:r w:rsidRPr="00BD5402" w:rsidR="00BD5402">
        <w:t>’</w:t>
      </w:r>
      <w:r w:rsidRPr="00BD5402">
        <w:t>attirer l</w:t>
      </w:r>
      <w:r w:rsidRPr="00BD5402" w:rsidR="00BD5402">
        <w:t>’</w:t>
      </w:r>
      <w:r w:rsidRPr="00BD5402">
        <w:t>attention du public sur l</w:t>
      </w:r>
      <w:r w:rsidRPr="00BD5402" w:rsidR="00BD5402">
        <w:t>’</w:t>
      </w:r>
      <w:r w:rsidRPr="00BD5402">
        <w:t>état du réseau routier dans la république de Mariy-El. La Cour considère qu</w:t>
      </w:r>
      <w:r w:rsidRPr="00BD5402" w:rsidR="00BD5402">
        <w:t>’</w:t>
      </w:r>
      <w:r w:rsidRPr="00BD5402">
        <w:t>un tel sujet relève indubitablement de l</w:t>
      </w:r>
      <w:r w:rsidRPr="00BD5402" w:rsidR="00BD5402">
        <w:t>’</w:t>
      </w:r>
      <w:r w:rsidRPr="00BD5402">
        <w:t>intérêt général. Elle rappelle à cet égard que tout individu qui s</w:t>
      </w:r>
      <w:r w:rsidRPr="00BD5402" w:rsidR="00BD5402">
        <w:t>’</w:t>
      </w:r>
      <w:r w:rsidRPr="00BD5402">
        <w:t>engage dans le débat public bénéficie des mêmes garanties et a les mêmes obligations que l</w:t>
      </w:r>
      <w:r w:rsidRPr="00BD5402" w:rsidR="00BD5402">
        <w:t>’</w:t>
      </w:r>
      <w:r w:rsidRPr="00BD5402">
        <w:t>article 10 de la Convention offre aux journalistes (</w:t>
      </w:r>
      <w:r w:rsidRPr="00BD5402">
        <w:rPr>
          <w:i/>
          <w:iCs/>
        </w:rPr>
        <w:t>Steel et Morris c. Royaume-Uni</w:t>
      </w:r>
      <w:r w:rsidRPr="00BD5402">
        <w:t>, n</w:t>
      </w:r>
      <w:r w:rsidRPr="00BD5402">
        <w:rPr>
          <w:vertAlign w:val="superscript"/>
        </w:rPr>
        <w:t>o</w:t>
      </w:r>
      <w:r w:rsidRPr="00BD5402">
        <w:t> 68416/01, § 90, CEDH 2005</w:t>
      </w:r>
      <w:r w:rsidRPr="00BD5402">
        <w:noBreakHyphen/>
        <w:t>II). La marge d</w:t>
      </w:r>
      <w:r w:rsidRPr="00BD5402" w:rsidR="00BD5402">
        <w:t>’</w:t>
      </w:r>
      <w:r w:rsidRPr="00BD5402">
        <w:t>appréciation dont disposaient les autorités pour juger de la « nécessité » de la sanction prononcée contre le requérant était, par conséquent, particulièrement restreinte.</w:t>
      </w:r>
    </w:p>
    <w:p w:rsidRPr="00BD5402" w:rsidR="00001CC5" w:rsidP="00BD5402" w:rsidRDefault="00001CC5" w14:paraId="70E624C8" w14:textId="4DF6A014">
      <w:pPr>
        <w:pStyle w:val="JuPara"/>
      </w:pPr>
      <w:r w:rsidRPr="00BD5402">
        <w:fldChar w:fldCharType="begin"/>
      </w:r>
      <w:r w:rsidRPr="00BD5402">
        <w:instrText xml:space="preserve"> SEQ level0 \*arabic </w:instrText>
      </w:r>
      <w:r w:rsidRPr="00BD5402">
        <w:fldChar w:fldCharType="separate"/>
      </w:r>
      <w:r w:rsidRPr="00BD5402" w:rsidR="00BD5402">
        <w:rPr>
          <w:noProof/>
        </w:rPr>
        <w:t>22</w:t>
      </w:r>
      <w:r w:rsidRPr="00BD5402">
        <w:fldChar w:fldCharType="end"/>
      </w:r>
      <w:r w:rsidRPr="00BD5402">
        <w:t>.  La Cour relève que les juridictions internes n</w:t>
      </w:r>
      <w:r w:rsidRPr="00BD5402" w:rsidR="00BD5402">
        <w:t>’</w:t>
      </w:r>
      <w:r w:rsidRPr="00BD5402">
        <w:t>ont pas non plus élucidé la question de la qualité de la personne visée par les propos litigieux. Elle estime que M., en tant que chef de l</w:t>
      </w:r>
      <w:r w:rsidRPr="00BD5402" w:rsidR="00BD5402">
        <w:t>’</w:t>
      </w:r>
      <w:r w:rsidRPr="00BD5402">
        <w:t>exécutif de la république de Mariy</w:t>
      </w:r>
      <w:r w:rsidRPr="00BD5402">
        <w:noBreakHyphen/>
        <w:t>El, était inévitablement exposé à un contrôle attentif de ses faits et gestes et devait donc faire preuve de plus de tolérance à l</w:t>
      </w:r>
      <w:r w:rsidRPr="00BD5402" w:rsidR="00BD5402">
        <w:t>’</w:t>
      </w:r>
      <w:r w:rsidRPr="00BD5402">
        <w:t>égard des critiques.</w:t>
      </w:r>
    </w:p>
    <w:p w:rsidRPr="00BD5402" w:rsidR="00001CC5" w:rsidP="00BD5402" w:rsidRDefault="00001CC5" w14:paraId="278FEEDB" w14:textId="76FDC492">
      <w:pPr>
        <w:pStyle w:val="JuPara"/>
      </w:pPr>
      <w:r w:rsidRPr="00BD5402">
        <w:fldChar w:fldCharType="begin"/>
      </w:r>
      <w:r w:rsidRPr="00BD5402">
        <w:instrText xml:space="preserve"> SEQ level0 \*arabic </w:instrText>
      </w:r>
      <w:r w:rsidRPr="00BD5402">
        <w:fldChar w:fldCharType="separate"/>
      </w:r>
      <w:r w:rsidRPr="00BD5402" w:rsidR="00BD5402">
        <w:rPr>
          <w:noProof/>
        </w:rPr>
        <w:t>23</w:t>
      </w:r>
      <w:r w:rsidRPr="00BD5402">
        <w:fldChar w:fldCharType="end"/>
      </w:r>
      <w:r w:rsidRPr="00BD5402">
        <w:t>.  La Cour observe ensuite que les juridictions internes ne se sont pas clairement prononcées sur la question de savoir si les propos litigieux du requérant constituaient une déclaration de fait ou un jugement de valeur. En effet, d</w:t>
      </w:r>
      <w:r w:rsidRPr="00BD5402" w:rsidR="00BD5402">
        <w:t>’</w:t>
      </w:r>
      <w:r w:rsidRPr="00BD5402">
        <w:t>un côté, le juge de paix a indiqué que, dans ses propos tenus lors de la manifestation du 29 mars 2014, le requérant a « exprimé son opinion subjective », et de l</w:t>
      </w:r>
      <w:r w:rsidRPr="00BD5402" w:rsidR="00BD5402">
        <w:t>’</w:t>
      </w:r>
      <w:r w:rsidRPr="00BD5402">
        <w:t xml:space="preserve">autre, il a considéré que, ce faisant, il avait diffusé « des renseignements (...) sciemment mensongers » (paragraphe </w:t>
      </w:r>
      <w:r w:rsidRPr="00BD5402">
        <w:fldChar w:fldCharType="begin"/>
      </w:r>
      <w:r w:rsidRPr="00BD5402">
        <w:instrText xml:space="preserve"> REF jug261114 \h  \* MERGEFORMAT </w:instrText>
      </w:r>
      <w:r w:rsidRPr="00BD5402">
        <w:fldChar w:fldCharType="separate"/>
      </w:r>
      <w:r w:rsidRPr="00BD5402" w:rsidR="00BD5402">
        <w:t>7</w:t>
      </w:r>
      <w:r w:rsidRPr="00BD5402">
        <w:fldChar w:fldCharType="end"/>
      </w:r>
      <w:r w:rsidRPr="00BD5402">
        <w:t xml:space="preserve"> ci</w:t>
      </w:r>
      <w:r w:rsidRPr="00BD5402">
        <w:noBreakHyphen/>
        <w:t>dessus). À cet égard, la Cour rappelle la distinction qu</w:t>
      </w:r>
      <w:r w:rsidRPr="00BD5402" w:rsidR="00BD5402">
        <w:t>’</w:t>
      </w:r>
      <w:r w:rsidRPr="00BD5402">
        <w:t>il convient d</w:t>
      </w:r>
      <w:r w:rsidRPr="00BD5402" w:rsidR="00BD5402">
        <w:t>’</w:t>
      </w:r>
      <w:r w:rsidRPr="00BD5402">
        <w:t>opérer entre déclarations de fait et jugements de valeur : si la matérialité des premières peut se prouver, les seconds ne se prêtent pas à une démonstration de leur exactitude. Toutefois, même lorsqu</w:t>
      </w:r>
      <w:r w:rsidRPr="00BD5402" w:rsidR="00BD5402">
        <w:t>’</w:t>
      </w:r>
      <w:r w:rsidRPr="00BD5402">
        <w:t>une déclaration équivaut à un jugement de valeur, elle doit se fonder sur une base factuelle suffisante, faute de quoi elle serait excessive (</w:t>
      </w:r>
      <w:r w:rsidRPr="00BD5402">
        <w:rPr>
          <w:i/>
          <w:iCs/>
        </w:rPr>
        <w:t>Jerusalem c. Autriche</w:t>
      </w:r>
      <w:r w:rsidRPr="00BD5402">
        <w:t>, n</w:t>
      </w:r>
      <w:r w:rsidRPr="00BD5402">
        <w:rPr>
          <w:vertAlign w:val="superscript"/>
        </w:rPr>
        <w:t>o </w:t>
      </w:r>
      <w:r w:rsidRPr="00BD5402">
        <w:t>26958/95, §§ 42</w:t>
      </w:r>
      <w:r w:rsidRPr="00BD5402">
        <w:noBreakHyphen/>
        <w:t>43, CEDH 2001-II).</w:t>
      </w:r>
    </w:p>
    <w:p w:rsidRPr="00BD5402" w:rsidR="00001CC5" w:rsidP="00BD5402" w:rsidRDefault="00BD5402" w14:paraId="436A4B0C" w14:textId="6733382B">
      <w:pPr>
        <w:pStyle w:val="JuPara"/>
      </w:pPr>
      <w:fldSimple w:instr=" SEQ level0 \*arabic \* MERGEFORMAT ">
        <w:r w:rsidRPr="00BD5402">
          <w:rPr>
            <w:noProof/>
          </w:rPr>
          <w:t>24</w:t>
        </w:r>
      </w:fldSimple>
      <w:r w:rsidRPr="00BD5402" w:rsidR="00001CC5">
        <w:t>.  En l</w:t>
      </w:r>
      <w:r w:rsidRPr="00BD5402">
        <w:t>’</w:t>
      </w:r>
      <w:r w:rsidRPr="00BD5402" w:rsidR="00001CC5">
        <w:t>occurrence, la Cour estime que le passage litigieux contenait essentiellement un jugement de valeur dont la véracité ne pouvait être établie. Certes, la comparaison de M. à des représentants de milieux criminels était un moyen brusque d</w:t>
      </w:r>
      <w:r w:rsidRPr="00BD5402">
        <w:t>’</w:t>
      </w:r>
      <w:r w:rsidRPr="00BD5402" w:rsidR="00001CC5">
        <w:t>exprimer son opinion. Toutefois, la Cour rappelle que même si tout individu qui s</w:t>
      </w:r>
      <w:r w:rsidRPr="00BD5402">
        <w:t>’</w:t>
      </w:r>
      <w:r w:rsidRPr="00BD5402" w:rsidR="00001CC5">
        <w:t>engage dans un débat public d</w:t>
      </w:r>
      <w:r w:rsidRPr="00BD5402">
        <w:t>’</w:t>
      </w:r>
      <w:r w:rsidRPr="00BD5402" w:rsidR="00001CC5">
        <w:t>intérêt général est tenu au respect de la réputation et des droits d</w:t>
      </w:r>
      <w:r w:rsidRPr="00BD5402">
        <w:t>’</w:t>
      </w:r>
      <w:r w:rsidRPr="00BD5402" w:rsidR="00001CC5">
        <w:t>autrui, il lui est cependant permis de recourir à une certaine dose d</w:t>
      </w:r>
      <w:r w:rsidRPr="00BD5402">
        <w:t>’</w:t>
      </w:r>
      <w:r w:rsidRPr="00BD5402" w:rsidR="00001CC5">
        <w:t>exagération, voire de provocation (</w:t>
      </w:r>
      <w:r w:rsidRPr="00BD5402" w:rsidR="00001CC5">
        <w:rPr>
          <w:i/>
          <w:iCs/>
        </w:rPr>
        <w:t>Mamère c. France</w:t>
      </w:r>
      <w:r w:rsidRPr="00BD5402" w:rsidR="00001CC5">
        <w:t>, n</w:t>
      </w:r>
      <w:r w:rsidRPr="00BD5402" w:rsidR="00001CC5">
        <w:rPr>
          <w:vertAlign w:val="superscript"/>
        </w:rPr>
        <w:t>o</w:t>
      </w:r>
      <w:r w:rsidRPr="00BD5402" w:rsidR="00001CC5">
        <w:t> 12697/03, § 25, CEDH 2006</w:t>
      </w:r>
      <w:r w:rsidRPr="00BD5402" w:rsidR="00001CC5">
        <w:noBreakHyphen/>
        <w:t>XIII). La Cour note que l</w:t>
      </w:r>
      <w:r w:rsidRPr="00BD5402">
        <w:t>’</w:t>
      </w:r>
      <w:r w:rsidRPr="00BD5402" w:rsidR="00001CC5">
        <w:t>article 128.1 du code pénal requiert que les déclarations diffamatoires soient faites en connaissance de leur fausseté, ce qui est un seuil élevé qui ne devrait normalement s</w:t>
      </w:r>
      <w:r w:rsidRPr="00BD5402">
        <w:t>’</w:t>
      </w:r>
      <w:r w:rsidRPr="00BD5402" w:rsidR="00001CC5">
        <w:t>appliquer qu</w:t>
      </w:r>
      <w:r w:rsidRPr="00BD5402">
        <w:t>’</w:t>
      </w:r>
      <w:r w:rsidRPr="00BD5402" w:rsidR="00001CC5">
        <w:t>aux déclarations de fait susceptibles d</w:t>
      </w:r>
      <w:r w:rsidRPr="00BD5402">
        <w:t>’</w:t>
      </w:r>
      <w:r w:rsidRPr="00BD5402" w:rsidR="00001CC5">
        <w:t>être fausses. La déclaration litigieuse selon laquelle le gouverneur était « </w:t>
      </w:r>
      <w:r w:rsidRPr="00BD5402" w:rsidR="00001CC5">
        <w:rPr>
          <w:i/>
          <w:iCs/>
        </w:rPr>
        <w:t>smotriashchiy</w:t>
      </w:r>
      <w:r w:rsidRPr="00BD5402" w:rsidR="00001CC5">
        <w:t> » suivait les déclarations du requérant concernant l</w:t>
      </w:r>
      <w:r w:rsidRPr="00BD5402">
        <w:t>’</w:t>
      </w:r>
      <w:r w:rsidRPr="00BD5402" w:rsidR="00001CC5">
        <w:t>incapacité du gouvernement régional à réparer les routes alors qu</w:t>
      </w:r>
      <w:r w:rsidRPr="00BD5402">
        <w:t>’</w:t>
      </w:r>
      <w:r w:rsidRPr="00BD5402" w:rsidR="00001CC5">
        <w:t>il dépensait de l</w:t>
      </w:r>
      <w:r w:rsidRPr="00BD5402">
        <w:t>’</w:t>
      </w:r>
      <w:r w:rsidRPr="00BD5402" w:rsidR="00001CC5">
        <w:t xml:space="preserve">argent pour construire des immeubles de bureaux qui étaient ensuite mis en location (paragraphe </w:t>
      </w:r>
      <w:r w:rsidRPr="00BD5402" w:rsidR="00001CC5">
        <w:fldChar w:fldCharType="begin"/>
      </w:r>
      <w:r w:rsidRPr="00BD5402" w:rsidR="00001CC5">
        <w:instrText xml:space="preserve"> REF manif \h </w:instrText>
      </w:r>
      <w:r w:rsidRPr="00BD5402" w:rsidR="00001CC5">
        <w:fldChar w:fldCharType="separate"/>
      </w:r>
      <w:r w:rsidRPr="00BD5402">
        <w:rPr>
          <w:noProof/>
        </w:rPr>
        <w:t>4</w:t>
      </w:r>
      <w:r w:rsidRPr="00BD5402" w:rsidR="00001CC5">
        <w:fldChar w:fldCharType="end"/>
      </w:r>
      <w:r w:rsidRPr="00BD5402" w:rsidR="00001CC5">
        <w:t xml:space="preserve"> ci</w:t>
      </w:r>
      <w:r w:rsidRPr="00BD5402" w:rsidR="00001CC5">
        <w:noBreakHyphen/>
        <w:t>dessus). La Cour considère donc qu</w:t>
      </w:r>
      <w:r w:rsidRPr="00BD5402">
        <w:t>’</w:t>
      </w:r>
      <w:r w:rsidRPr="00BD5402" w:rsidR="00001CC5">
        <w:t>il existait une base factuelle suffisante pour le jugement de valeur exprimé par le requérant et qu</w:t>
      </w:r>
      <w:r w:rsidRPr="00BD5402">
        <w:t>’</w:t>
      </w:r>
      <w:r w:rsidRPr="00BD5402" w:rsidR="00001CC5">
        <w:t>il n</w:t>
      </w:r>
      <w:r w:rsidRPr="00BD5402">
        <w:t>’</w:t>
      </w:r>
      <w:r w:rsidRPr="00BD5402" w:rsidR="00001CC5">
        <w:t>était pas abusif.</w:t>
      </w:r>
    </w:p>
    <w:p w:rsidRPr="00BD5402" w:rsidR="00001CC5" w:rsidP="00BD5402" w:rsidRDefault="00001CC5" w14:paraId="5FCDDBD5" w14:textId="2D1E8E51">
      <w:pPr>
        <w:pStyle w:val="JuPara"/>
      </w:pPr>
      <w:r w:rsidRPr="00BD5402">
        <w:fldChar w:fldCharType="begin"/>
      </w:r>
      <w:r w:rsidRPr="00BD5402">
        <w:instrText xml:space="preserve"> SEQ level0 \*arabic </w:instrText>
      </w:r>
      <w:r w:rsidRPr="00BD5402">
        <w:fldChar w:fldCharType="separate"/>
      </w:r>
      <w:r w:rsidRPr="00BD5402" w:rsidR="00BD5402">
        <w:rPr>
          <w:noProof/>
        </w:rPr>
        <w:t>25</w:t>
      </w:r>
      <w:r w:rsidRPr="00BD5402">
        <w:fldChar w:fldCharType="end"/>
      </w:r>
      <w:r w:rsidRPr="00BD5402">
        <w:t xml:space="preserve">.  Enfin, la Cour rappelle que la nature et la lourdeur des peines infligées sont des éléments à prendre en compte (voir, notamment, </w:t>
      </w:r>
      <w:r w:rsidRPr="00BD5402">
        <w:rPr>
          <w:i/>
          <w:iCs/>
        </w:rPr>
        <w:t>Bédat c. Suisse</w:t>
      </w:r>
      <w:r w:rsidRPr="00BD5402">
        <w:rPr>
          <w:iCs/>
        </w:rPr>
        <w:t xml:space="preserve"> [GC], n</w:t>
      </w:r>
      <w:r w:rsidRPr="00BD5402">
        <w:rPr>
          <w:iCs/>
          <w:vertAlign w:val="superscript"/>
        </w:rPr>
        <w:t>o</w:t>
      </w:r>
      <w:r w:rsidRPr="00BD5402">
        <w:rPr>
          <w:iCs/>
        </w:rPr>
        <w:t xml:space="preserve"> 56925/08, § 79, </w:t>
      </w:r>
      <w:r w:rsidRPr="00BD5402">
        <w:t xml:space="preserve">29 mars </w:t>
      </w:r>
      <w:r w:rsidRPr="00BD5402">
        <w:rPr>
          <w:iCs/>
        </w:rPr>
        <w:t>2016</w:t>
      </w:r>
      <w:r w:rsidRPr="00BD5402">
        <w:t>). Elle rappelle que, par sa nature même, une sanction pénale en général produit immanquablement un effet dissuasif quant à l</w:t>
      </w:r>
      <w:r w:rsidRPr="00BD5402" w:rsidR="00BD5402">
        <w:t>’</w:t>
      </w:r>
      <w:r w:rsidRPr="00BD5402">
        <w:t>exercice de la liberté d</w:t>
      </w:r>
      <w:r w:rsidRPr="00BD5402" w:rsidR="00BD5402">
        <w:t>’</w:t>
      </w:r>
      <w:r w:rsidRPr="00BD5402">
        <w:t>expression, compte tenu notamment des effets de la condamnation et des retombées durables de toute inscription au casier judiciaire (</w:t>
      </w:r>
      <w:r w:rsidRPr="00BD5402">
        <w:rPr>
          <w:i/>
        </w:rPr>
        <w:t>Önal c. Turquie (n</w:t>
      </w:r>
      <w:r w:rsidRPr="00BD5402">
        <w:rPr>
          <w:i/>
          <w:vertAlign w:val="superscript"/>
        </w:rPr>
        <w:t>o</w:t>
      </w:r>
      <w:r w:rsidRPr="00BD5402">
        <w:rPr>
          <w:i/>
        </w:rPr>
        <w:t> 2)</w:t>
      </w:r>
      <w:r w:rsidRPr="00BD5402">
        <w:t>, n</w:t>
      </w:r>
      <w:r w:rsidRPr="00BD5402">
        <w:rPr>
          <w:vertAlign w:val="superscript"/>
        </w:rPr>
        <w:t>o</w:t>
      </w:r>
      <w:r w:rsidRPr="00BD5402">
        <w:t> 44982/07, § 42, 2 juillet 2019). Or elle constate qu</w:t>
      </w:r>
      <w:r w:rsidRPr="00BD5402" w:rsidR="00BD5402">
        <w:t>’</w:t>
      </w:r>
      <w:r w:rsidRPr="00BD5402">
        <w:t>en l</w:t>
      </w:r>
      <w:r w:rsidRPr="00BD5402" w:rsidR="00BD5402">
        <w:t>’</w:t>
      </w:r>
      <w:r w:rsidRPr="00BD5402">
        <w:t>espèce le requérant a été déclaré coupable d</w:t>
      </w:r>
      <w:r w:rsidRPr="00BD5402" w:rsidR="00BD5402">
        <w:t>’</w:t>
      </w:r>
      <w:r w:rsidRPr="00BD5402">
        <w:t>une infraction pénale et condamné à une amende dont le montant était loin d</w:t>
      </w:r>
      <w:r w:rsidRPr="00BD5402" w:rsidR="00BD5402">
        <w:t>’</w:t>
      </w:r>
      <w:r w:rsidRPr="00BD5402">
        <w:t>être insignifiant, ce qui, en soi, confère à la mesure un degré élevé de gravité (</w:t>
      </w:r>
      <w:r w:rsidRPr="00BD5402">
        <w:rPr>
          <w:i/>
        </w:rPr>
        <w:t xml:space="preserve">Lindon, Otchakovsky-Laurens et July </w:t>
      </w:r>
      <w:r w:rsidRPr="00BD5402">
        <w:t>[GC], n</w:t>
      </w:r>
      <w:r w:rsidRPr="00BD5402">
        <w:rPr>
          <w:vertAlign w:val="superscript"/>
        </w:rPr>
        <w:t>os</w:t>
      </w:r>
      <w:r w:rsidRPr="00BD5402">
        <w:t> 21279/02 et 36448/02, § 59, CEDH 2007</w:t>
      </w:r>
      <w:r w:rsidRPr="00BD5402">
        <w:noBreakHyphen/>
        <w:t>IV). Bien que le juge de paix ait ordonné le paiement échelonné de l</w:t>
      </w:r>
      <w:r w:rsidRPr="00BD5402" w:rsidR="00BD5402">
        <w:t>’</w:t>
      </w:r>
      <w:r w:rsidRPr="00BD5402">
        <w:t xml:space="preserve">amende pour tenir compte de la situation financière du requérant (voir, </w:t>
      </w:r>
      <w:r w:rsidRPr="00BD5402">
        <w:rPr>
          <w:i/>
          <w:iCs/>
        </w:rPr>
        <w:t>a contrario</w:t>
      </w:r>
      <w:r w:rsidRPr="00BD5402">
        <w:t xml:space="preserve">, </w:t>
      </w:r>
      <w:r w:rsidRPr="00BD5402">
        <w:rPr>
          <w:i/>
          <w:iCs/>
        </w:rPr>
        <w:t>Pirogov c. Russie</w:t>
      </w:r>
      <w:r w:rsidRPr="00BD5402">
        <w:rPr>
          <w:iCs/>
        </w:rPr>
        <w:t xml:space="preserve"> [comité], n</w:t>
      </w:r>
      <w:r w:rsidRPr="00BD5402">
        <w:rPr>
          <w:iCs/>
          <w:vertAlign w:val="superscript"/>
        </w:rPr>
        <w:t>o </w:t>
      </w:r>
      <w:r w:rsidRPr="00BD5402">
        <w:rPr>
          <w:iCs/>
        </w:rPr>
        <w:t>27474/08, § 47, 14 janvier 2020</w:t>
      </w:r>
      <w:r w:rsidRPr="00BD5402">
        <w:t>), la Cour estime que cet élément n</w:t>
      </w:r>
      <w:r w:rsidRPr="00BD5402" w:rsidR="00BD5402">
        <w:t>’</w:t>
      </w:r>
      <w:r w:rsidRPr="00BD5402">
        <w:t>est pas suffisant pour diminuer le degré de la gravité de la sanction. La Cour n</w:t>
      </w:r>
      <w:r w:rsidRPr="00BD5402" w:rsidR="00BD5402">
        <w:t>’</w:t>
      </w:r>
      <w:r w:rsidRPr="00BD5402">
        <w:t>est pas convaincue, compte tenu des circonstances de l</w:t>
      </w:r>
      <w:r w:rsidRPr="00BD5402" w:rsidR="00BD5402">
        <w:t>’</w:t>
      </w:r>
      <w:r w:rsidRPr="00BD5402">
        <w:t>espèce, que les déclarations litigieuses du requérant puissent être considérées comme suffisamment graves pour appeler une sanction pénale.</w:t>
      </w:r>
    </w:p>
    <w:p w:rsidRPr="00BD5402" w:rsidR="00001CC5" w:rsidP="00BD5402" w:rsidRDefault="00001CC5" w14:paraId="7777575D" w14:textId="29E774B0">
      <w:pPr>
        <w:pStyle w:val="JuPara"/>
      </w:pPr>
      <w:r w:rsidRPr="00BD5402">
        <w:fldChar w:fldCharType="begin"/>
      </w:r>
      <w:r w:rsidRPr="00BD5402">
        <w:instrText xml:space="preserve"> SEQ level0 \*arabic </w:instrText>
      </w:r>
      <w:r w:rsidRPr="00BD5402">
        <w:fldChar w:fldCharType="separate"/>
      </w:r>
      <w:r w:rsidRPr="00BD5402" w:rsidR="00BD5402">
        <w:rPr>
          <w:noProof/>
        </w:rPr>
        <w:t>26</w:t>
      </w:r>
      <w:r w:rsidRPr="00BD5402">
        <w:fldChar w:fldCharType="end"/>
      </w:r>
      <w:r w:rsidRPr="00BD5402">
        <w:t>.  Compte tenu de l</w:t>
      </w:r>
      <w:r w:rsidRPr="00BD5402" w:rsidR="00BD5402">
        <w:t>’</w:t>
      </w:r>
      <w:r w:rsidRPr="00BD5402">
        <w:t>absence d</w:t>
      </w:r>
      <w:r w:rsidRPr="00BD5402" w:rsidR="00BD5402">
        <w:t>’</w:t>
      </w:r>
      <w:r w:rsidRPr="00BD5402">
        <w:t>une mise en balance adéquate et conforme aux critères établis dans sa jurisprudence entre les intérêts en jeu, elle juge qu</w:t>
      </w:r>
      <w:r w:rsidRPr="00BD5402" w:rsidR="00BD5402">
        <w:t>’</w:t>
      </w:r>
      <w:r w:rsidRPr="00BD5402">
        <w:t>il n</w:t>
      </w:r>
      <w:r w:rsidRPr="00BD5402" w:rsidR="00BD5402">
        <w:t>’</w:t>
      </w:r>
      <w:r w:rsidRPr="00BD5402">
        <w:t>a pas été démontré que la mesure litigieuse, qui revêtait un caractère pénal, était proportionnée aux buts légitimes visés et qu</w:t>
      </w:r>
      <w:r w:rsidRPr="00BD5402" w:rsidR="00BD5402">
        <w:t>’</w:t>
      </w:r>
      <w:r w:rsidRPr="00BD5402">
        <w:t>elle était « nécessaire dans une société démocratique ».</w:t>
      </w:r>
    </w:p>
    <w:p w:rsidRPr="00BD5402" w:rsidR="00001CC5" w:rsidP="00BD5402" w:rsidRDefault="00001CC5" w14:paraId="385F7496" w14:textId="1D417859">
      <w:pPr>
        <w:pStyle w:val="JuPara"/>
      </w:pPr>
      <w:r w:rsidRPr="00BD5402">
        <w:fldChar w:fldCharType="begin"/>
      </w:r>
      <w:r w:rsidRPr="00BD5402">
        <w:instrText xml:space="preserve"> SEQ level0 \*arabic </w:instrText>
      </w:r>
      <w:r w:rsidRPr="00BD5402">
        <w:fldChar w:fldCharType="separate"/>
      </w:r>
      <w:r w:rsidRPr="00BD5402" w:rsidR="00BD5402">
        <w:rPr>
          <w:noProof/>
        </w:rPr>
        <w:t>27</w:t>
      </w:r>
      <w:r w:rsidRPr="00BD5402">
        <w:fldChar w:fldCharType="end"/>
      </w:r>
      <w:r w:rsidRPr="00BD5402">
        <w:t>.  Partant, il y a eu violation de l</w:t>
      </w:r>
      <w:r w:rsidRPr="00BD5402" w:rsidR="00BD5402">
        <w:t>’</w:t>
      </w:r>
      <w:r w:rsidRPr="00BD5402">
        <w:t>article 10 de la Convention.</w:t>
      </w:r>
    </w:p>
    <w:bookmarkEnd w:id="13"/>
    <w:p w:rsidRPr="00BD5402" w:rsidR="00001CC5" w:rsidP="00BD5402" w:rsidRDefault="00001CC5" w14:paraId="41086440" w14:textId="1CFC3B6E">
      <w:pPr>
        <w:pStyle w:val="JuHIRoman"/>
      </w:pPr>
      <w:r w:rsidRPr="00BD5402">
        <w:t>SUR L</w:t>
      </w:r>
      <w:r w:rsidRPr="00BD5402" w:rsidR="00BD5402">
        <w:t>’</w:t>
      </w:r>
      <w:r w:rsidRPr="00BD5402">
        <w:t>APPLICATION DE L</w:t>
      </w:r>
      <w:r w:rsidRPr="00BD5402" w:rsidR="00BD5402">
        <w:t>’</w:t>
      </w:r>
      <w:r w:rsidRPr="00BD5402">
        <w:t>ARTICLE 41 DE LA CONVENTION</w:t>
      </w:r>
    </w:p>
    <w:p w:rsidRPr="00BD5402" w:rsidR="00001CC5" w:rsidP="00BD5402" w:rsidRDefault="00001CC5" w14:paraId="79FAC935" w14:textId="4933E163">
      <w:pPr>
        <w:pStyle w:val="JuPara"/>
      </w:pPr>
      <w:r w:rsidRPr="00BD5402">
        <w:fldChar w:fldCharType="begin"/>
      </w:r>
      <w:r w:rsidRPr="00BD5402">
        <w:instrText xml:space="preserve"> SEQ level0 \*arabic </w:instrText>
      </w:r>
      <w:r w:rsidRPr="00BD5402">
        <w:fldChar w:fldCharType="separate"/>
      </w:r>
      <w:r w:rsidRPr="00BD5402" w:rsidR="00BD5402">
        <w:rPr>
          <w:noProof/>
        </w:rPr>
        <w:t>28</w:t>
      </w:r>
      <w:r w:rsidRPr="00BD5402">
        <w:fldChar w:fldCharType="end"/>
      </w:r>
      <w:r w:rsidRPr="00BD5402">
        <w:t>.  </w:t>
      </w:r>
      <w:bookmarkStart w:name="_Hlk36128236" w:id="15"/>
      <w:r w:rsidRPr="00BD5402">
        <w:t>Aux termes de l</w:t>
      </w:r>
      <w:r w:rsidRPr="00BD5402" w:rsidR="00BD5402">
        <w:t>’</w:t>
      </w:r>
      <w:r w:rsidRPr="00BD5402">
        <w:t>article 41 de la Convention :</w:t>
      </w:r>
      <w:bookmarkEnd w:id="15"/>
    </w:p>
    <w:p w:rsidRPr="00BD5402" w:rsidR="00001CC5" w:rsidP="00BD5402" w:rsidRDefault="00001CC5" w14:paraId="2505EDEB" w14:textId="6F329D32">
      <w:pPr>
        <w:pStyle w:val="JuQuot"/>
      </w:pPr>
      <w:bookmarkStart w:name="_Hlk36128242" w:id="16"/>
      <w:r w:rsidRPr="00BD5402">
        <w:t>« Si la Cour déclare qu</w:t>
      </w:r>
      <w:r w:rsidRPr="00BD5402" w:rsidR="00BD5402">
        <w:t>’</w:t>
      </w:r>
      <w:r w:rsidRPr="00BD5402">
        <w:t>il y a eu violation de la Convention ou de ses Protocoles, et si le droit interne de la Haute Partie contractante ne permet d</w:t>
      </w:r>
      <w:r w:rsidRPr="00BD5402" w:rsidR="00BD5402">
        <w:t>’</w:t>
      </w:r>
      <w:r w:rsidRPr="00BD5402">
        <w:t>effacer qu</w:t>
      </w:r>
      <w:r w:rsidRPr="00BD5402" w:rsidR="00BD5402">
        <w:t>’</w:t>
      </w:r>
      <w:r w:rsidRPr="00BD5402">
        <w:t>imparfaitement les conséquences de cette violation, la Cour accorde à la partie lésée, s</w:t>
      </w:r>
      <w:r w:rsidRPr="00BD5402" w:rsidR="00BD5402">
        <w:t>’</w:t>
      </w:r>
      <w:r w:rsidRPr="00BD5402">
        <w:t>il y a lieu, une satisfaction équitable. »</w:t>
      </w:r>
      <w:bookmarkEnd w:id="16"/>
    </w:p>
    <w:p w:rsidRPr="00BD5402" w:rsidR="00001CC5" w:rsidP="00BD5402" w:rsidRDefault="00001CC5" w14:paraId="6F8506FE" w14:textId="77777777">
      <w:pPr>
        <w:pStyle w:val="JuHA"/>
        <w:numPr>
          <w:ilvl w:val="2"/>
          <w:numId w:val="1"/>
        </w:numPr>
        <w:ind w:left="510" w:hanging="340"/>
        <w:rPr>
          <w:rFonts w:eastAsiaTheme="minorEastAsia"/>
        </w:rPr>
      </w:pPr>
      <w:r w:rsidRPr="00BD5402">
        <w:rPr>
          <w:rFonts w:eastAsiaTheme="minorEastAsia"/>
        </w:rPr>
        <w:t>Dommage</w:t>
      </w:r>
    </w:p>
    <w:p w:rsidRPr="00BD5402" w:rsidR="00001CC5" w:rsidP="00BD5402" w:rsidRDefault="00001CC5" w14:paraId="5D6A2812" w14:textId="5C0DE47C">
      <w:pPr>
        <w:pStyle w:val="JuPara"/>
        <w:rPr>
          <w:rFonts w:eastAsiaTheme="minorEastAsia"/>
        </w:rPr>
      </w:pPr>
      <w:r w:rsidRPr="00BD5402">
        <w:rPr>
          <w:rFonts w:eastAsiaTheme="minorEastAsia"/>
        </w:rPr>
        <w:fldChar w:fldCharType="begin"/>
      </w:r>
      <w:r w:rsidRPr="00BD5402">
        <w:rPr>
          <w:rFonts w:eastAsiaTheme="minorEastAsia"/>
        </w:rPr>
        <w:instrText xml:space="preserve"> SEQ level0 \*arabic </w:instrText>
      </w:r>
      <w:r w:rsidRPr="00BD5402">
        <w:rPr>
          <w:rFonts w:eastAsiaTheme="minorEastAsia"/>
        </w:rPr>
        <w:fldChar w:fldCharType="separate"/>
      </w:r>
      <w:r w:rsidRPr="00BD5402" w:rsidR="00BD5402">
        <w:rPr>
          <w:rFonts w:eastAsiaTheme="minorEastAsia"/>
          <w:noProof/>
        </w:rPr>
        <w:t>29</w:t>
      </w:r>
      <w:r w:rsidRPr="00BD5402">
        <w:rPr>
          <w:rFonts w:eastAsiaTheme="minorEastAsia"/>
        </w:rPr>
        <w:fldChar w:fldCharType="end"/>
      </w:r>
      <w:r w:rsidRPr="00BD5402">
        <w:rPr>
          <w:rFonts w:eastAsiaTheme="minorEastAsia"/>
        </w:rPr>
        <w:t>.  Le requérant réclame 27 350 roubles russes (RUB) pour préjudice matériel, soit le montant de l</w:t>
      </w:r>
      <w:r w:rsidRPr="00BD5402" w:rsidR="00BD5402">
        <w:rPr>
          <w:rFonts w:eastAsiaTheme="minorEastAsia"/>
        </w:rPr>
        <w:t>’</w:t>
      </w:r>
      <w:r w:rsidRPr="00BD5402">
        <w:rPr>
          <w:rFonts w:eastAsiaTheme="minorEastAsia"/>
        </w:rPr>
        <w:t>amende et des frais et dépens auxquels il a été condamné à l</w:t>
      </w:r>
      <w:r w:rsidRPr="00BD5402" w:rsidR="00BD5402">
        <w:rPr>
          <w:rFonts w:eastAsiaTheme="minorEastAsia"/>
        </w:rPr>
        <w:t>’</w:t>
      </w:r>
      <w:r w:rsidRPr="00BD5402">
        <w:rPr>
          <w:rFonts w:eastAsiaTheme="minorEastAsia"/>
        </w:rPr>
        <w:t>issue du procès pénal dirigé contre lui. Il réclame en outre 10 000 euros (EUR) au titre du préjudice moral qu</w:t>
      </w:r>
      <w:r w:rsidRPr="00BD5402" w:rsidR="00BD5402">
        <w:rPr>
          <w:rFonts w:eastAsiaTheme="minorEastAsia"/>
        </w:rPr>
        <w:t>’</w:t>
      </w:r>
      <w:r w:rsidRPr="00BD5402">
        <w:rPr>
          <w:rFonts w:eastAsiaTheme="minorEastAsia"/>
        </w:rPr>
        <w:t>il dit avoir subi.</w:t>
      </w:r>
    </w:p>
    <w:p w:rsidRPr="00BD5402" w:rsidR="00001CC5" w:rsidP="00BD5402" w:rsidRDefault="00001CC5" w14:paraId="4C9026A9" w14:textId="6F7E8923">
      <w:pPr>
        <w:pStyle w:val="JuPara"/>
        <w:rPr>
          <w:rFonts w:eastAsiaTheme="minorEastAsia"/>
        </w:rPr>
      </w:pPr>
      <w:r w:rsidRPr="00BD5402">
        <w:rPr>
          <w:rFonts w:eastAsiaTheme="minorEastAsia"/>
        </w:rPr>
        <w:fldChar w:fldCharType="begin"/>
      </w:r>
      <w:r w:rsidRPr="00BD5402">
        <w:rPr>
          <w:rFonts w:eastAsiaTheme="minorEastAsia"/>
        </w:rPr>
        <w:instrText xml:space="preserve"> SEQ level0 \*arabic </w:instrText>
      </w:r>
      <w:r w:rsidRPr="00BD5402">
        <w:rPr>
          <w:rFonts w:eastAsiaTheme="minorEastAsia"/>
        </w:rPr>
        <w:fldChar w:fldCharType="separate"/>
      </w:r>
      <w:r w:rsidRPr="00BD5402" w:rsidR="00BD5402">
        <w:rPr>
          <w:rFonts w:eastAsiaTheme="minorEastAsia"/>
          <w:noProof/>
        </w:rPr>
        <w:t>30</w:t>
      </w:r>
      <w:r w:rsidRPr="00BD5402">
        <w:rPr>
          <w:rFonts w:eastAsiaTheme="minorEastAsia"/>
        </w:rPr>
        <w:fldChar w:fldCharType="end"/>
      </w:r>
      <w:r w:rsidRPr="00BD5402">
        <w:rPr>
          <w:rFonts w:eastAsiaTheme="minorEastAsia"/>
        </w:rPr>
        <w:t>.  Le Gouvernement invite la Cour à rejeter cette demande, qu</w:t>
      </w:r>
      <w:r w:rsidRPr="00BD5402" w:rsidR="00BD5402">
        <w:rPr>
          <w:rFonts w:eastAsiaTheme="minorEastAsia"/>
        </w:rPr>
        <w:t>’</w:t>
      </w:r>
      <w:r w:rsidRPr="00BD5402">
        <w:rPr>
          <w:rFonts w:hint="eastAsia" w:eastAsiaTheme="minorEastAsia"/>
        </w:rPr>
        <w:t xml:space="preserve">il </w:t>
      </w:r>
      <w:r w:rsidRPr="00BD5402">
        <w:rPr>
          <w:rFonts w:eastAsiaTheme="minorEastAsia"/>
        </w:rPr>
        <w:t>qualifie d</w:t>
      </w:r>
      <w:r w:rsidRPr="00BD5402" w:rsidR="00BD5402">
        <w:rPr>
          <w:rFonts w:eastAsiaTheme="minorEastAsia"/>
        </w:rPr>
        <w:t>’</w:t>
      </w:r>
      <w:r w:rsidRPr="00BD5402">
        <w:rPr>
          <w:rFonts w:eastAsiaTheme="minorEastAsia"/>
        </w:rPr>
        <w:t>infondée et d</w:t>
      </w:r>
      <w:r w:rsidRPr="00BD5402" w:rsidR="00BD5402">
        <w:rPr>
          <w:rFonts w:eastAsiaTheme="minorEastAsia"/>
        </w:rPr>
        <w:t>’</w:t>
      </w:r>
      <w:r w:rsidRPr="00BD5402">
        <w:rPr>
          <w:rFonts w:eastAsiaTheme="minorEastAsia"/>
        </w:rPr>
        <w:t>excessive.</w:t>
      </w:r>
    </w:p>
    <w:p w:rsidRPr="00BD5402" w:rsidR="00001CC5" w:rsidP="00BD5402" w:rsidRDefault="00001CC5" w14:paraId="5127FF5B" w14:textId="4E931993">
      <w:pPr>
        <w:pStyle w:val="JuPara"/>
      </w:pPr>
      <w:r w:rsidRPr="00BD5402">
        <w:fldChar w:fldCharType="begin"/>
      </w:r>
      <w:r w:rsidRPr="00BD5402">
        <w:instrText xml:space="preserve"> SEQ level0 \*arabic </w:instrText>
      </w:r>
      <w:r w:rsidRPr="00BD5402">
        <w:fldChar w:fldCharType="separate"/>
      </w:r>
      <w:r w:rsidRPr="00BD5402" w:rsidR="00BD5402">
        <w:rPr>
          <w:noProof/>
        </w:rPr>
        <w:t>31</w:t>
      </w:r>
      <w:r w:rsidRPr="00BD5402">
        <w:fldChar w:fldCharType="end"/>
      </w:r>
      <w:r w:rsidRPr="00BD5402">
        <w:t>.  La Cour estime qu</w:t>
      </w:r>
      <w:r w:rsidRPr="00BD5402" w:rsidR="00BD5402">
        <w:t>’</w:t>
      </w:r>
      <w:r w:rsidRPr="00BD5402">
        <w:t>il existe un lien de causalité suffisant entre le dommage matériel allégué et la violation constatée sur le terrain de l</w:t>
      </w:r>
      <w:r w:rsidRPr="00BD5402" w:rsidR="00BD5402">
        <w:t>’</w:t>
      </w:r>
      <w:r w:rsidRPr="00BD5402">
        <w:t>article 10 de la Convention (</w:t>
      </w:r>
      <w:r w:rsidRPr="00BD5402">
        <w:rPr>
          <w:i/>
        </w:rPr>
        <w:t>Terentyev c. Russie</w:t>
      </w:r>
      <w:r w:rsidRPr="00BD5402">
        <w:t>, n</w:t>
      </w:r>
      <w:r w:rsidRPr="00BD5402">
        <w:rPr>
          <w:vertAlign w:val="superscript"/>
        </w:rPr>
        <w:t>o</w:t>
      </w:r>
      <w:r w:rsidRPr="00BD5402">
        <w:t> 25147/09, § 29, 26 janvier 2017). Il y a donc lieu d</w:t>
      </w:r>
      <w:r w:rsidRPr="00BD5402" w:rsidR="00BD5402">
        <w:t>’</w:t>
      </w:r>
      <w:r w:rsidRPr="00BD5402">
        <w:t>ordonner le remboursement de la somme mise à la charge du requérant, à savoir 330 EUR. La Cour estime par ailleurs que le requérant a subi un préjudice moral certain du fait de sa condamnation au pénal pour diffamation. Par conséquent, elle décide qu</w:t>
      </w:r>
      <w:r w:rsidRPr="00BD5402" w:rsidR="00BD5402">
        <w:t>’</w:t>
      </w:r>
      <w:r w:rsidRPr="00BD5402">
        <w:t>il y a lieu de lui octroyer 7 500 EUR pour préjudice moral.</w:t>
      </w:r>
    </w:p>
    <w:p w:rsidRPr="00BD5402" w:rsidR="00001CC5" w:rsidP="00BD5402" w:rsidRDefault="00001CC5" w14:paraId="067C175C" w14:textId="77777777">
      <w:pPr>
        <w:pStyle w:val="JuHA"/>
        <w:numPr>
          <w:ilvl w:val="2"/>
          <w:numId w:val="1"/>
        </w:numPr>
        <w:ind w:left="510" w:hanging="340"/>
        <w:rPr>
          <w:rFonts w:eastAsiaTheme="minorEastAsia"/>
        </w:rPr>
      </w:pPr>
      <w:r w:rsidRPr="00BD5402">
        <w:rPr>
          <w:rFonts w:eastAsiaTheme="minorEastAsia"/>
        </w:rPr>
        <w:t>Frais et dépens</w:t>
      </w:r>
    </w:p>
    <w:p w:rsidRPr="00BD5402" w:rsidR="00001CC5" w:rsidP="00BD5402" w:rsidRDefault="00001CC5" w14:paraId="6198DAF8" w14:textId="73C46570">
      <w:pPr>
        <w:pStyle w:val="JuPara"/>
        <w:rPr>
          <w:rFonts w:eastAsiaTheme="minorEastAsia"/>
        </w:rPr>
      </w:pPr>
      <w:r w:rsidRPr="00BD5402">
        <w:rPr>
          <w:rFonts w:eastAsiaTheme="minorEastAsia"/>
        </w:rPr>
        <w:fldChar w:fldCharType="begin"/>
      </w:r>
      <w:r w:rsidRPr="00BD5402">
        <w:rPr>
          <w:rFonts w:eastAsiaTheme="minorEastAsia"/>
        </w:rPr>
        <w:instrText xml:space="preserve"> SEQ level0 \*arabic </w:instrText>
      </w:r>
      <w:r w:rsidRPr="00BD5402">
        <w:rPr>
          <w:rFonts w:eastAsiaTheme="minorEastAsia"/>
        </w:rPr>
        <w:fldChar w:fldCharType="separate"/>
      </w:r>
      <w:r w:rsidRPr="00BD5402" w:rsidR="00BD5402">
        <w:rPr>
          <w:rFonts w:eastAsiaTheme="minorEastAsia"/>
          <w:noProof/>
        </w:rPr>
        <w:t>32</w:t>
      </w:r>
      <w:r w:rsidRPr="00BD5402">
        <w:rPr>
          <w:rFonts w:eastAsiaTheme="minorEastAsia"/>
        </w:rPr>
        <w:fldChar w:fldCharType="end"/>
      </w:r>
      <w:r w:rsidRPr="00BD5402">
        <w:rPr>
          <w:rFonts w:eastAsiaTheme="minorEastAsia"/>
        </w:rPr>
        <w:t xml:space="preserve">.  Le requérant demande également </w:t>
      </w:r>
      <w:r w:rsidRPr="00BD5402">
        <w:rPr>
          <w:rFonts w:eastAsiaTheme="minorEastAsia"/>
          <w:lang w:eastAsia="en-GB"/>
        </w:rPr>
        <w:t xml:space="preserve">1 800 </w:t>
      </w:r>
      <w:r w:rsidRPr="00BD5402">
        <w:rPr>
          <w:rFonts w:eastAsiaTheme="minorEastAsia"/>
        </w:rPr>
        <w:t>EUR pour ses frais et dépens engagés devant la Cour, dont 1 650 EUR pour ses frais de conseil et 150 EUR pour ses frais de traduction.</w:t>
      </w:r>
    </w:p>
    <w:p w:rsidRPr="00BD5402" w:rsidR="00001CC5" w:rsidP="00BD5402" w:rsidRDefault="00001CC5" w14:paraId="40153EED" w14:textId="162F994B">
      <w:pPr>
        <w:pStyle w:val="JuPara"/>
        <w:rPr>
          <w:rFonts w:eastAsiaTheme="minorEastAsia"/>
        </w:rPr>
      </w:pPr>
      <w:r w:rsidRPr="00BD5402">
        <w:rPr>
          <w:rFonts w:eastAsiaTheme="minorEastAsia"/>
        </w:rPr>
        <w:fldChar w:fldCharType="begin"/>
      </w:r>
      <w:r w:rsidRPr="00BD5402">
        <w:rPr>
          <w:rFonts w:eastAsiaTheme="minorEastAsia"/>
        </w:rPr>
        <w:instrText xml:space="preserve"> SEQ level0 \*arabic </w:instrText>
      </w:r>
      <w:r w:rsidRPr="00BD5402">
        <w:rPr>
          <w:rFonts w:eastAsiaTheme="minorEastAsia"/>
        </w:rPr>
        <w:fldChar w:fldCharType="separate"/>
      </w:r>
      <w:r w:rsidRPr="00BD5402" w:rsidR="00BD5402">
        <w:rPr>
          <w:rFonts w:eastAsiaTheme="minorEastAsia"/>
          <w:noProof/>
        </w:rPr>
        <w:t>33</w:t>
      </w:r>
      <w:r w:rsidRPr="00BD5402">
        <w:rPr>
          <w:rFonts w:eastAsiaTheme="minorEastAsia"/>
        </w:rPr>
        <w:fldChar w:fldCharType="end"/>
      </w:r>
      <w:r w:rsidRPr="00BD5402">
        <w:rPr>
          <w:rFonts w:eastAsiaTheme="minorEastAsia"/>
        </w:rPr>
        <w:t>.  Le Gouvernement indique que le requérant n</w:t>
      </w:r>
      <w:r w:rsidRPr="00BD5402" w:rsidR="00BD5402">
        <w:rPr>
          <w:rFonts w:eastAsiaTheme="minorEastAsia"/>
        </w:rPr>
        <w:t>’</w:t>
      </w:r>
      <w:r w:rsidRPr="00BD5402">
        <w:rPr>
          <w:rFonts w:eastAsiaTheme="minorEastAsia"/>
        </w:rPr>
        <w:t>a soumis à la Cour aucune preuve démontrant le versement effectif des sommes réclamées par lui</w:t>
      </w:r>
      <w:r w:rsidRPr="00BD5402">
        <w:rPr>
          <w:rFonts w:eastAsiaTheme="minorEastAsia"/>
          <w:lang w:eastAsia="en-GB"/>
        </w:rPr>
        <w:t>.</w:t>
      </w:r>
    </w:p>
    <w:p w:rsidRPr="00BD5402" w:rsidR="00001CC5" w:rsidP="00BD5402" w:rsidRDefault="00001CC5" w14:paraId="0A1BD3FB" w14:textId="1BF998F4">
      <w:pPr>
        <w:pStyle w:val="JuPara"/>
        <w:rPr>
          <w:rFonts w:eastAsiaTheme="minorEastAsia"/>
        </w:rPr>
      </w:pPr>
      <w:r w:rsidRPr="00BD5402">
        <w:rPr>
          <w:rFonts w:eastAsiaTheme="minorEastAsia"/>
        </w:rPr>
        <w:fldChar w:fldCharType="begin"/>
      </w:r>
      <w:r w:rsidRPr="00BD5402">
        <w:rPr>
          <w:rFonts w:eastAsiaTheme="minorEastAsia"/>
        </w:rPr>
        <w:instrText xml:space="preserve"> SEQ level0 \*arabic </w:instrText>
      </w:r>
      <w:r w:rsidRPr="00BD5402">
        <w:rPr>
          <w:rFonts w:eastAsiaTheme="minorEastAsia"/>
        </w:rPr>
        <w:fldChar w:fldCharType="separate"/>
      </w:r>
      <w:r w:rsidRPr="00BD5402" w:rsidR="00BD5402">
        <w:rPr>
          <w:rFonts w:eastAsiaTheme="minorEastAsia"/>
          <w:noProof/>
        </w:rPr>
        <w:t>34</w:t>
      </w:r>
      <w:r w:rsidRPr="00BD5402">
        <w:rPr>
          <w:rFonts w:eastAsiaTheme="minorEastAsia"/>
        </w:rPr>
        <w:fldChar w:fldCharType="end"/>
      </w:r>
      <w:r w:rsidRPr="00BD5402">
        <w:rPr>
          <w:rFonts w:eastAsiaTheme="minorEastAsia"/>
        </w:rPr>
        <w:t>.  La Cour rappelle que, selon sa jurisprudence, un requérant ne peut obtenir le remboursement de ses frais et dépens que dans la mesure où se trouvent établis leur réalité, leur nécessité et le caractère raisonnable de leur taux. En ce qui concerne la demande relative aux frais de conseil pour la procédure devant elle, compte tenu des documents dont elle dispose et des critères susmentionnés, la Cour alloue au requérant 1 650 EUR, plus tout montant pouvant être dû sur cette somme à titre d</w:t>
      </w:r>
      <w:r w:rsidRPr="00BD5402" w:rsidR="00BD5402">
        <w:rPr>
          <w:rFonts w:eastAsiaTheme="minorEastAsia"/>
        </w:rPr>
        <w:t>’</w:t>
      </w:r>
      <w:r w:rsidRPr="00BD5402">
        <w:rPr>
          <w:rFonts w:eastAsiaTheme="minorEastAsia"/>
        </w:rPr>
        <w:t>impôt. En ce qui concerne la demande relative aux frais de traduction, elle constate que le requérant n</w:t>
      </w:r>
      <w:r w:rsidRPr="00BD5402" w:rsidR="00BD5402">
        <w:rPr>
          <w:rFonts w:eastAsiaTheme="minorEastAsia"/>
        </w:rPr>
        <w:t>’</w:t>
      </w:r>
      <w:r w:rsidRPr="00BD5402">
        <w:rPr>
          <w:rFonts w:eastAsiaTheme="minorEastAsia"/>
        </w:rPr>
        <w:t>a produit aucune preuve du versement effectif de la somme réclamée. Elle rejette donc les prétentions du requérant à ce titre.</w:t>
      </w:r>
    </w:p>
    <w:p w:rsidRPr="00BD5402" w:rsidR="00001CC5" w:rsidP="00BD5402" w:rsidRDefault="00001CC5" w14:paraId="689FFB67" w14:textId="77777777">
      <w:pPr>
        <w:pStyle w:val="JuHA"/>
        <w:numPr>
          <w:ilvl w:val="2"/>
          <w:numId w:val="1"/>
        </w:numPr>
        <w:ind w:left="510" w:hanging="340"/>
      </w:pPr>
      <w:r w:rsidRPr="00BD5402">
        <w:t>Intérêts moratoires</w:t>
      </w:r>
    </w:p>
    <w:p w:rsidRPr="00BD5402" w:rsidR="00001CC5" w:rsidP="00BD5402" w:rsidRDefault="00001CC5" w14:paraId="5C7C9999" w14:textId="72BD7FDB">
      <w:pPr>
        <w:pStyle w:val="JuPara"/>
      </w:pPr>
      <w:r w:rsidRPr="00BD5402">
        <w:fldChar w:fldCharType="begin"/>
      </w:r>
      <w:r w:rsidRPr="00BD5402">
        <w:instrText xml:space="preserve"> SEQ level0 \*arabic </w:instrText>
      </w:r>
      <w:r w:rsidRPr="00BD5402">
        <w:fldChar w:fldCharType="separate"/>
      </w:r>
      <w:r w:rsidRPr="00BD5402" w:rsidR="00BD5402">
        <w:rPr>
          <w:noProof/>
        </w:rPr>
        <w:t>35</w:t>
      </w:r>
      <w:r w:rsidRPr="00BD5402">
        <w:fldChar w:fldCharType="end"/>
      </w:r>
      <w:r w:rsidRPr="00BD5402">
        <w:t>.  La Cour juge approprié de calquer le taux des intérêts moratoires sur le taux d</w:t>
      </w:r>
      <w:r w:rsidRPr="00BD5402" w:rsidR="00BD5402">
        <w:t>’</w:t>
      </w:r>
      <w:r w:rsidRPr="00BD5402">
        <w:t>intérêt de la facilité de prêt marginal de la Banque centrale européenne majoré de trois points de pourcentage.</w:t>
      </w:r>
    </w:p>
    <w:p w:rsidRPr="00BD5402" w:rsidR="00001CC5" w:rsidP="00BD5402" w:rsidRDefault="00001CC5" w14:paraId="331D7419" w14:textId="072FA547">
      <w:pPr>
        <w:pStyle w:val="JuHHead"/>
        <w:numPr>
          <w:ilvl w:val="0"/>
          <w:numId w:val="1"/>
        </w:numPr>
      </w:pPr>
      <w:r w:rsidRPr="00BD5402">
        <w:t xml:space="preserve">PAR CES MOTIFS, LA COUR, </w:t>
      </w:r>
      <w:r w:rsidRPr="00BD5402">
        <w:rPr>
          <w:caps w:val="0"/>
        </w:rPr>
        <w:t>À L</w:t>
      </w:r>
      <w:r w:rsidRPr="00BD5402" w:rsidR="00BD5402">
        <w:rPr>
          <w:caps w:val="0"/>
        </w:rPr>
        <w:t>’</w:t>
      </w:r>
      <w:r w:rsidRPr="00BD5402">
        <w:rPr>
          <w:caps w:val="0"/>
        </w:rPr>
        <w:t>UNANIMITÉ</w:t>
      </w:r>
      <w:r w:rsidRPr="00BD5402">
        <w:t>,</w:t>
      </w:r>
    </w:p>
    <w:p w:rsidRPr="00BD5402" w:rsidR="00001CC5" w:rsidP="00BD5402" w:rsidRDefault="00001CC5" w14:paraId="0BFBC40B" w14:textId="77777777">
      <w:pPr>
        <w:pStyle w:val="JuList"/>
      </w:pPr>
      <w:r w:rsidRPr="00BD5402">
        <w:rPr>
          <w:i/>
        </w:rPr>
        <w:t>Déclare</w:t>
      </w:r>
      <w:r w:rsidRPr="00BD5402">
        <w:t xml:space="preserve"> la requête recevable ;</w:t>
      </w:r>
    </w:p>
    <w:p w:rsidRPr="00BD5402" w:rsidR="00001CC5" w:rsidP="00BD5402" w:rsidRDefault="00001CC5" w14:paraId="549C8F1F" w14:textId="4FBDBA5E">
      <w:pPr>
        <w:pStyle w:val="JuList"/>
      </w:pPr>
      <w:r w:rsidRPr="00BD5402">
        <w:rPr>
          <w:i/>
        </w:rPr>
        <w:t>Dit</w:t>
      </w:r>
      <w:r w:rsidRPr="00BD5402">
        <w:t xml:space="preserve"> qu</w:t>
      </w:r>
      <w:r w:rsidRPr="00BD5402" w:rsidR="00BD5402">
        <w:t>’</w:t>
      </w:r>
      <w:r w:rsidRPr="00BD5402">
        <w:t>il y a eu violation de l</w:t>
      </w:r>
      <w:r w:rsidRPr="00BD5402" w:rsidR="00BD5402">
        <w:t>’</w:t>
      </w:r>
      <w:r w:rsidRPr="00BD5402">
        <w:t>article 10 de la Convention ;</w:t>
      </w:r>
    </w:p>
    <w:p w:rsidRPr="00BD5402" w:rsidR="00001CC5" w:rsidP="00BD5402" w:rsidRDefault="00001CC5" w14:paraId="152B69C9" w14:textId="77777777">
      <w:pPr>
        <w:pStyle w:val="JuList"/>
      </w:pPr>
      <w:r w:rsidRPr="00BD5402">
        <w:rPr>
          <w:i/>
        </w:rPr>
        <w:t>Dit</w:t>
      </w:r>
      <w:r w:rsidRPr="00BD5402">
        <w:t>,</w:t>
      </w:r>
    </w:p>
    <w:p w:rsidRPr="00BD5402" w:rsidR="00001CC5" w:rsidP="00BD5402" w:rsidRDefault="00001CC5" w14:paraId="3D860F79" w14:textId="392EB4D8">
      <w:pPr>
        <w:pStyle w:val="JuLista"/>
      </w:pPr>
      <w:proofErr w:type="gramStart"/>
      <w:r w:rsidRPr="00BD5402">
        <w:t>que</w:t>
      </w:r>
      <w:proofErr w:type="gramEnd"/>
      <w:r w:rsidRPr="00BD5402">
        <w:t xml:space="preserve"> l</w:t>
      </w:r>
      <w:r w:rsidRPr="00BD5402" w:rsidR="00BD5402">
        <w:t>’</w:t>
      </w:r>
      <w:r w:rsidRPr="00BD5402">
        <w:t>État défendeur doit verser au requérant, dans un délai de trois mois les sommes suivantes,</w:t>
      </w:r>
      <w:r w:rsidRPr="00BD5402">
        <w:rPr>
          <w:b/>
        </w:rPr>
        <w:t xml:space="preserve"> </w:t>
      </w:r>
      <w:r w:rsidRPr="00BD5402">
        <w:rPr>
          <w:bCs/>
        </w:rPr>
        <w:t>à convertir dans la monnaie de l</w:t>
      </w:r>
      <w:r w:rsidRPr="00BD5402" w:rsidR="00BD5402">
        <w:rPr>
          <w:bCs/>
        </w:rPr>
        <w:t>’</w:t>
      </w:r>
      <w:r w:rsidRPr="00BD5402">
        <w:rPr>
          <w:bCs/>
        </w:rPr>
        <w:t>État défendeur</w:t>
      </w:r>
      <w:r w:rsidRPr="00BD5402">
        <w:rPr>
          <w:b/>
        </w:rPr>
        <w:t xml:space="preserve"> </w:t>
      </w:r>
      <w:r w:rsidRPr="00BD5402">
        <w:t>au taux applicable à la date du règlement :</w:t>
      </w:r>
    </w:p>
    <w:p w:rsidRPr="00BD5402" w:rsidR="00001CC5" w:rsidP="00BD5402" w:rsidRDefault="00001CC5" w14:paraId="5B0C6B6C" w14:textId="598880DC">
      <w:pPr>
        <w:pStyle w:val="JuListi"/>
      </w:pPr>
      <w:r w:rsidRPr="00BD5402">
        <w:t>330 EUR (trois cent trente euros), plus tout montant pouvant être dû sur cette somme à titre d</w:t>
      </w:r>
      <w:r w:rsidRPr="00BD5402" w:rsidR="00BD5402">
        <w:t>’</w:t>
      </w:r>
      <w:r w:rsidRPr="00BD5402">
        <w:t>impôt, pour dommage matériel ;</w:t>
      </w:r>
    </w:p>
    <w:p w:rsidRPr="00BD5402" w:rsidR="00001CC5" w:rsidP="00BD5402" w:rsidRDefault="00001CC5" w14:paraId="0681FF9B" w14:textId="5A2B3B64">
      <w:pPr>
        <w:pStyle w:val="JuListi"/>
      </w:pPr>
      <w:r w:rsidRPr="00BD5402">
        <w:t>7 500 EUR (sept mille cinq cents euros), plus tout montant pouvant être dû sur cette somme à titre d</w:t>
      </w:r>
      <w:r w:rsidRPr="00BD5402" w:rsidR="00BD5402">
        <w:t>’</w:t>
      </w:r>
      <w:r w:rsidRPr="00BD5402">
        <w:t>impôt, pour dommage moral ;</w:t>
      </w:r>
    </w:p>
    <w:p w:rsidRPr="00BD5402" w:rsidR="00001CC5" w:rsidP="00BD5402" w:rsidRDefault="00001CC5" w14:paraId="443789F7" w14:textId="52AAC653">
      <w:pPr>
        <w:pStyle w:val="JuListi"/>
      </w:pPr>
      <w:r w:rsidRPr="00BD5402">
        <w:t>1 650 EUR (mille six cent cinquante euros), plus tout montant pouvant être dû sur cette somme par le requérant à titre d</w:t>
      </w:r>
      <w:r w:rsidRPr="00BD5402" w:rsidR="00BD5402">
        <w:t>’</w:t>
      </w:r>
      <w:r w:rsidRPr="00BD5402">
        <w:t>impôt, pour frais et dépens ;</w:t>
      </w:r>
    </w:p>
    <w:p w:rsidRPr="00BD5402" w:rsidR="00001CC5" w:rsidP="00BD5402" w:rsidRDefault="00001CC5" w14:paraId="21B4AC76" w14:textId="105C0DAB">
      <w:pPr>
        <w:pStyle w:val="JuLista"/>
      </w:pPr>
      <w:proofErr w:type="gramStart"/>
      <w:r w:rsidRPr="00BD5402">
        <w:t>qu</w:t>
      </w:r>
      <w:r w:rsidRPr="00BD5402" w:rsidR="00BD5402">
        <w:t>’</w:t>
      </w:r>
      <w:r w:rsidRPr="00BD5402">
        <w:t>à</w:t>
      </w:r>
      <w:proofErr w:type="gramEnd"/>
      <w:r w:rsidRPr="00BD5402">
        <w:t xml:space="preserve"> compter de l</w:t>
      </w:r>
      <w:r w:rsidRPr="00BD5402" w:rsidR="00BD5402">
        <w:t>’</w:t>
      </w:r>
      <w:r w:rsidRPr="00BD5402">
        <w:t>expiration dudit délai et jusqu</w:t>
      </w:r>
      <w:r w:rsidRPr="00BD5402" w:rsidR="00BD5402">
        <w:t>’</w:t>
      </w:r>
      <w:r w:rsidRPr="00BD5402">
        <w:t>au versement, ces montants seront à majorer d</w:t>
      </w:r>
      <w:r w:rsidRPr="00BD5402" w:rsidR="00BD5402">
        <w:t>’</w:t>
      </w:r>
      <w:r w:rsidRPr="00BD5402">
        <w:t>un intérêt simple à un taux égal à celui de la facilité de prêt marginal de la Banque centrale européenne applicable pendant cette période, augmenté de trois points de pourcentage ;</w:t>
      </w:r>
    </w:p>
    <w:p w:rsidRPr="00BD5402" w:rsidR="00876F03" w:rsidP="00BD5402" w:rsidRDefault="00001CC5" w14:paraId="2B48FBA4" w14:textId="77777777">
      <w:pPr>
        <w:pStyle w:val="JuList"/>
      </w:pPr>
      <w:r w:rsidRPr="00BD5402">
        <w:rPr>
          <w:i/>
        </w:rPr>
        <w:t>Rejette</w:t>
      </w:r>
      <w:r w:rsidRPr="00BD5402">
        <w:t xml:space="preserve"> le surplus de la demande de satisfaction équitable.</w:t>
      </w:r>
    </w:p>
    <w:p w:rsidRPr="00BD5402" w:rsidR="00001CC5" w:rsidP="00BD5402" w:rsidRDefault="00893F30" w14:paraId="6217552B" w14:textId="278F0EC9">
      <w:pPr>
        <w:pStyle w:val="JuParaLast"/>
      </w:pPr>
      <w:r w:rsidRPr="00BD5402">
        <w:t xml:space="preserve">Fait en français, puis communiqué par écrit le </w:t>
      </w:r>
      <w:r w:rsidRPr="00BD5402" w:rsidR="00001CC5">
        <w:t>28 septembre 2021</w:t>
      </w:r>
      <w:r w:rsidRPr="00BD5402">
        <w:t>, en application de l</w:t>
      </w:r>
      <w:r w:rsidRPr="00BD5402" w:rsidR="00BD5402">
        <w:t>’</w:t>
      </w:r>
      <w:r w:rsidRPr="00BD5402">
        <w:t>article 77 §§ 2 et 3 du règlement.</w:t>
      </w:r>
    </w:p>
    <w:p w:rsidRPr="00BD5402" w:rsidR="00876F03" w:rsidP="00BD5402" w:rsidRDefault="00001CC5" w14:paraId="1440F656" w14:textId="5E676C6E">
      <w:pPr>
        <w:pStyle w:val="JuSigned"/>
      </w:pPr>
      <w:r w:rsidRPr="00BD5402">
        <w:t>Olga Chernishova</w:t>
      </w:r>
      <w:r w:rsidRPr="00BD5402" w:rsidR="004344E6">
        <w:tab/>
      </w:r>
      <w:r w:rsidRPr="00BD5402">
        <w:t xml:space="preserve">Darian Pavli </w:t>
      </w:r>
      <w:r w:rsidRPr="00BD5402" w:rsidR="004344E6">
        <w:br/>
      </w:r>
      <w:r w:rsidRPr="00BD5402" w:rsidR="004344E6">
        <w:tab/>
      </w:r>
      <w:r w:rsidRPr="00BD5402">
        <w:t>Greffière adjointe</w:t>
      </w:r>
      <w:r w:rsidRPr="00BD5402" w:rsidR="004344E6">
        <w:tab/>
      </w:r>
      <w:r w:rsidRPr="00BD5402">
        <w:t>Président</w:t>
      </w:r>
    </w:p>
    <w:sectPr w:rsidRPr="00BD5402" w:rsidR="00876F03">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9B7B" w14:textId="77777777" w:rsidR="00001CC5" w:rsidRPr="00F25EFC" w:rsidRDefault="00001CC5" w:rsidP="00516B59">
      <w:r w:rsidRPr="00F25EFC">
        <w:separator/>
      </w:r>
    </w:p>
  </w:endnote>
  <w:endnote w:type="continuationSeparator" w:id="0">
    <w:p w14:paraId="159458A2" w14:textId="77777777" w:rsidR="00001CC5" w:rsidRPr="00F25EFC" w:rsidRDefault="00001CC5"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1B0C" w14:textId="4EC0E5DF" w:rsidR="00954AD6" w:rsidRPr="00F25EFC" w:rsidRDefault="00001CC5"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7FF8" w14:textId="2FD7EBC5" w:rsidR="00001CC5" w:rsidRPr="00150BFA" w:rsidRDefault="00001CC5" w:rsidP="0020718E">
    <w:pPr>
      <w:jc w:val="center"/>
    </w:pPr>
    <w:r>
      <w:rPr>
        <w:noProof/>
        <w:lang w:val="en-US" w:eastAsia="ja-JP"/>
      </w:rPr>
      <w:drawing>
        <wp:inline distT="0" distB="0" distL="0" distR="0" wp14:anchorId="39A40F13" wp14:editId="65E31E6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12344F4" w14:textId="5512085E" w:rsidR="00F22D5C" w:rsidRPr="00F25EFC" w:rsidRDefault="004A2373"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A76F" w14:textId="68D67745" w:rsidR="00001CC5" w:rsidRPr="00150BFA" w:rsidRDefault="00001CC5" w:rsidP="0020718E">
    <w:pPr>
      <w:jc w:val="center"/>
    </w:pPr>
    <w:r>
      <w:rPr>
        <w:noProof/>
        <w:lang w:val="en-US" w:eastAsia="ja-JP"/>
      </w:rPr>
      <w:drawing>
        <wp:inline distT="0" distB="0" distL="0" distR="0" wp14:anchorId="57ACC346" wp14:editId="19CC32EB">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13DE6B" w14:textId="49CA16B8"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8D6A" w14:textId="73E7DBAB" w:rsidR="00F22D5C" w:rsidRPr="00D01935" w:rsidRDefault="00001CC5"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B8294" w14:textId="77777777" w:rsidR="00001CC5" w:rsidRPr="00F25EFC" w:rsidRDefault="00001CC5" w:rsidP="00516B59">
      <w:r w:rsidRPr="00F25EFC">
        <w:separator/>
      </w:r>
    </w:p>
  </w:footnote>
  <w:footnote w:type="continuationSeparator" w:id="0">
    <w:p w14:paraId="0461FAB8" w14:textId="77777777" w:rsidR="00001CC5" w:rsidRPr="00F25EFC" w:rsidRDefault="00001CC5" w:rsidP="00516B59">
      <w:r w:rsidRPr="00F25EFC">
        <w:continuationSeparator/>
      </w:r>
    </w:p>
  </w:footnote>
  <w:footnote w:id="1">
    <w:p w14:paraId="35C9A47A" w14:textId="77777777" w:rsidR="00001CC5" w:rsidRPr="00300E7F" w:rsidRDefault="00001CC5" w:rsidP="00001CC5">
      <w:pPr>
        <w:pStyle w:val="FootnoteText"/>
      </w:pPr>
      <w:r w:rsidRPr="006F5092">
        <w:rPr>
          <w:rStyle w:val="FootnoteReference"/>
        </w:rPr>
        <w:footnoteRef/>
      </w:r>
      <w:r w:rsidRPr="006F5092">
        <w:rPr>
          <w:rStyle w:val="FootnoteReference"/>
        </w:rPr>
        <w:t xml:space="preserve"> </w:t>
      </w:r>
      <w:r w:rsidRPr="00300E7F">
        <w:t xml:space="preserve">Littéralement </w:t>
      </w:r>
      <w:r>
        <w:t>« </w:t>
      </w:r>
      <w:r w:rsidRPr="00300E7F">
        <w:t>voleur dans l</w:t>
      </w:r>
      <w:r>
        <w:t>a</w:t>
      </w:r>
      <w:r w:rsidRPr="00300E7F">
        <w:t xml:space="preserve"> </w:t>
      </w:r>
      <w:r>
        <w:t>loi », chef criminel</w:t>
      </w:r>
      <w:r w:rsidRPr="00300E7F">
        <w:t xml:space="preserve"> respectant l</w:t>
      </w:r>
      <w:r>
        <w:t>e code de conduite informel</w:t>
      </w:r>
    </w:p>
  </w:footnote>
  <w:footnote w:id="2">
    <w:p w14:paraId="13B7BFC1" w14:textId="77777777" w:rsidR="00001CC5" w:rsidRPr="00300E7F" w:rsidRDefault="00001CC5" w:rsidP="00001CC5">
      <w:pPr>
        <w:pStyle w:val="FootnoteText"/>
      </w:pPr>
      <w:r w:rsidRPr="006F5092">
        <w:rPr>
          <w:rStyle w:val="FootnoteReference"/>
        </w:rPr>
        <w:footnoteRef/>
      </w:r>
      <w:r w:rsidRPr="006F5092">
        <w:rPr>
          <w:rStyle w:val="FootnoteReference"/>
        </w:rPr>
        <w:t xml:space="preserve"> </w:t>
      </w:r>
      <w:r w:rsidRPr="00300E7F">
        <w:t xml:space="preserve">Littéralement </w:t>
      </w:r>
      <w:r>
        <w:t>« </w:t>
      </w:r>
      <w:r w:rsidRPr="00300E7F">
        <w:t>celui qui regarde</w:t>
      </w:r>
      <w:r>
        <w:t> »</w:t>
      </w:r>
      <w:r w:rsidRPr="00300E7F">
        <w:t xml:space="preserve">, </w:t>
      </w:r>
      <w:r>
        <w:t>membre d’une organisation criminelle chargé de contrôler une zone ou un territoire particulier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8530" w14:textId="32427193" w:rsidR="00001CC5" w:rsidRPr="00A45145" w:rsidRDefault="00001CC5" w:rsidP="00A45145">
    <w:pPr>
      <w:jc w:val="center"/>
    </w:pPr>
    <w:r>
      <w:rPr>
        <w:noProof/>
        <w:lang w:val="en-US" w:eastAsia="ja-JP"/>
      </w:rPr>
      <w:drawing>
        <wp:inline distT="0" distB="0" distL="0" distR="0" wp14:anchorId="7AB7A652" wp14:editId="727488C7">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234529D" w14:textId="7BB03732" w:rsidR="00F22D5C" w:rsidRPr="00F25EFC" w:rsidRDefault="004A2373"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12FC" w14:textId="1C55CC70" w:rsidR="00001CC5" w:rsidRPr="00A45145" w:rsidRDefault="00001CC5" w:rsidP="00A45145">
    <w:pPr>
      <w:jc w:val="center"/>
    </w:pPr>
    <w:r>
      <w:rPr>
        <w:noProof/>
        <w:lang w:val="en-US" w:eastAsia="ja-JP"/>
      </w:rPr>
      <w:drawing>
        <wp:inline distT="0" distB="0" distL="0" distR="0" wp14:anchorId="79E4C409" wp14:editId="58418E5F">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37BA32" w14:textId="65FFAB26"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046E" w14:textId="73A785B1"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001CC5">
      <w:rPr>
        <w:lang w:val="en-US"/>
      </w:rPr>
      <w:t>SHEVELEV c. RUSSIE</w:t>
    </w:r>
    <w:r w:rsidR="00001CC5"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3F5D" w14:textId="356831DC" w:rsidR="00F22D5C" w:rsidRPr="00662882" w:rsidRDefault="00256F45" w:rsidP="00662882">
    <w:pPr>
      <w:pStyle w:val="JuHeader"/>
    </w:pPr>
    <w:r w:rsidRPr="00592C8D">
      <w:rPr>
        <w:lang w:val="en-US"/>
      </w:rPr>
      <w:t>ARRÊT</w:t>
    </w:r>
    <w:r w:rsidR="00162967" w:rsidRPr="00592C8D">
      <w:rPr>
        <w:lang w:val="en-US"/>
      </w:rPr>
      <w:t xml:space="preserve"> </w:t>
    </w:r>
    <w:r w:rsidR="00001CC5">
      <w:rPr>
        <w:lang w:val="en-US"/>
      </w:rPr>
      <w:t>SHEVELEV c. RUSSIE</w:t>
    </w:r>
    <w:r w:rsidR="007971FF"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001CC5"/>
    <w:rsid w:val="00001CC5"/>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756D0"/>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09B9"/>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5092"/>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26C3"/>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D540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67A7"/>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20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5402"/>
    <w:rPr>
      <w:sz w:val="24"/>
      <w:szCs w:val="24"/>
      <w:lang w:val="fr-FR"/>
    </w:rPr>
  </w:style>
  <w:style w:type="paragraph" w:styleId="Heading1">
    <w:name w:val="heading 1"/>
    <w:basedOn w:val="Normal"/>
    <w:next w:val="Normal"/>
    <w:link w:val="Heading1Char"/>
    <w:uiPriority w:val="98"/>
    <w:semiHidden/>
    <w:rsid w:val="00BD540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D540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D540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D540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D540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D540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D540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D540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D540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D5402"/>
    <w:rPr>
      <w:rFonts w:ascii="Tahoma" w:hAnsi="Tahoma" w:cs="Tahoma"/>
      <w:sz w:val="16"/>
      <w:szCs w:val="16"/>
    </w:rPr>
  </w:style>
  <w:style w:type="character" w:customStyle="1" w:styleId="BalloonTextChar">
    <w:name w:val="Balloon Text Char"/>
    <w:basedOn w:val="DefaultParagraphFont"/>
    <w:link w:val="BalloonText"/>
    <w:uiPriority w:val="98"/>
    <w:semiHidden/>
    <w:rsid w:val="00BD5402"/>
    <w:rPr>
      <w:rFonts w:ascii="Tahoma" w:hAnsi="Tahoma" w:cs="Tahoma"/>
      <w:sz w:val="16"/>
      <w:szCs w:val="16"/>
      <w:lang w:val="fr-FR"/>
    </w:rPr>
  </w:style>
  <w:style w:type="character" w:styleId="BookTitle">
    <w:name w:val="Book Title"/>
    <w:uiPriority w:val="98"/>
    <w:semiHidden/>
    <w:qFormat/>
    <w:rsid w:val="00BD5402"/>
    <w:rPr>
      <w:i/>
      <w:iCs/>
      <w:smallCaps/>
      <w:spacing w:val="5"/>
    </w:rPr>
  </w:style>
  <w:style w:type="paragraph" w:customStyle="1" w:styleId="JuHeader">
    <w:name w:val="Ju_Header"/>
    <w:aliases w:val="_Header"/>
    <w:basedOn w:val="Header"/>
    <w:uiPriority w:val="29"/>
    <w:qFormat/>
    <w:rsid w:val="00BD5402"/>
    <w:pPr>
      <w:tabs>
        <w:tab w:val="clear" w:pos="4536"/>
        <w:tab w:val="clear" w:pos="9072"/>
      </w:tabs>
      <w:jc w:val="center"/>
    </w:pPr>
    <w:rPr>
      <w:sz w:val="18"/>
    </w:rPr>
  </w:style>
  <w:style w:type="paragraph" w:customStyle="1" w:styleId="DummyStyle">
    <w:name w:val="Dummy_Style"/>
    <w:aliases w:val="_Dummy"/>
    <w:basedOn w:val="Normal"/>
    <w:semiHidden/>
    <w:qFormat/>
    <w:rsid w:val="00BD5402"/>
    <w:rPr>
      <w:color w:val="00B050"/>
      <w:sz w:val="22"/>
    </w:rPr>
  </w:style>
  <w:style w:type="character" w:styleId="Strong">
    <w:name w:val="Strong"/>
    <w:uiPriority w:val="98"/>
    <w:semiHidden/>
    <w:qFormat/>
    <w:rsid w:val="00BD5402"/>
    <w:rPr>
      <w:b/>
      <w:bCs/>
    </w:rPr>
  </w:style>
  <w:style w:type="paragraph" w:styleId="NoSpacing">
    <w:name w:val="No Spacing"/>
    <w:basedOn w:val="Normal"/>
    <w:link w:val="NoSpacingChar"/>
    <w:uiPriority w:val="98"/>
    <w:semiHidden/>
    <w:qFormat/>
    <w:rsid w:val="00BD5402"/>
  </w:style>
  <w:style w:type="character" w:customStyle="1" w:styleId="NoSpacingChar">
    <w:name w:val="No Spacing Char"/>
    <w:basedOn w:val="DefaultParagraphFont"/>
    <w:link w:val="NoSpacing"/>
    <w:uiPriority w:val="98"/>
    <w:semiHidden/>
    <w:rsid w:val="00BD5402"/>
    <w:rPr>
      <w:sz w:val="24"/>
      <w:szCs w:val="24"/>
      <w:lang w:val="fr-FR"/>
    </w:rPr>
  </w:style>
  <w:style w:type="paragraph" w:customStyle="1" w:styleId="JuQuot">
    <w:name w:val="Ju_Quot"/>
    <w:aliases w:val="_Quote"/>
    <w:basedOn w:val="NormalJustified"/>
    <w:uiPriority w:val="20"/>
    <w:qFormat/>
    <w:rsid w:val="00BD5402"/>
    <w:pPr>
      <w:spacing w:before="120" w:after="120"/>
      <w:ind w:left="425" w:firstLine="142"/>
    </w:pPr>
    <w:rPr>
      <w:sz w:val="20"/>
    </w:rPr>
  </w:style>
  <w:style w:type="paragraph" w:customStyle="1" w:styleId="JuList">
    <w:name w:val="Ju_List"/>
    <w:aliases w:val="_List_1"/>
    <w:basedOn w:val="NormalJustified"/>
    <w:uiPriority w:val="23"/>
    <w:qFormat/>
    <w:rsid w:val="00BD5402"/>
    <w:pPr>
      <w:numPr>
        <w:numId w:val="7"/>
      </w:numPr>
      <w:spacing w:before="280" w:after="60"/>
    </w:pPr>
  </w:style>
  <w:style w:type="paragraph" w:customStyle="1" w:styleId="JuLista">
    <w:name w:val="Ju_List_a"/>
    <w:aliases w:val="_List_2"/>
    <w:basedOn w:val="NormalJustified"/>
    <w:uiPriority w:val="23"/>
    <w:rsid w:val="00BD5402"/>
    <w:pPr>
      <w:numPr>
        <w:ilvl w:val="1"/>
        <w:numId w:val="7"/>
      </w:numPr>
    </w:pPr>
  </w:style>
  <w:style w:type="paragraph" w:customStyle="1" w:styleId="JuListi">
    <w:name w:val="Ju_List_i"/>
    <w:aliases w:val="_List_3"/>
    <w:basedOn w:val="NormalJustified"/>
    <w:uiPriority w:val="23"/>
    <w:rsid w:val="00BD5402"/>
    <w:pPr>
      <w:numPr>
        <w:ilvl w:val="2"/>
        <w:numId w:val="7"/>
      </w:numPr>
    </w:pPr>
  </w:style>
  <w:style w:type="paragraph" w:customStyle="1" w:styleId="DecHTitle">
    <w:name w:val="Dec_H_Title"/>
    <w:aliases w:val="_Title_1"/>
    <w:basedOn w:val="JuPara"/>
    <w:next w:val="JuPara"/>
    <w:uiPriority w:val="38"/>
    <w:qFormat/>
    <w:rsid w:val="00BD540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BD540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BD5402"/>
    <w:pPr>
      <w:keepNext/>
      <w:keepLines/>
      <w:tabs>
        <w:tab w:val="right" w:pos="7938"/>
      </w:tabs>
      <w:ind w:firstLine="0"/>
      <w:jc w:val="center"/>
    </w:pPr>
    <w:rPr>
      <w:i/>
    </w:rPr>
  </w:style>
  <w:style w:type="numbering" w:customStyle="1" w:styleId="ECHRA1StyleBulletedSquare">
    <w:name w:val="ECHR_A1_Style_Bulleted_Square"/>
    <w:basedOn w:val="NoList"/>
    <w:rsid w:val="00BD5402"/>
    <w:pPr>
      <w:numPr>
        <w:numId w:val="6"/>
      </w:numPr>
    </w:pPr>
  </w:style>
  <w:style w:type="paragraph" w:customStyle="1" w:styleId="JuHHead">
    <w:name w:val="Ju_H_Head"/>
    <w:aliases w:val="_Head_1"/>
    <w:basedOn w:val="Heading1"/>
    <w:next w:val="JuPara"/>
    <w:uiPriority w:val="17"/>
    <w:qFormat/>
    <w:rsid w:val="00BD5402"/>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BD5402"/>
    <w:pPr>
      <w:numPr>
        <w:numId w:val="7"/>
      </w:numPr>
    </w:pPr>
  </w:style>
  <w:style w:type="paragraph" w:customStyle="1" w:styleId="JuSigned">
    <w:name w:val="Ju_Signed"/>
    <w:aliases w:val="_Signature"/>
    <w:basedOn w:val="Normal"/>
    <w:next w:val="JuPara"/>
    <w:uiPriority w:val="31"/>
    <w:qFormat/>
    <w:rsid w:val="00BD5402"/>
    <w:pPr>
      <w:tabs>
        <w:tab w:val="center" w:pos="851"/>
        <w:tab w:val="center" w:pos="6407"/>
      </w:tabs>
      <w:spacing w:before="720"/>
    </w:pPr>
  </w:style>
  <w:style w:type="paragraph" w:styleId="Title">
    <w:name w:val="Title"/>
    <w:basedOn w:val="Normal"/>
    <w:next w:val="Normal"/>
    <w:link w:val="TitleChar"/>
    <w:uiPriority w:val="98"/>
    <w:semiHidden/>
    <w:qFormat/>
    <w:rsid w:val="00BD540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D540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BD5402"/>
    <w:pPr>
      <w:numPr>
        <w:numId w:val="8"/>
      </w:numPr>
    </w:pPr>
  </w:style>
  <w:style w:type="table" w:customStyle="1" w:styleId="ECHRTable2019">
    <w:name w:val="ECHR_Table_2019"/>
    <w:basedOn w:val="TableNormal"/>
    <w:uiPriority w:val="99"/>
    <w:rsid w:val="00BD540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BD540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BD5402"/>
    <w:pPr>
      <w:tabs>
        <w:tab w:val="center" w:pos="6407"/>
      </w:tabs>
      <w:spacing w:before="720"/>
      <w:jc w:val="right"/>
    </w:pPr>
  </w:style>
  <w:style w:type="paragraph" w:customStyle="1" w:styleId="JuHIRoman">
    <w:name w:val="Ju_H_I_Roman"/>
    <w:aliases w:val="_Head_2"/>
    <w:basedOn w:val="Heading2"/>
    <w:next w:val="JuPara"/>
    <w:uiPriority w:val="17"/>
    <w:qFormat/>
    <w:rsid w:val="00BD5402"/>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D5402"/>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D5402"/>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BD5402"/>
    <w:pPr>
      <w:tabs>
        <w:tab w:val="center" w:pos="4536"/>
        <w:tab w:val="right" w:pos="9072"/>
      </w:tabs>
    </w:pPr>
  </w:style>
  <w:style w:type="character" w:customStyle="1" w:styleId="HeaderChar">
    <w:name w:val="Header Char"/>
    <w:basedOn w:val="DefaultParagraphFont"/>
    <w:link w:val="Header"/>
    <w:uiPriority w:val="98"/>
    <w:semiHidden/>
    <w:rsid w:val="00BD5402"/>
    <w:rPr>
      <w:sz w:val="24"/>
      <w:szCs w:val="24"/>
      <w:lang w:val="fr-FR"/>
    </w:rPr>
  </w:style>
  <w:style w:type="character" w:customStyle="1" w:styleId="Heading1Char">
    <w:name w:val="Heading 1 Char"/>
    <w:basedOn w:val="DefaultParagraphFont"/>
    <w:link w:val="Heading1"/>
    <w:uiPriority w:val="98"/>
    <w:semiHidden/>
    <w:rsid w:val="00BD540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BD5402"/>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BD5402"/>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D540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BD5402"/>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D5402"/>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BD5402"/>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BD5402"/>
    <w:pPr>
      <w:keepNext/>
      <w:keepLines/>
      <w:spacing w:before="240" w:after="240"/>
      <w:ind w:firstLine="284"/>
    </w:pPr>
  </w:style>
  <w:style w:type="paragraph" w:customStyle="1" w:styleId="JuJudges">
    <w:name w:val="Ju_Judges"/>
    <w:aliases w:val="_Judges"/>
    <w:basedOn w:val="Normal"/>
    <w:uiPriority w:val="32"/>
    <w:qFormat/>
    <w:rsid w:val="00BD5402"/>
    <w:pPr>
      <w:tabs>
        <w:tab w:val="left" w:pos="567"/>
        <w:tab w:val="left" w:pos="1134"/>
      </w:tabs>
    </w:pPr>
  </w:style>
  <w:style w:type="character" w:customStyle="1" w:styleId="Heading4Char">
    <w:name w:val="Heading 4 Char"/>
    <w:basedOn w:val="DefaultParagraphFont"/>
    <w:link w:val="Heading4"/>
    <w:uiPriority w:val="98"/>
    <w:semiHidden/>
    <w:rsid w:val="00BD5402"/>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semiHidden/>
    <w:qFormat/>
    <w:rsid w:val="00BD5402"/>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BD540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BD5402"/>
    <w:rPr>
      <w:caps w:val="0"/>
      <w:smallCaps/>
    </w:rPr>
  </w:style>
  <w:style w:type="paragraph" w:customStyle="1" w:styleId="NormalJustified">
    <w:name w:val="Normal_Justified"/>
    <w:basedOn w:val="Normal"/>
    <w:semiHidden/>
    <w:rsid w:val="00BD5402"/>
    <w:pPr>
      <w:jc w:val="both"/>
    </w:pPr>
  </w:style>
  <w:style w:type="character" w:styleId="SubtleEmphasis">
    <w:name w:val="Subtle Emphasis"/>
    <w:uiPriority w:val="98"/>
    <w:semiHidden/>
    <w:qFormat/>
    <w:rsid w:val="00BD5402"/>
    <w:rPr>
      <w:i/>
      <w:iCs/>
    </w:rPr>
  </w:style>
  <w:style w:type="table" w:customStyle="1" w:styleId="ECHRTable">
    <w:name w:val="ECHR_Table"/>
    <w:basedOn w:val="TableNormal"/>
    <w:rsid w:val="00BD540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D540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D5402"/>
    <w:rPr>
      <w:b/>
      <w:bCs/>
      <w:i/>
      <w:iCs/>
      <w:spacing w:val="10"/>
      <w:bdr w:val="none" w:sz="0" w:space="0" w:color="auto"/>
      <w:shd w:val="clear" w:color="auto" w:fill="auto"/>
    </w:rPr>
  </w:style>
  <w:style w:type="paragraph" w:styleId="Footer0">
    <w:name w:val="footer"/>
    <w:basedOn w:val="Normal"/>
    <w:link w:val="FooterChar"/>
    <w:uiPriority w:val="98"/>
    <w:semiHidden/>
    <w:rsid w:val="00BD5402"/>
    <w:pPr>
      <w:tabs>
        <w:tab w:val="center" w:pos="3686"/>
        <w:tab w:val="right" w:pos="7371"/>
      </w:tabs>
    </w:pPr>
  </w:style>
  <w:style w:type="character" w:customStyle="1" w:styleId="FooterChar">
    <w:name w:val="Footer Char"/>
    <w:basedOn w:val="DefaultParagraphFont"/>
    <w:link w:val="Footer0"/>
    <w:uiPriority w:val="98"/>
    <w:semiHidden/>
    <w:rsid w:val="00BD5402"/>
    <w:rPr>
      <w:sz w:val="24"/>
      <w:szCs w:val="24"/>
      <w:lang w:val="fr-FR"/>
    </w:rPr>
  </w:style>
  <w:style w:type="character" w:styleId="FootnoteReference">
    <w:name w:val="footnote reference"/>
    <w:basedOn w:val="DefaultParagraphFont"/>
    <w:uiPriority w:val="98"/>
    <w:semiHidden/>
    <w:rsid w:val="00BD5402"/>
    <w:rPr>
      <w:vertAlign w:val="superscript"/>
    </w:rPr>
  </w:style>
  <w:style w:type="paragraph" w:styleId="FootnoteText">
    <w:name w:val="footnote text"/>
    <w:basedOn w:val="Normal"/>
    <w:link w:val="FootnoteTextChar"/>
    <w:uiPriority w:val="98"/>
    <w:semiHidden/>
    <w:rsid w:val="00BD5402"/>
    <w:rPr>
      <w:sz w:val="20"/>
      <w:szCs w:val="20"/>
    </w:rPr>
  </w:style>
  <w:style w:type="character" w:customStyle="1" w:styleId="FootnoteTextChar">
    <w:name w:val="Footnote Text Char"/>
    <w:basedOn w:val="DefaultParagraphFont"/>
    <w:link w:val="FootnoteText"/>
    <w:uiPriority w:val="98"/>
    <w:semiHidden/>
    <w:rsid w:val="00BD5402"/>
    <w:rPr>
      <w:sz w:val="20"/>
      <w:szCs w:val="20"/>
      <w:lang w:val="fr-FR"/>
    </w:rPr>
  </w:style>
  <w:style w:type="character" w:customStyle="1" w:styleId="Heading6Char">
    <w:name w:val="Heading 6 Char"/>
    <w:basedOn w:val="DefaultParagraphFont"/>
    <w:link w:val="Heading6"/>
    <w:uiPriority w:val="98"/>
    <w:semiHidden/>
    <w:rsid w:val="00BD5402"/>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BD5402"/>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BD5402"/>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BD5402"/>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BD5402"/>
    <w:rPr>
      <w:color w:val="0072BC" w:themeColor="hyperlink"/>
      <w:u w:val="single"/>
    </w:rPr>
  </w:style>
  <w:style w:type="character" w:styleId="IntenseEmphasis">
    <w:name w:val="Intense Emphasis"/>
    <w:uiPriority w:val="98"/>
    <w:semiHidden/>
    <w:qFormat/>
    <w:rsid w:val="00BD5402"/>
    <w:rPr>
      <w:b/>
      <w:bCs/>
    </w:rPr>
  </w:style>
  <w:style w:type="paragraph" w:styleId="IntenseQuote">
    <w:name w:val="Intense Quote"/>
    <w:basedOn w:val="Normal"/>
    <w:next w:val="Normal"/>
    <w:link w:val="IntenseQuoteChar"/>
    <w:uiPriority w:val="98"/>
    <w:semiHidden/>
    <w:qFormat/>
    <w:rsid w:val="00BD540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D5402"/>
    <w:rPr>
      <w:b/>
      <w:bCs/>
      <w:i/>
      <w:iCs/>
      <w:sz w:val="24"/>
      <w:szCs w:val="24"/>
      <w:lang w:val="fr-FR" w:bidi="en-US"/>
    </w:rPr>
  </w:style>
  <w:style w:type="character" w:styleId="IntenseReference">
    <w:name w:val="Intense Reference"/>
    <w:uiPriority w:val="98"/>
    <w:semiHidden/>
    <w:qFormat/>
    <w:rsid w:val="00BD5402"/>
    <w:rPr>
      <w:smallCaps/>
      <w:spacing w:val="5"/>
      <w:u w:val="single"/>
    </w:rPr>
  </w:style>
  <w:style w:type="paragraph" w:styleId="ListParagraph">
    <w:name w:val="List Paragraph"/>
    <w:basedOn w:val="Normal"/>
    <w:uiPriority w:val="98"/>
    <w:semiHidden/>
    <w:qFormat/>
    <w:rsid w:val="00BD5402"/>
    <w:pPr>
      <w:ind w:left="720"/>
      <w:contextualSpacing/>
    </w:pPr>
  </w:style>
  <w:style w:type="table" w:customStyle="1" w:styleId="LtrTableAddress">
    <w:name w:val="Ltr_Table_Address"/>
    <w:aliases w:val="ECHR_Ltr_Table_Address"/>
    <w:basedOn w:val="TableNormal"/>
    <w:uiPriority w:val="99"/>
    <w:rsid w:val="00BD5402"/>
    <w:rPr>
      <w:sz w:val="24"/>
      <w:szCs w:val="24"/>
    </w:rPr>
    <w:tblPr>
      <w:tblInd w:w="5103" w:type="dxa"/>
    </w:tblPr>
  </w:style>
  <w:style w:type="paragraph" w:styleId="Quote">
    <w:name w:val="Quote"/>
    <w:basedOn w:val="Normal"/>
    <w:next w:val="Normal"/>
    <w:link w:val="QuoteChar"/>
    <w:uiPriority w:val="98"/>
    <w:semiHidden/>
    <w:qFormat/>
    <w:rsid w:val="00BD5402"/>
    <w:pPr>
      <w:spacing w:before="200"/>
      <w:ind w:left="360" w:right="360"/>
    </w:pPr>
    <w:rPr>
      <w:i/>
      <w:iCs/>
      <w:lang w:bidi="en-US"/>
    </w:rPr>
  </w:style>
  <w:style w:type="character" w:customStyle="1" w:styleId="QuoteChar">
    <w:name w:val="Quote Char"/>
    <w:basedOn w:val="DefaultParagraphFont"/>
    <w:link w:val="Quote"/>
    <w:uiPriority w:val="98"/>
    <w:semiHidden/>
    <w:rsid w:val="00BD5402"/>
    <w:rPr>
      <w:i/>
      <w:iCs/>
      <w:sz w:val="24"/>
      <w:szCs w:val="24"/>
      <w:lang w:val="fr-FR" w:bidi="en-US"/>
    </w:rPr>
  </w:style>
  <w:style w:type="character" w:styleId="SubtleReference">
    <w:name w:val="Subtle Reference"/>
    <w:uiPriority w:val="98"/>
    <w:semiHidden/>
    <w:qFormat/>
    <w:rsid w:val="00BD5402"/>
    <w:rPr>
      <w:smallCaps/>
    </w:rPr>
  </w:style>
  <w:style w:type="table" w:styleId="TableGrid">
    <w:name w:val="Table Grid"/>
    <w:basedOn w:val="TableNormal"/>
    <w:uiPriority w:val="59"/>
    <w:semiHidden/>
    <w:rsid w:val="00BD540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D540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D540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D540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D540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D540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D540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D540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D540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D540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D540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D540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D540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D540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D540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D540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BD5402"/>
    <w:pPr>
      <w:numPr>
        <w:numId w:val="3"/>
      </w:numPr>
    </w:pPr>
  </w:style>
  <w:style w:type="paragraph" w:customStyle="1" w:styleId="JuPara">
    <w:name w:val="Ju_Para"/>
    <w:aliases w:val="_Para"/>
    <w:basedOn w:val="NormalJustified"/>
    <w:link w:val="JuParaChar"/>
    <w:uiPriority w:val="4"/>
    <w:qFormat/>
    <w:rsid w:val="00BD5402"/>
    <w:pPr>
      <w:ind w:firstLine="284"/>
    </w:pPr>
  </w:style>
  <w:style w:type="numbering" w:styleId="1ai">
    <w:name w:val="Outline List 1"/>
    <w:basedOn w:val="NoList"/>
    <w:uiPriority w:val="99"/>
    <w:semiHidden/>
    <w:unhideWhenUsed/>
    <w:rsid w:val="00BD5402"/>
    <w:pPr>
      <w:numPr>
        <w:numId w:val="4"/>
      </w:numPr>
    </w:pPr>
  </w:style>
  <w:style w:type="table" w:customStyle="1" w:styleId="ECHRTableSimpleBox">
    <w:name w:val="ECHR_Table_Simple_Box"/>
    <w:basedOn w:val="TableNormal"/>
    <w:uiPriority w:val="99"/>
    <w:rsid w:val="00BD540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D540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D5402"/>
    <w:pPr>
      <w:numPr>
        <w:numId w:val="5"/>
      </w:numPr>
    </w:pPr>
  </w:style>
  <w:style w:type="table" w:customStyle="1" w:styleId="ECHRTableForInternalUse">
    <w:name w:val="ECHR_Table_For_Internal_Use"/>
    <w:basedOn w:val="TableNormal"/>
    <w:uiPriority w:val="99"/>
    <w:rsid w:val="00BD540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D540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D5402"/>
  </w:style>
  <w:style w:type="paragraph" w:styleId="BlockText">
    <w:name w:val="Block Text"/>
    <w:basedOn w:val="Normal"/>
    <w:uiPriority w:val="98"/>
    <w:semiHidden/>
    <w:rsid w:val="00BD540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D540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D5402"/>
    <w:pPr>
      <w:spacing w:after="120"/>
    </w:pPr>
  </w:style>
  <w:style w:type="character" w:customStyle="1" w:styleId="BodyTextChar">
    <w:name w:val="Body Text Char"/>
    <w:basedOn w:val="DefaultParagraphFont"/>
    <w:link w:val="BodyText"/>
    <w:uiPriority w:val="98"/>
    <w:semiHidden/>
    <w:rsid w:val="00BD5402"/>
    <w:rPr>
      <w:sz w:val="24"/>
      <w:szCs w:val="24"/>
      <w:lang w:val="fr-FR"/>
    </w:rPr>
  </w:style>
  <w:style w:type="table" w:customStyle="1" w:styleId="ECHRTableOddBanded">
    <w:name w:val="ECHR_Table_Odd_Banded"/>
    <w:basedOn w:val="TableNormal"/>
    <w:uiPriority w:val="99"/>
    <w:rsid w:val="00BD540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D5402"/>
    <w:pPr>
      <w:spacing w:after="120" w:line="480" w:lineRule="auto"/>
    </w:pPr>
  </w:style>
  <w:style w:type="table" w:customStyle="1" w:styleId="ECHRHeaderTableReduced">
    <w:name w:val="ECHR_Header_Table_Reduced"/>
    <w:basedOn w:val="TableNormal"/>
    <w:uiPriority w:val="99"/>
    <w:rsid w:val="00BD540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D5402"/>
    <w:pPr>
      <w:ind w:firstLine="284"/>
      <w:jc w:val="both"/>
    </w:pPr>
    <w:rPr>
      <w:b/>
    </w:rPr>
  </w:style>
  <w:style w:type="character" w:styleId="PageNumber">
    <w:name w:val="page number"/>
    <w:uiPriority w:val="98"/>
    <w:semiHidden/>
    <w:rsid w:val="00BD5402"/>
    <w:rPr>
      <w:sz w:val="18"/>
    </w:rPr>
  </w:style>
  <w:style w:type="paragraph" w:styleId="ListBullet2">
    <w:name w:val="List Bullet 2"/>
    <w:basedOn w:val="Normal"/>
    <w:uiPriority w:val="98"/>
    <w:semiHidden/>
    <w:rsid w:val="00BD5402"/>
    <w:pPr>
      <w:numPr>
        <w:numId w:val="10"/>
      </w:numPr>
      <w:contextualSpacing/>
    </w:pPr>
  </w:style>
  <w:style w:type="character" w:customStyle="1" w:styleId="BodyText2Char">
    <w:name w:val="Body Text 2 Char"/>
    <w:basedOn w:val="DefaultParagraphFont"/>
    <w:link w:val="BodyText2"/>
    <w:uiPriority w:val="98"/>
    <w:semiHidden/>
    <w:rsid w:val="00BD5402"/>
    <w:rPr>
      <w:sz w:val="24"/>
      <w:szCs w:val="24"/>
      <w:lang w:val="fr-FR"/>
    </w:rPr>
  </w:style>
  <w:style w:type="paragraph" w:styleId="BodyText3">
    <w:name w:val="Body Text 3"/>
    <w:basedOn w:val="Normal"/>
    <w:link w:val="BodyText3Char"/>
    <w:uiPriority w:val="98"/>
    <w:semiHidden/>
    <w:rsid w:val="00BD5402"/>
    <w:pPr>
      <w:spacing w:after="120"/>
    </w:pPr>
    <w:rPr>
      <w:sz w:val="16"/>
      <w:szCs w:val="16"/>
    </w:rPr>
  </w:style>
  <w:style w:type="character" w:customStyle="1" w:styleId="BodyText3Char">
    <w:name w:val="Body Text 3 Char"/>
    <w:basedOn w:val="DefaultParagraphFont"/>
    <w:link w:val="BodyText3"/>
    <w:uiPriority w:val="98"/>
    <w:semiHidden/>
    <w:rsid w:val="00BD5402"/>
    <w:rPr>
      <w:sz w:val="16"/>
      <w:szCs w:val="16"/>
      <w:lang w:val="fr-FR"/>
    </w:rPr>
  </w:style>
  <w:style w:type="paragraph" w:styleId="BodyTextFirstIndent">
    <w:name w:val="Body Text First Indent"/>
    <w:basedOn w:val="BodyText"/>
    <w:link w:val="BodyTextFirstIndentChar"/>
    <w:uiPriority w:val="98"/>
    <w:semiHidden/>
    <w:rsid w:val="00BD5402"/>
    <w:pPr>
      <w:spacing w:after="0"/>
      <w:ind w:firstLine="360"/>
    </w:pPr>
  </w:style>
  <w:style w:type="character" w:customStyle="1" w:styleId="BodyTextFirstIndentChar">
    <w:name w:val="Body Text First Indent Char"/>
    <w:basedOn w:val="BodyTextChar"/>
    <w:link w:val="BodyTextFirstIndent"/>
    <w:uiPriority w:val="98"/>
    <w:semiHidden/>
    <w:rsid w:val="00BD5402"/>
    <w:rPr>
      <w:sz w:val="24"/>
      <w:szCs w:val="24"/>
      <w:lang w:val="fr-FR"/>
    </w:rPr>
  </w:style>
  <w:style w:type="paragraph" w:styleId="BodyTextIndent">
    <w:name w:val="Body Text Indent"/>
    <w:basedOn w:val="Normal"/>
    <w:link w:val="BodyTextIndentChar"/>
    <w:uiPriority w:val="98"/>
    <w:semiHidden/>
    <w:rsid w:val="00BD5402"/>
    <w:pPr>
      <w:spacing w:after="120"/>
      <w:ind w:left="283"/>
    </w:pPr>
  </w:style>
  <w:style w:type="character" w:customStyle="1" w:styleId="BodyTextIndentChar">
    <w:name w:val="Body Text Indent Char"/>
    <w:basedOn w:val="DefaultParagraphFont"/>
    <w:link w:val="BodyTextIndent"/>
    <w:uiPriority w:val="98"/>
    <w:semiHidden/>
    <w:rsid w:val="00BD5402"/>
    <w:rPr>
      <w:sz w:val="24"/>
      <w:szCs w:val="24"/>
      <w:lang w:val="fr-FR"/>
    </w:rPr>
  </w:style>
  <w:style w:type="paragraph" w:styleId="BodyTextFirstIndent2">
    <w:name w:val="Body Text First Indent 2"/>
    <w:basedOn w:val="BodyTextIndent"/>
    <w:link w:val="BodyTextFirstIndent2Char"/>
    <w:uiPriority w:val="98"/>
    <w:semiHidden/>
    <w:rsid w:val="00BD5402"/>
    <w:pPr>
      <w:spacing w:after="0"/>
      <w:ind w:left="360" w:firstLine="360"/>
    </w:pPr>
  </w:style>
  <w:style w:type="character" w:customStyle="1" w:styleId="BodyTextFirstIndent2Char">
    <w:name w:val="Body Text First Indent 2 Char"/>
    <w:basedOn w:val="BodyTextIndentChar"/>
    <w:link w:val="BodyTextFirstIndent2"/>
    <w:uiPriority w:val="98"/>
    <w:semiHidden/>
    <w:rsid w:val="00BD5402"/>
    <w:rPr>
      <w:sz w:val="24"/>
      <w:szCs w:val="24"/>
      <w:lang w:val="fr-FR"/>
    </w:rPr>
  </w:style>
  <w:style w:type="paragraph" w:styleId="BodyTextIndent2">
    <w:name w:val="Body Text Indent 2"/>
    <w:basedOn w:val="Normal"/>
    <w:link w:val="BodyTextIndent2Char"/>
    <w:uiPriority w:val="98"/>
    <w:semiHidden/>
    <w:rsid w:val="00BD5402"/>
    <w:pPr>
      <w:spacing w:after="120" w:line="480" w:lineRule="auto"/>
      <w:ind w:left="283"/>
    </w:pPr>
  </w:style>
  <w:style w:type="character" w:customStyle="1" w:styleId="BodyTextIndent2Char">
    <w:name w:val="Body Text Indent 2 Char"/>
    <w:basedOn w:val="DefaultParagraphFont"/>
    <w:link w:val="BodyTextIndent2"/>
    <w:uiPriority w:val="98"/>
    <w:semiHidden/>
    <w:rsid w:val="00BD5402"/>
    <w:rPr>
      <w:sz w:val="24"/>
      <w:szCs w:val="24"/>
      <w:lang w:val="fr-FR"/>
    </w:rPr>
  </w:style>
  <w:style w:type="paragraph" w:styleId="BodyTextIndent3">
    <w:name w:val="Body Text Indent 3"/>
    <w:basedOn w:val="Normal"/>
    <w:link w:val="BodyTextIndent3Char"/>
    <w:uiPriority w:val="98"/>
    <w:semiHidden/>
    <w:rsid w:val="00BD540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D5402"/>
    <w:rPr>
      <w:sz w:val="16"/>
      <w:szCs w:val="16"/>
      <w:lang w:val="fr-FR"/>
    </w:rPr>
  </w:style>
  <w:style w:type="paragraph" w:styleId="Caption">
    <w:name w:val="caption"/>
    <w:basedOn w:val="Normal"/>
    <w:next w:val="Normal"/>
    <w:uiPriority w:val="98"/>
    <w:semiHidden/>
    <w:qFormat/>
    <w:rsid w:val="00BD5402"/>
    <w:pPr>
      <w:spacing w:after="200"/>
    </w:pPr>
    <w:rPr>
      <w:b/>
      <w:bCs/>
      <w:color w:val="0072BC" w:themeColor="accent1"/>
      <w:sz w:val="18"/>
      <w:szCs w:val="18"/>
    </w:rPr>
  </w:style>
  <w:style w:type="paragraph" w:styleId="Closing">
    <w:name w:val="Closing"/>
    <w:basedOn w:val="Normal"/>
    <w:link w:val="ClosingChar"/>
    <w:uiPriority w:val="98"/>
    <w:semiHidden/>
    <w:rsid w:val="00BD5402"/>
    <w:pPr>
      <w:ind w:left="4252"/>
    </w:pPr>
  </w:style>
  <w:style w:type="character" w:customStyle="1" w:styleId="ClosingChar">
    <w:name w:val="Closing Char"/>
    <w:basedOn w:val="DefaultParagraphFont"/>
    <w:link w:val="Closing"/>
    <w:uiPriority w:val="98"/>
    <w:semiHidden/>
    <w:rsid w:val="00BD5402"/>
    <w:rPr>
      <w:sz w:val="24"/>
      <w:szCs w:val="24"/>
      <w:lang w:val="fr-FR"/>
    </w:rPr>
  </w:style>
  <w:style w:type="table" w:styleId="ColorfulGrid">
    <w:name w:val="Colorful Grid"/>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D540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D540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D540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D540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D540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D540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D540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D540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D540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D540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D540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D540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D540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D540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D540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D5402"/>
    <w:rPr>
      <w:sz w:val="16"/>
      <w:szCs w:val="16"/>
    </w:rPr>
  </w:style>
  <w:style w:type="paragraph" w:styleId="CommentText">
    <w:name w:val="annotation text"/>
    <w:basedOn w:val="Normal"/>
    <w:link w:val="CommentTextChar"/>
    <w:uiPriority w:val="98"/>
    <w:semiHidden/>
    <w:rsid w:val="00BD5402"/>
    <w:rPr>
      <w:sz w:val="20"/>
      <w:szCs w:val="20"/>
    </w:rPr>
  </w:style>
  <w:style w:type="character" w:customStyle="1" w:styleId="CommentTextChar">
    <w:name w:val="Comment Text Char"/>
    <w:basedOn w:val="DefaultParagraphFont"/>
    <w:link w:val="CommentText"/>
    <w:uiPriority w:val="98"/>
    <w:semiHidden/>
    <w:rsid w:val="00BD5402"/>
    <w:rPr>
      <w:sz w:val="20"/>
      <w:szCs w:val="20"/>
      <w:lang w:val="fr-FR"/>
    </w:rPr>
  </w:style>
  <w:style w:type="paragraph" w:styleId="CommentSubject">
    <w:name w:val="annotation subject"/>
    <w:basedOn w:val="CommentText"/>
    <w:next w:val="CommentText"/>
    <w:link w:val="CommentSubjectChar"/>
    <w:uiPriority w:val="98"/>
    <w:semiHidden/>
    <w:rsid w:val="00BD5402"/>
    <w:rPr>
      <w:b/>
      <w:bCs/>
    </w:rPr>
  </w:style>
  <w:style w:type="character" w:customStyle="1" w:styleId="CommentSubjectChar">
    <w:name w:val="Comment Subject Char"/>
    <w:basedOn w:val="CommentTextChar"/>
    <w:link w:val="CommentSubject"/>
    <w:uiPriority w:val="98"/>
    <w:semiHidden/>
    <w:rsid w:val="00BD5402"/>
    <w:rPr>
      <w:b/>
      <w:bCs/>
      <w:sz w:val="20"/>
      <w:szCs w:val="20"/>
      <w:lang w:val="fr-FR"/>
    </w:rPr>
  </w:style>
  <w:style w:type="table" w:styleId="DarkList">
    <w:name w:val="Dark List"/>
    <w:basedOn w:val="TableNormal"/>
    <w:uiPriority w:val="70"/>
    <w:semiHidden/>
    <w:rsid w:val="00BD540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D540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D540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D540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D540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D540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D540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D5402"/>
  </w:style>
  <w:style w:type="character" w:customStyle="1" w:styleId="DateChar">
    <w:name w:val="Date Char"/>
    <w:basedOn w:val="DefaultParagraphFont"/>
    <w:link w:val="Date"/>
    <w:uiPriority w:val="98"/>
    <w:semiHidden/>
    <w:rsid w:val="00BD5402"/>
    <w:rPr>
      <w:sz w:val="24"/>
      <w:szCs w:val="24"/>
      <w:lang w:val="fr-FR"/>
    </w:rPr>
  </w:style>
  <w:style w:type="paragraph" w:styleId="DocumentMap">
    <w:name w:val="Document Map"/>
    <w:basedOn w:val="Normal"/>
    <w:link w:val="DocumentMapChar"/>
    <w:uiPriority w:val="98"/>
    <w:semiHidden/>
    <w:rsid w:val="00BD5402"/>
    <w:rPr>
      <w:rFonts w:ascii="Tahoma" w:hAnsi="Tahoma" w:cs="Tahoma"/>
      <w:sz w:val="16"/>
      <w:szCs w:val="16"/>
    </w:rPr>
  </w:style>
  <w:style w:type="character" w:customStyle="1" w:styleId="DocumentMapChar">
    <w:name w:val="Document Map Char"/>
    <w:basedOn w:val="DefaultParagraphFont"/>
    <w:link w:val="DocumentMap"/>
    <w:uiPriority w:val="98"/>
    <w:semiHidden/>
    <w:rsid w:val="00BD5402"/>
    <w:rPr>
      <w:rFonts w:ascii="Tahoma" w:hAnsi="Tahoma" w:cs="Tahoma"/>
      <w:sz w:val="16"/>
      <w:szCs w:val="16"/>
      <w:lang w:val="fr-FR"/>
    </w:rPr>
  </w:style>
  <w:style w:type="paragraph" w:styleId="E-mailSignature">
    <w:name w:val="E-mail Signature"/>
    <w:basedOn w:val="Normal"/>
    <w:link w:val="E-mailSignatureChar"/>
    <w:uiPriority w:val="98"/>
    <w:semiHidden/>
    <w:rsid w:val="00BD5402"/>
  </w:style>
  <w:style w:type="character" w:customStyle="1" w:styleId="E-mailSignatureChar">
    <w:name w:val="E-mail Signature Char"/>
    <w:basedOn w:val="DefaultParagraphFont"/>
    <w:link w:val="E-mailSignature"/>
    <w:uiPriority w:val="98"/>
    <w:semiHidden/>
    <w:rsid w:val="00BD5402"/>
    <w:rPr>
      <w:sz w:val="24"/>
      <w:szCs w:val="24"/>
      <w:lang w:val="fr-FR"/>
    </w:rPr>
  </w:style>
  <w:style w:type="character" w:styleId="EndnoteReference">
    <w:name w:val="endnote reference"/>
    <w:basedOn w:val="DefaultParagraphFont"/>
    <w:uiPriority w:val="98"/>
    <w:semiHidden/>
    <w:rsid w:val="00BD5402"/>
    <w:rPr>
      <w:vertAlign w:val="superscript"/>
    </w:rPr>
  </w:style>
  <w:style w:type="paragraph" w:styleId="EndnoteText">
    <w:name w:val="endnote text"/>
    <w:basedOn w:val="Normal"/>
    <w:link w:val="EndnoteTextChar"/>
    <w:uiPriority w:val="98"/>
    <w:semiHidden/>
    <w:rsid w:val="00BD5402"/>
    <w:rPr>
      <w:sz w:val="20"/>
      <w:szCs w:val="20"/>
    </w:rPr>
  </w:style>
  <w:style w:type="character" w:customStyle="1" w:styleId="EndnoteTextChar">
    <w:name w:val="Endnote Text Char"/>
    <w:basedOn w:val="DefaultParagraphFont"/>
    <w:link w:val="EndnoteText"/>
    <w:uiPriority w:val="98"/>
    <w:semiHidden/>
    <w:rsid w:val="00BD5402"/>
    <w:rPr>
      <w:sz w:val="20"/>
      <w:szCs w:val="20"/>
      <w:lang w:val="fr-FR"/>
    </w:rPr>
  </w:style>
  <w:style w:type="paragraph" w:styleId="EnvelopeAddress">
    <w:name w:val="envelope address"/>
    <w:basedOn w:val="Normal"/>
    <w:uiPriority w:val="98"/>
    <w:semiHidden/>
    <w:rsid w:val="00BD540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D540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D5402"/>
    <w:rPr>
      <w:color w:val="7030A0" w:themeColor="followedHyperlink"/>
      <w:u w:val="single"/>
    </w:rPr>
  </w:style>
  <w:style w:type="character" w:styleId="HTMLAcronym">
    <w:name w:val="HTML Acronym"/>
    <w:basedOn w:val="DefaultParagraphFont"/>
    <w:uiPriority w:val="98"/>
    <w:semiHidden/>
    <w:rsid w:val="00BD5402"/>
  </w:style>
  <w:style w:type="paragraph" w:styleId="HTMLAddress">
    <w:name w:val="HTML Address"/>
    <w:basedOn w:val="Normal"/>
    <w:link w:val="HTMLAddressChar"/>
    <w:uiPriority w:val="98"/>
    <w:semiHidden/>
    <w:rsid w:val="00BD5402"/>
    <w:rPr>
      <w:i/>
      <w:iCs/>
    </w:rPr>
  </w:style>
  <w:style w:type="character" w:customStyle="1" w:styleId="HTMLAddressChar">
    <w:name w:val="HTML Address Char"/>
    <w:basedOn w:val="DefaultParagraphFont"/>
    <w:link w:val="HTMLAddress"/>
    <w:uiPriority w:val="98"/>
    <w:semiHidden/>
    <w:rsid w:val="00BD5402"/>
    <w:rPr>
      <w:i/>
      <w:iCs/>
      <w:sz w:val="24"/>
      <w:szCs w:val="24"/>
      <w:lang w:val="fr-FR"/>
    </w:rPr>
  </w:style>
  <w:style w:type="character" w:styleId="HTMLCite">
    <w:name w:val="HTML Cite"/>
    <w:basedOn w:val="DefaultParagraphFont"/>
    <w:uiPriority w:val="98"/>
    <w:semiHidden/>
    <w:rsid w:val="00BD5402"/>
    <w:rPr>
      <w:i/>
      <w:iCs/>
    </w:rPr>
  </w:style>
  <w:style w:type="character" w:styleId="HTMLCode">
    <w:name w:val="HTML Code"/>
    <w:basedOn w:val="DefaultParagraphFont"/>
    <w:uiPriority w:val="98"/>
    <w:semiHidden/>
    <w:rsid w:val="00BD5402"/>
    <w:rPr>
      <w:rFonts w:ascii="Consolas" w:hAnsi="Consolas" w:cs="Consolas"/>
      <w:sz w:val="20"/>
      <w:szCs w:val="20"/>
    </w:rPr>
  </w:style>
  <w:style w:type="character" w:styleId="HTMLDefinition">
    <w:name w:val="HTML Definition"/>
    <w:basedOn w:val="DefaultParagraphFont"/>
    <w:uiPriority w:val="98"/>
    <w:semiHidden/>
    <w:rsid w:val="00BD5402"/>
    <w:rPr>
      <w:i/>
      <w:iCs/>
    </w:rPr>
  </w:style>
  <w:style w:type="character" w:styleId="HTMLKeyboard">
    <w:name w:val="HTML Keyboard"/>
    <w:basedOn w:val="DefaultParagraphFont"/>
    <w:uiPriority w:val="98"/>
    <w:semiHidden/>
    <w:rsid w:val="00BD5402"/>
    <w:rPr>
      <w:rFonts w:ascii="Consolas" w:hAnsi="Consolas" w:cs="Consolas"/>
      <w:sz w:val="20"/>
      <w:szCs w:val="20"/>
    </w:rPr>
  </w:style>
  <w:style w:type="paragraph" w:styleId="HTMLPreformatted">
    <w:name w:val="HTML Preformatted"/>
    <w:basedOn w:val="Normal"/>
    <w:link w:val="HTMLPreformattedChar"/>
    <w:uiPriority w:val="98"/>
    <w:semiHidden/>
    <w:rsid w:val="00BD540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D5402"/>
    <w:rPr>
      <w:rFonts w:ascii="Consolas" w:hAnsi="Consolas" w:cs="Consolas"/>
      <w:sz w:val="20"/>
      <w:szCs w:val="20"/>
      <w:lang w:val="fr-FR"/>
    </w:rPr>
  </w:style>
  <w:style w:type="character" w:styleId="HTMLSample">
    <w:name w:val="HTML Sample"/>
    <w:basedOn w:val="DefaultParagraphFont"/>
    <w:uiPriority w:val="98"/>
    <w:semiHidden/>
    <w:rsid w:val="00BD5402"/>
    <w:rPr>
      <w:rFonts w:ascii="Consolas" w:hAnsi="Consolas" w:cs="Consolas"/>
      <w:sz w:val="24"/>
      <w:szCs w:val="24"/>
    </w:rPr>
  </w:style>
  <w:style w:type="character" w:styleId="HTMLTypewriter">
    <w:name w:val="HTML Typewriter"/>
    <w:basedOn w:val="DefaultParagraphFont"/>
    <w:uiPriority w:val="98"/>
    <w:semiHidden/>
    <w:rsid w:val="00BD5402"/>
    <w:rPr>
      <w:rFonts w:ascii="Consolas" w:hAnsi="Consolas" w:cs="Consolas"/>
      <w:sz w:val="20"/>
      <w:szCs w:val="20"/>
    </w:rPr>
  </w:style>
  <w:style w:type="character" w:styleId="HTMLVariable">
    <w:name w:val="HTML Variable"/>
    <w:basedOn w:val="DefaultParagraphFont"/>
    <w:uiPriority w:val="98"/>
    <w:semiHidden/>
    <w:rsid w:val="00BD5402"/>
    <w:rPr>
      <w:i/>
      <w:iCs/>
    </w:rPr>
  </w:style>
  <w:style w:type="paragraph" w:styleId="Index1">
    <w:name w:val="index 1"/>
    <w:basedOn w:val="Normal"/>
    <w:next w:val="Normal"/>
    <w:autoRedefine/>
    <w:uiPriority w:val="98"/>
    <w:semiHidden/>
    <w:rsid w:val="00BD5402"/>
    <w:pPr>
      <w:ind w:left="240" w:hanging="240"/>
    </w:pPr>
  </w:style>
  <w:style w:type="paragraph" w:styleId="Index2">
    <w:name w:val="index 2"/>
    <w:basedOn w:val="Normal"/>
    <w:next w:val="Normal"/>
    <w:autoRedefine/>
    <w:uiPriority w:val="98"/>
    <w:semiHidden/>
    <w:rsid w:val="00BD5402"/>
    <w:pPr>
      <w:ind w:left="480" w:hanging="240"/>
    </w:pPr>
  </w:style>
  <w:style w:type="paragraph" w:styleId="Index3">
    <w:name w:val="index 3"/>
    <w:basedOn w:val="Normal"/>
    <w:next w:val="Normal"/>
    <w:autoRedefine/>
    <w:uiPriority w:val="98"/>
    <w:semiHidden/>
    <w:rsid w:val="00BD5402"/>
    <w:pPr>
      <w:ind w:left="720" w:hanging="240"/>
    </w:pPr>
  </w:style>
  <w:style w:type="paragraph" w:styleId="Index4">
    <w:name w:val="index 4"/>
    <w:basedOn w:val="Normal"/>
    <w:next w:val="Normal"/>
    <w:autoRedefine/>
    <w:uiPriority w:val="98"/>
    <w:semiHidden/>
    <w:rsid w:val="00BD5402"/>
    <w:pPr>
      <w:ind w:left="960" w:hanging="240"/>
    </w:pPr>
  </w:style>
  <w:style w:type="paragraph" w:styleId="Index5">
    <w:name w:val="index 5"/>
    <w:basedOn w:val="Normal"/>
    <w:next w:val="Normal"/>
    <w:autoRedefine/>
    <w:uiPriority w:val="98"/>
    <w:semiHidden/>
    <w:rsid w:val="00BD5402"/>
    <w:pPr>
      <w:ind w:left="1200" w:hanging="240"/>
    </w:pPr>
  </w:style>
  <w:style w:type="paragraph" w:styleId="Index6">
    <w:name w:val="index 6"/>
    <w:basedOn w:val="Normal"/>
    <w:next w:val="Normal"/>
    <w:autoRedefine/>
    <w:uiPriority w:val="98"/>
    <w:semiHidden/>
    <w:rsid w:val="00BD5402"/>
    <w:pPr>
      <w:ind w:left="1440" w:hanging="240"/>
    </w:pPr>
  </w:style>
  <w:style w:type="paragraph" w:styleId="Index7">
    <w:name w:val="index 7"/>
    <w:basedOn w:val="Normal"/>
    <w:next w:val="Normal"/>
    <w:autoRedefine/>
    <w:uiPriority w:val="98"/>
    <w:semiHidden/>
    <w:rsid w:val="00BD5402"/>
    <w:pPr>
      <w:ind w:left="1680" w:hanging="240"/>
    </w:pPr>
  </w:style>
  <w:style w:type="paragraph" w:styleId="Index8">
    <w:name w:val="index 8"/>
    <w:basedOn w:val="Normal"/>
    <w:next w:val="Normal"/>
    <w:autoRedefine/>
    <w:uiPriority w:val="98"/>
    <w:semiHidden/>
    <w:rsid w:val="00BD5402"/>
    <w:pPr>
      <w:ind w:left="1920" w:hanging="240"/>
    </w:pPr>
  </w:style>
  <w:style w:type="paragraph" w:styleId="Index9">
    <w:name w:val="index 9"/>
    <w:basedOn w:val="Normal"/>
    <w:next w:val="Normal"/>
    <w:autoRedefine/>
    <w:uiPriority w:val="98"/>
    <w:semiHidden/>
    <w:rsid w:val="00BD5402"/>
    <w:pPr>
      <w:ind w:left="2160" w:hanging="240"/>
    </w:pPr>
  </w:style>
  <w:style w:type="paragraph" w:styleId="IndexHeading">
    <w:name w:val="index heading"/>
    <w:basedOn w:val="Normal"/>
    <w:next w:val="Index1"/>
    <w:uiPriority w:val="98"/>
    <w:semiHidden/>
    <w:rsid w:val="00BD5402"/>
    <w:rPr>
      <w:rFonts w:asciiTheme="majorHAnsi" w:eastAsiaTheme="majorEastAsia" w:hAnsiTheme="majorHAnsi" w:cstheme="majorBidi"/>
      <w:b/>
      <w:bCs/>
    </w:rPr>
  </w:style>
  <w:style w:type="table" w:styleId="LightGrid">
    <w:name w:val="Light Grid"/>
    <w:basedOn w:val="TableNormal"/>
    <w:uiPriority w:val="62"/>
    <w:semiHidden/>
    <w:rsid w:val="00BD540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D540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D540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D540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D540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D540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D540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D540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D540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D540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D540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D540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D540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D540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D540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D540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D540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D540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D540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D540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D540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D5402"/>
  </w:style>
  <w:style w:type="paragraph" w:styleId="List">
    <w:name w:val="List"/>
    <w:basedOn w:val="Normal"/>
    <w:uiPriority w:val="98"/>
    <w:semiHidden/>
    <w:rsid w:val="00BD5402"/>
    <w:pPr>
      <w:ind w:left="283" w:hanging="283"/>
      <w:contextualSpacing/>
    </w:pPr>
  </w:style>
  <w:style w:type="paragraph" w:styleId="List2">
    <w:name w:val="List 2"/>
    <w:basedOn w:val="Normal"/>
    <w:uiPriority w:val="98"/>
    <w:semiHidden/>
    <w:rsid w:val="00BD5402"/>
    <w:pPr>
      <w:ind w:left="566" w:hanging="283"/>
      <w:contextualSpacing/>
    </w:pPr>
  </w:style>
  <w:style w:type="paragraph" w:styleId="List3">
    <w:name w:val="List 3"/>
    <w:basedOn w:val="Normal"/>
    <w:uiPriority w:val="98"/>
    <w:semiHidden/>
    <w:rsid w:val="00BD5402"/>
    <w:pPr>
      <w:ind w:left="849" w:hanging="283"/>
      <w:contextualSpacing/>
    </w:pPr>
  </w:style>
  <w:style w:type="paragraph" w:styleId="List4">
    <w:name w:val="List 4"/>
    <w:basedOn w:val="Normal"/>
    <w:uiPriority w:val="98"/>
    <w:semiHidden/>
    <w:rsid w:val="00BD5402"/>
    <w:pPr>
      <w:ind w:left="1132" w:hanging="283"/>
      <w:contextualSpacing/>
    </w:pPr>
  </w:style>
  <w:style w:type="paragraph" w:styleId="List5">
    <w:name w:val="List 5"/>
    <w:basedOn w:val="Normal"/>
    <w:uiPriority w:val="98"/>
    <w:semiHidden/>
    <w:rsid w:val="00BD5402"/>
    <w:pPr>
      <w:ind w:left="1415" w:hanging="283"/>
      <w:contextualSpacing/>
    </w:pPr>
  </w:style>
  <w:style w:type="paragraph" w:styleId="ListBullet">
    <w:name w:val="List Bullet"/>
    <w:basedOn w:val="Normal"/>
    <w:uiPriority w:val="98"/>
    <w:semiHidden/>
    <w:rsid w:val="00BD5402"/>
    <w:pPr>
      <w:numPr>
        <w:numId w:val="9"/>
      </w:numPr>
    </w:pPr>
  </w:style>
  <w:style w:type="paragraph" w:styleId="ListBullet3">
    <w:name w:val="List Bullet 3"/>
    <w:basedOn w:val="Normal"/>
    <w:uiPriority w:val="98"/>
    <w:semiHidden/>
    <w:rsid w:val="00BD5402"/>
    <w:pPr>
      <w:numPr>
        <w:numId w:val="11"/>
      </w:numPr>
      <w:contextualSpacing/>
    </w:pPr>
  </w:style>
  <w:style w:type="paragraph" w:styleId="ListBullet4">
    <w:name w:val="List Bullet 4"/>
    <w:basedOn w:val="Normal"/>
    <w:uiPriority w:val="98"/>
    <w:semiHidden/>
    <w:rsid w:val="00BD5402"/>
    <w:pPr>
      <w:numPr>
        <w:numId w:val="12"/>
      </w:numPr>
      <w:contextualSpacing/>
    </w:pPr>
  </w:style>
  <w:style w:type="paragraph" w:styleId="ListBullet5">
    <w:name w:val="List Bullet 5"/>
    <w:basedOn w:val="Normal"/>
    <w:uiPriority w:val="98"/>
    <w:semiHidden/>
    <w:rsid w:val="00BD5402"/>
    <w:pPr>
      <w:numPr>
        <w:numId w:val="13"/>
      </w:numPr>
      <w:contextualSpacing/>
    </w:pPr>
  </w:style>
  <w:style w:type="paragraph" w:styleId="ListContinue">
    <w:name w:val="List Continue"/>
    <w:basedOn w:val="Normal"/>
    <w:uiPriority w:val="98"/>
    <w:semiHidden/>
    <w:rsid w:val="00BD5402"/>
    <w:pPr>
      <w:spacing w:after="120"/>
      <w:ind w:left="283"/>
      <w:contextualSpacing/>
    </w:pPr>
  </w:style>
  <w:style w:type="paragraph" w:styleId="ListContinue2">
    <w:name w:val="List Continue 2"/>
    <w:basedOn w:val="Normal"/>
    <w:uiPriority w:val="98"/>
    <w:semiHidden/>
    <w:rsid w:val="00BD5402"/>
    <w:pPr>
      <w:spacing w:after="120"/>
      <w:ind w:left="566"/>
      <w:contextualSpacing/>
    </w:pPr>
  </w:style>
  <w:style w:type="paragraph" w:styleId="ListContinue3">
    <w:name w:val="List Continue 3"/>
    <w:basedOn w:val="Normal"/>
    <w:uiPriority w:val="98"/>
    <w:semiHidden/>
    <w:rsid w:val="00BD5402"/>
    <w:pPr>
      <w:spacing w:after="120"/>
      <w:ind w:left="849"/>
      <w:contextualSpacing/>
    </w:pPr>
  </w:style>
  <w:style w:type="paragraph" w:styleId="ListContinue4">
    <w:name w:val="List Continue 4"/>
    <w:basedOn w:val="Normal"/>
    <w:uiPriority w:val="98"/>
    <w:semiHidden/>
    <w:rsid w:val="00BD5402"/>
    <w:pPr>
      <w:spacing w:after="120"/>
      <w:ind w:left="1132"/>
      <w:contextualSpacing/>
    </w:pPr>
  </w:style>
  <w:style w:type="paragraph" w:styleId="ListContinue5">
    <w:name w:val="List Continue 5"/>
    <w:basedOn w:val="Normal"/>
    <w:uiPriority w:val="98"/>
    <w:semiHidden/>
    <w:rsid w:val="00BD5402"/>
    <w:pPr>
      <w:spacing w:after="120"/>
      <w:ind w:left="1415"/>
      <w:contextualSpacing/>
    </w:pPr>
  </w:style>
  <w:style w:type="paragraph" w:styleId="ListNumber">
    <w:name w:val="List Number"/>
    <w:basedOn w:val="Normal"/>
    <w:uiPriority w:val="98"/>
    <w:semiHidden/>
    <w:rsid w:val="00BD5402"/>
    <w:pPr>
      <w:numPr>
        <w:numId w:val="14"/>
      </w:numPr>
      <w:contextualSpacing/>
    </w:pPr>
  </w:style>
  <w:style w:type="paragraph" w:styleId="ListNumber2">
    <w:name w:val="List Number 2"/>
    <w:basedOn w:val="Normal"/>
    <w:uiPriority w:val="98"/>
    <w:semiHidden/>
    <w:rsid w:val="00BD5402"/>
    <w:pPr>
      <w:numPr>
        <w:numId w:val="15"/>
      </w:numPr>
      <w:contextualSpacing/>
    </w:pPr>
  </w:style>
  <w:style w:type="paragraph" w:styleId="ListNumber3">
    <w:name w:val="List Number 3"/>
    <w:basedOn w:val="Normal"/>
    <w:uiPriority w:val="98"/>
    <w:semiHidden/>
    <w:rsid w:val="00BD5402"/>
    <w:pPr>
      <w:numPr>
        <w:numId w:val="16"/>
      </w:numPr>
      <w:contextualSpacing/>
    </w:pPr>
  </w:style>
  <w:style w:type="paragraph" w:styleId="ListNumber4">
    <w:name w:val="List Number 4"/>
    <w:basedOn w:val="Normal"/>
    <w:uiPriority w:val="98"/>
    <w:semiHidden/>
    <w:rsid w:val="00BD5402"/>
    <w:pPr>
      <w:numPr>
        <w:numId w:val="17"/>
      </w:numPr>
      <w:contextualSpacing/>
    </w:pPr>
  </w:style>
  <w:style w:type="paragraph" w:styleId="ListNumber5">
    <w:name w:val="List Number 5"/>
    <w:basedOn w:val="Normal"/>
    <w:uiPriority w:val="98"/>
    <w:semiHidden/>
    <w:rsid w:val="00BD5402"/>
    <w:pPr>
      <w:numPr>
        <w:numId w:val="18"/>
      </w:numPr>
      <w:contextualSpacing/>
    </w:pPr>
  </w:style>
  <w:style w:type="paragraph" w:styleId="MacroText">
    <w:name w:val="macro"/>
    <w:link w:val="MacroTextChar"/>
    <w:uiPriority w:val="98"/>
    <w:semiHidden/>
    <w:rsid w:val="00BD54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D5402"/>
    <w:rPr>
      <w:rFonts w:ascii="Consolas" w:eastAsiaTheme="minorEastAsia" w:hAnsi="Consolas" w:cs="Consolas"/>
      <w:sz w:val="20"/>
      <w:szCs w:val="20"/>
    </w:rPr>
  </w:style>
  <w:style w:type="table" w:styleId="MediumGrid1">
    <w:name w:val="Medium Grid 1"/>
    <w:basedOn w:val="TableNormal"/>
    <w:uiPriority w:val="67"/>
    <w:semiHidden/>
    <w:rsid w:val="00BD540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D540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D540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D540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D540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D540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D540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D54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D540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D540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D540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D540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D540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D540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D540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D540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D540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D540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D540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D540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D540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D540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D540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D54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D54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D540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BD5402"/>
    <w:rPr>
      <w:rFonts w:ascii="Times New Roman" w:hAnsi="Times New Roman" w:cs="Times New Roman"/>
    </w:rPr>
  </w:style>
  <w:style w:type="paragraph" w:styleId="NormalIndent">
    <w:name w:val="Normal Indent"/>
    <w:basedOn w:val="Normal"/>
    <w:uiPriority w:val="98"/>
    <w:semiHidden/>
    <w:rsid w:val="00BD5402"/>
    <w:pPr>
      <w:ind w:left="720"/>
    </w:pPr>
  </w:style>
  <w:style w:type="paragraph" w:styleId="NoteHeading">
    <w:name w:val="Note Heading"/>
    <w:basedOn w:val="Normal"/>
    <w:next w:val="Normal"/>
    <w:link w:val="NoteHeadingChar"/>
    <w:uiPriority w:val="98"/>
    <w:semiHidden/>
    <w:rsid w:val="00BD5402"/>
  </w:style>
  <w:style w:type="character" w:customStyle="1" w:styleId="NoteHeadingChar">
    <w:name w:val="Note Heading Char"/>
    <w:basedOn w:val="DefaultParagraphFont"/>
    <w:link w:val="NoteHeading"/>
    <w:uiPriority w:val="98"/>
    <w:semiHidden/>
    <w:rsid w:val="00BD5402"/>
    <w:rPr>
      <w:sz w:val="24"/>
      <w:szCs w:val="24"/>
      <w:lang w:val="fr-FR"/>
    </w:rPr>
  </w:style>
  <w:style w:type="character" w:styleId="PlaceholderText">
    <w:name w:val="Placeholder Text"/>
    <w:basedOn w:val="DefaultParagraphFont"/>
    <w:uiPriority w:val="98"/>
    <w:semiHidden/>
    <w:rsid w:val="00BD540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D5402"/>
    <w:rPr>
      <w:rFonts w:ascii="Consolas" w:hAnsi="Consolas" w:cs="Consolas"/>
      <w:sz w:val="21"/>
      <w:szCs w:val="21"/>
    </w:rPr>
  </w:style>
  <w:style w:type="character" w:customStyle="1" w:styleId="PlainTextChar">
    <w:name w:val="Plain Text Char"/>
    <w:basedOn w:val="DefaultParagraphFont"/>
    <w:link w:val="PlainText"/>
    <w:uiPriority w:val="98"/>
    <w:semiHidden/>
    <w:rsid w:val="00BD5402"/>
    <w:rPr>
      <w:rFonts w:ascii="Consolas" w:hAnsi="Consolas" w:cs="Consolas"/>
      <w:sz w:val="21"/>
      <w:szCs w:val="21"/>
      <w:lang w:val="fr-FR"/>
    </w:rPr>
  </w:style>
  <w:style w:type="paragraph" w:styleId="Salutation">
    <w:name w:val="Salutation"/>
    <w:basedOn w:val="Normal"/>
    <w:next w:val="Normal"/>
    <w:link w:val="SalutationChar"/>
    <w:uiPriority w:val="98"/>
    <w:semiHidden/>
    <w:rsid w:val="00BD5402"/>
  </w:style>
  <w:style w:type="character" w:customStyle="1" w:styleId="SalutationChar">
    <w:name w:val="Salutation Char"/>
    <w:basedOn w:val="DefaultParagraphFont"/>
    <w:link w:val="Salutation"/>
    <w:uiPriority w:val="98"/>
    <w:semiHidden/>
    <w:rsid w:val="00BD5402"/>
    <w:rPr>
      <w:sz w:val="24"/>
      <w:szCs w:val="24"/>
      <w:lang w:val="fr-FR"/>
    </w:rPr>
  </w:style>
  <w:style w:type="paragraph" w:styleId="Signature">
    <w:name w:val="Signature"/>
    <w:basedOn w:val="Normal"/>
    <w:link w:val="SignatureChar"/>
    <w:uiPriority w:val="98"/>
    <w:semiHidden/>
    <w:rsid w:val="00BD5402"/>
    <w:pPr>
      <w:ind w:left="4252"/>
    </w:pPr>
  </w:style>
  <w:style w:type="character" w:customStyle="1" w:styleId="SignatureChar">
    <w:name w:val="Signature Char"/>
    <w:basedOn w:val="DefaultParagraphFont"/>
    <w:link w:val="Signature"/>
    <w:uiPriority w:val="98"/>
    <w:semiHidden/>
    <w:rsid w:val="00BD5402"/>
    <w:rPr>
      <w:sz w:val="24"/>
      <w:szCs w:val="24"/>
      <w:lang w:val="fr-FR"/>
    </w:rPr>
  </w:style>
  <w:style w:type="table" w:styleId="Table3Deffects1">
    <w:name w:val="Table 3D effects 1"/>
    <w:basedOn w:val="TableNormal"/>
    <w:uiPriority w:val="99"/>
    <w:semiHidden/>
    <w:unhideWhenUsed/>
    <w:rsid w:val="00BD540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D540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D540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D540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D540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D540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D540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D540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D540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D540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D540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D540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D540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D540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D540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D540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D540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D54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D540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D540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D540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D540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D540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D540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D540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D540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D540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D540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D540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D54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D540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D540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D540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D5402"/>
    <w:pPr>
      <w:ind w:left="240" w:hanging="240"/>
    </w:pPr>
  </w:style>
  <w:style w:type="paragraph" w:styleId="TableofFigures">
    <w:name w:val="table of figures"/>
    <w:basedOn w:val="Normal"/>
    <w:next w:val="Normal"/>
    <w:uiPriority w:val="98"/>
    <w:semiHidden/>
    <w:rsid w:val="00BD5402"/>
  </w:style>
  <w:style w:type="table" w:styleId="TableProfessional">
    <w:name w:val="Table Professional"/>
    <w:basedOn w:val="TableNormal"/>
    <w:uiPriority w:val="99"/>
    <w:semiHidden/>
    <w:unhideWhenUsed/>
    <w:rsid w:val="00BD54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D540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D540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D540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D540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D540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D540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D540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D540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D540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D540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D540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D5402"/>
    <w:pPr>
      <w:spacing w:after="100"/>
      <w:ind w:left="1680"/>
    </w:pPr>
  </w:style>
  <w:style w:type="paragraph" w:styleId="TOC9">
    <w:name w:val="toc 9"/>
    <w:basedOn w:val="Normal"/>
    <w:next w:val="Normal"/>
    <w:autoRedefine/>
    <w:uiPriority w:val="98"/>
    <w:semiHidden/>
    <w:rsid w:val="00BD5402"/>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BD540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D540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D540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BD540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D5402"/>
    <w:pPr>
      <w:numPr>
        <w:numId w:val="6"/>
      </w:numPr>
      <w:spacing w:before="60" w:after="60"/>
    </w:pPr>
  </w:style>
  <w:style w:type="paragraph" w:customStyle="1" w:styleId="ECHRBullet2">
    <w:name w:val="ECHR_Bullet_2"/>
    <w:aliases w:val="_Bul_2"/>
    <w:basedOn w:val="ECHRBullet1"/>
    <w:uiPriority w:val="23"/>
    <w:semiHidden/>
    <w:rsid w:val="00BD5402"/>
    <w:pPr>
      <w:numPr>
        <w:ilvl w:val="1"/>
      </w:numPr>
    </w:pPr>
  </w:style>
  <w:style w:type="paragraph" w:customStyle="1" w:styleId="ECHRBullet3">
    <w:name w:val="ECHR_Bullet_3"/>
    <w:aliases w:val="_Bul_3"/>
    <w:basedOn w:val="ECHRBullet2"/>
    <w:uiPriority w:val="23"/>
    <w:semiHidden/>
    <w:rsid w:val="00BD5402"/>
    <w:pPr>
      <w:numPr>
        <w:ilvl w:val="2"/>
      </w:numPr>
    </w:pPr>
  </w:style>
  <w:style w:type="paragraph" w:customStyle="1" w:styleId="ECHRBullet4">
    <w:name w:val="ECHR_Bullet_4"/>
    <w:aliases w:val="_Bul_4"/>
    <w:basedOn w:val="ECHRBullet3"/>
    <w:uiPriority w:val="23"/>
    <w:semiHidden/>
    <w:rsid w:val="00BD5402"/>
    <w:pPr>
      <w:numPr>
        <w:ilvl w:val="3"/>
      </w:numPr>
    </w:pPr>
  </w:style>
  <w:style w:type="paragraph" w:customStyle="1" w:styleId="ECHRConfidential">
    <w:name w:val="ECHR_Confidential"/>
    <w:aliases w:val="_Confidential"/>
    <w:basedOn w:val="Normal"/>
    <w:next w:val="Normal"/>
    <w:uiPriority w:val="42"/>
    <w:semiHidden/>
    <w:qFormat/>
    <w:rsid w:val="00BD5402"/>
    <w:pPr>
      <w:jc w:val="right"/>
    </w:pPr>
    <w:rPr>
      <w:color w:val="C00000"/>
      <w:sz w:val="20"/>
    </w:rPr>
  </w:style>
  <w:style w:type="paragraph" w:customStyle="1" w:styleId="ECHRDecisionBody">
    <w:name w:val="ECHR_Decision_Body"/>
    <w:aliases w:val="_Decision_Body"/>
    <w:basedOn w:val="NormalJustified"/>
    <w:uiPriority w:val="54"/>
    <w:semiHidden/>
    <w:rsid w:val="00BD540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D540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D5402"/>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BD540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D5402"/>
    <w:pPr>
      <w:jc w:val="right"/>
    </w:pPr>
    <w:rPr>
      <w:sz w:val="20"/>
    </w:rPr>
  </w:style>
  <w:style w:type="paragraph" w:customStyle="1" w:styleId="ECHRHeaderRefIt">
    <w:name w:val="ECHR_Header_Ref_It"/>
    <w:aliases w:val="_Ref_Ital"/>
    <w:basedOn w:val="Normal"/>
    <w:next w:val="ECHRHeaderDate"/>
    <w:uiPriority w:val="43"/>
    <w:semiHidden/>
    <w:qFormat/>
    <w:rsid w:val="00BD5402"/>
    <w:pPr>
      <w:jc w:val="right"/>
    </w:pPr>
    <w:rPr>
      <w:i/>
      <w:sz w:val="20"/>
    </w:rPr>
  </w:style>
  <w:style w:type="paragraph" w:customStyle="1" w:styleId="ECHRHeading9">
    <w:name w:val="ECHR_Heading_9"/>
    <w:aliases w:val="_Head_9"/>
    <w:basedOn w:val="Heading9"/>
    <w:uiPriority w:val="17"/>
    <w:semiHidden/>
    <w:rsid w:val="00BD5402"/>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D540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BD5402"/>
    <w:pPr>
      <w:numPr>
        <w:numId w:val="8"/>
      </w:numPr>
      <w:spacing w:before="60" w:after="60"/>
    </w:pPr>
  </w:style>
  <w:style w:type="paragraph" w:customStyle="1" w:styleId="ECHRNumberedList2">
    <w:name w:val="ECHR_Numbered_List_2"/>
    <w:aliases w:val="_Num_2"/>
    <w:basedOn w:val="ECHRNumberedList1"/>
    <w:uiPriority w:val="23"/>
    <w:semiHidden/>
    <w:rsid w:val="00BD5402"/>
    <w:pPr>
      <w:numPr>
        <w:ilvl w:val="1"/>
      </w:numPr>
    </w:pPr>
  </w:style>
  <w:style w:type="paragraph" w:customStyle="1" w:styleId="ECHRNumberedList3">
    <w:name w:val="ECHR_Numbered_List_3"/>
    <w:aliases w:val="_Num_3"/>
    <w:basedOn w:val="ECHRNumberedList2"/>
    <w:uiPriority w:val="23"/>
    <w:semiHidden/>
    <w:rsid w:val="00BD5402"/>
    <w:pPr>
      <w:numPr>
        <w:ilvl w:val="2"/>
      </w:numPr>
    </w:pPr>
  </w:style>
  <w:style w:type="paragraph" w:customStyle="1" w:styleId="ECHRParaHanging">
    <w:name w:val="ECHR_Para_Hanging"/>
    <w:aliases w:val="_Hanging"/>
    <w:basedOn w:val="Normal"/>
    <w:uiPriority w:val="8"/>
    <w:semiHidden/>
    <w:qFormat/>
    <w:rsid w:val="00BD5402"/>
    <w:pPr>
      <w:ind w:left="567" w:hanging="567"/>
      <w:jc w:val="both"/>
    </w:pPr>
  </w:style>
  <w:style w:type="paragraph" w:customStyle="1" w:styleId="ECHRParaIndent">
    <w:name w:val="ECHR_Para_Indent"/>
    <w:aliases w:val="_Indent"/>
    <w:basedOn w:val="Normal"/>
    <w:uiPriority w:val="7"/>
    <w:semiHidden/>
    <w:qFormat/>
    <w:rsid w:val="00BD5402"/>
    <w:pPr>
      <w:spacing w:before="120" w:after="120"/>
      <w:ind w:left="567"/>
      <w:jc w:val="both"/>
    </w:pPr>
  </w:style>
  <w:style w:type="character" w:customStyle="1" w:styleId="ECHRRed">
    <w:name w:val="ECHR_Red"/>
    <w:aliases w:val="_Red"/>
    <w:basedOn w:val="DefaultParagraphFont"/>
    <w:uiPriority w:val="15"/>
    <w:semiHidden/>
    <w:qFormat/>
    <w:rsid w:val="00BD5402"/>
    <w:rPr>
      <w:color w:val="C00000" w:themeColor="accent2"/>
    </w:rPr>
  </w:style>
  <w:style w:type="paragraph" w:customStyle="1" w:styleId="DecList">
    <w:name w:val="Dec_List"/>
    <w:aliases w:val="_List"/>
    <w:basedOn w:val="JuList"/>
    <w:uiPriority w:val="22"/>
    <w:rsid w:val="00BD5402"/>
    <w:pPr>
      <w:numPr>
        <w:numId w:val="0"/>
      </w:numPr>
      <w:ind w:left="284"/>
    </w:pPr>
  </w:style>
  <w:style w:type="table" w:customStyle="1" w:styleId="ECHRTable2">
    <w:name w:val="ECHR_Table_2"/>
    <w:basedOn w:val="TableNormal"/>
    <w:uiPriority w:val="99"/>
    <w:rsid w:val="00BD540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D540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BD540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D540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D540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BD540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D540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D540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D5402"/>
    <w:pPr>
      <w:outlineLvl w:val="0"/>
    </w:pPr>
  </w:style>
  <w:style w:type="paragraph" w:customStyle="1" w:styleId="ECHRTitleTOC1">
    <w:name w:val="ECHR_Title_TOC_1"/>
    <w:aliases w:val="_Title_L_TOC"/>
    <w:basedOn w:val="ECHRTitle1"/>
    <w:next w:val="Normal"/>
    <w:uiPriority w:val="27"/>
    <w:semiHidden/>
    <w:qFormat/>
    <w:rsid w:val="00BD5402"/>
    <w:pPr>
      <w:outlineLvl w:val="0"/>
    </w:pPr>
  </w:style>
  <w:style w:type="paragraph" w:customStyle="1" w:styleId="ECHRPlaceholder">
    <w:name w:val="ECHR_Placeholder"/>
    <w:aliases w:val="_Placeholder"/>
    <w:basedOn w:val="JuSigned"/>
    <w:uiPriority w:val="31"/>
    <w:rsid w:val="00BD5402"/>
    <w:rPr>
      <w:color w:val="FFFFFF"/>
    </w:rPr>
  </w:style>
  <w:style w:type="paragraph" w:customStyle="1" w:styleId="ECHRSpacer">
    <w:name w:val="ECHR_Spacer"/>
    <w:aliases w:val="_Spacer"/>
    <w:basedOn w:val="Normal"/>
    <w:uiPriority w:val="45"/>
    <w:semiHidden/>
    <w:rsid w:val="00BD5402"/>
    <w:rPr>
      <w:sz w:val="4"/>
    </w:rPr>
  </w:style>
  <w:style w:type="table" w:customStyle="1" w:styleId="ECHRTableGrey">
    <w:name w:val="ECHR_Table_Grey"/>
    <w:basedOn w:val="TableNormal"/>
    <w:uiPriority w:val="99"/>
    <w:rsid w:val="00BD540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01CC5"/>
    <w:rPr>
      <w:sz w:val="24"/>
      <w:szCs w:val="24"/>
      <w:lang w:val="fr-FR"/>
    </w:rPr>
  </w:style>
  <w:style w:type="table" w:styleId="GridTable1Light">
    <w:name w:val="Grid Table 1 Light"/>
    <w:basedOn w:val="TableNormal"/>
    <w:uiPriority w:val="46"/>
    <w:semiHidden/>
    <w:rsid w:val="006F50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6F509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F509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F509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F509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F509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F509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F50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F509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F509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F509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F509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F509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F509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F50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F50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F50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F50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F50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F50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F50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F50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F50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F50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F50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F50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F50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F50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F50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F50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F50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F50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F50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F50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F50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F50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F50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F50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F50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F50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F50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F50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F50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F5092"/>
    <w:rPr>
      <w:color w:val="2B579A"/>
      <w:shd w:val="clear" w:color="auto" w:fill="E1DFDD"/>
    </w:rPr>
  </w:style>
  <w:style w:type="table" w:styleId="ListTable1Light">
    <w:name w:val="List Table 1 Light"/>
    <w:basedOn w:val="TableNormal"/>
    <w:uiPriority w:val="46"/>
    <w:semiHidden/>
    <w:rsid w:val="006F50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F509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F509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F509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F509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F509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F509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F509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F509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F509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F509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F509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F509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F509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F50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F509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F509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F509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F509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F509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F509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F50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F50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F50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F50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F50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F50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F50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F509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F509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F509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F509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F509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F509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F509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F509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F509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F509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F509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F509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F509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F509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F509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F509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F509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F509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F509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F509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F509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F5092"/>
    <w:rPr>
      <w:color w:val="2B579A"/>
      <w:shd w:val="clear" w:color="auto" w:fill="E1DFDD"/>
    </w:rPr>
  </w:style>
  <w:style w:type="table" w:styleId="PlainTable1">
    <w:name w:val="Plain Table 1"/>
    <w:basedOn w:val="TableNormal"/>
    <w:uiPriority w:val="41"/>
    <w:semiHidden/>
    <w:rsid w:val="006F509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F50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F50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F50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F50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F5092"/>
    <w:rPr>
      <w:u w:val="dotted"/>
    </w:rPr>
  </w:style>
  <w:style w:type="character" w:customStyle="1" w:styleId="SmartLink">
    <w:name w:val="Smart Link"/>
    <w:basedOn w:val="DefaultParagraphFont"/>
    <w:uiPriority w:val="99"/>
    <w:semiHidden/>
    <w:unhideWhenUsed/>
    <w:rsid w:val="006F5092"/>
    <w:rPr>
      <w:color w:val="0000FF"/>
      <w:u w:val="single"/>
      <w:shd w:val="clear" w:color="auto" w:fill="F3F2F1"/>
    </w:rPr>
  </w:style>
  <w:style w:type="table" w:styleId="TableGridLight">
    <w:name w:val="Grid Table Light"/>
    <w:basedOn w:val="TableNormal"/>
    <w:uiPriority w:val="40"/>
    <w:semiHidden/>
    <w:rsid w:val="006F509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6F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12226-035D-4914-B112-AC51C86D6672}">
  <ds:schemaRefs>
    <ds:schemaRef ds:uri="http://schemas.openxmlformats.org/officeDocument/2006/bibliography"/>
  </ds:schemaRefs>
</ds:datastoreItem>
</file>

<file path=customXml/itemProps2.xml><?xml version="1.0" encoding="utf-8"?>
<ds:datastoreItem xmlns:ds="http://schemas.openxmlformats.org/officeDocument/2006/customXml" ds:itemID="{A1EF33C0-7195-462E-A4CD-C8A6BB8C14D2}"/>
</file>

<file path=customXml/itemProps3.xml><?xml version="1.0" encoding="utf-8"?>
<ds:datastoreItem xmlns:ds="http://schemas.openxmlformats.org/officeDocument/2006/customXml" ds:itemID="{E0DE2754-50E1-4E22-AAB0-A70827C841B1}"/>
</file>

<file path=customXml/itemProps4.xml><?xml version="1.0" encoding="utf-8"?>
<ds:datastoreItem xmlns:ds="http://schemas.openxmlformats.org/officeDocument/2006/customXml" ds:itemID="{F2359856-D97D-4D5A-9F2D-D45287F86B4D}"/>
</file>

<file path=docProps/app.xml><?xml version="1.0" encoding="utf-8"?>
<Properties xmlns="http://schemas.openxmlformats.org/officeDocument/2006/extended-properties" xmlns:vt="http://schemas.openxmlformats.org/officeDocument/2006/docPropsVTypes">
  <Template>Normal.dotm</Template>
  <TotalTime>0</TotalTime>
  <Pages>1</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Arrêt</vt:lpstr>
    </vt:vector>
  </TitlesOfParts>
  <Manager/>
  <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46173/15</vt:lpwstr>
  </property>
  <property fmtid="{D5CDD505-2E9C-101B-9397-08002B2CF9AE}" pid="4" name="CASEID">
    <vt:lpwstr>1156531</vt:lpwstr>
  </property>
  <property fmtid="{D5CDD505-2E9C-101B-9397-08002B2CF9AE}" pid="5" name="ContentTypeId">
    <vt:lpwstr>0x010100558EB02BDB9E204AB350EDD385B68E10</vt:lpwstr>
  </property>
</Properties>
</file>