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06694" w:rsidR="00D062AC" w:rsidP="00106694" w:rsidRDefault="00D062AC" w14:paraId="15EE4F88" w14:textId="77777777">
      <w:pPr>
        <w:rPr>
          <w:rFonts w:ascii="Times New Roman" w:hAnsi="Times New Roman" w:cs="Times New Roman"/>
        </w:rPr>
      </w:pPr>
    </w:p>
    <w:p w:rsidRPr="00106694" w:rsidR="007A4070" w:rsidP="00106694" w:rsidRDefault="007A4070" w14:paraId="726DC9C1" w14:textId="77777777"/>
    <w:p w:rsidRPr="00106694" w:rsidR="007A4070" w:rsidP="00106694" w:rsidRDefault="00D062AC" w14:paraId="78E1D78A" w14:textId="77777777">
      <w:pPr>
        <w:pStyle w:val="DecHCase"/>
      </w:pPr>
      <w:r w:rsidRPr="00106694">
        <w:t>CINQUIÈME SECTION</w:t>
      </w:r>
    </w:p>
    <w:p w:rsidRPr="00106694" w:rsidR="007A4070" w:rsidP="00106694" w:rsidRDefault="007A4070" w14:paraId="0B16AEAA" w14:textId="77777777">
      <w:pPr>
        <w:pStyle w:val="JuTitle"/>
      </w:pPr>
      <w:r w:rsidRPr="00106694">
        <w:t xml:space="preserve">AFFAIRE </w:t>
      </w:r>
      <w:r w:rsidRPr="00106694" w:rsidR="00D062AC">
        <w:t>GARCIA Y RODRIGUEZ c. FRANCE</w:t>
      </w:r>
    </w:p>
    <w:p w:rsidRPr="00106694" w:rsidR="007A4070" w:rsidP="00106694" w:rsidRDefault="007A4070" w14:paraId="00376808" w14:textId="77777777">
      <w:pPr>
        <w:pStyle w:val="ECHRCoverTitle4"/>
      </w:pPr>
      <w:r w:rsidRPr="00106694">
        <w:t>(</w:t>
      </w:r>
      <w:r w:rsidRPr="00106694" w:rsidR="00D062AC">
        <w:t>Requête n</w:t>
      </w:r>
      <w:r w:rsidRPr="00106694" w:rsidR="00D062AC">
        <w:rPr>
          <w:vertAlign w:val="superscript"/>
        </w:rPr>
        <w:t>o</w:t>
      </w:r>
      <w:r w:rsidRPr="00106694">
        <w:t xml:space="preserve"> </w:t>
      </w:r>
      <w:r w:rsidRPr="00106694" w:rsidR="00D062AC">
        <w:t>31051/16</w:t>
      </w:r>
      <w:r w:rsidRPr="00106694">
        <w:t>)</w:t>
      </w:r>
    </w:p>
    <w:p w:rsidRPr="00106694" w:rsidR="007A4070" w:rsidP="00106694" w:rsidRDefault="007A4070" w14:paraId="689EBE31" w14:textId="77777777">
      <w:pPr>
        <w:pStyle w:val="DecHCase"/>
      </w:pPr>
    </w:p>
    <w:p w:rsidRPr="00106694" w:rsidR="007A4070" w:rsidP="00106694" w:rsidRDefault="007A4070" w14:paraId="2CF33BFD" w14:textId="77777777">
      <w:pPr>
        <w:pStyle w:val="DecHCase"/>
      </w:pPr>
    </w:p>
    <w:p w:rsidRPr="00106694" w:rsidR="007A4070" w:rsidP="00106694" w:rsidRDefault="007A4070" w14:paraId="0A512724" w14:textId="77777777">
      <w:pPr>
        <w:pStyle w:val="DecHCase"/>
      </w:pPr>
    </w:p>
    <w:p w:rsidRPr="00106694" w:rsidR="007A4070" w:rsidP="00106694" w:rsidRDefault="007A4070" w14:paraId="66573577" w14:textId="77777777">
      <w:pPr>
        <w:pStyle w:val="DecHCase"/>
      </w:pPr>
    </w:p>
    <w:p w:rsidRPr="00106694" w:rsidR="007A4070" w:rsidP="00106694" w:rsidRDefault="007A4070" w14:paraId="3AAB0892" w14:textId="77777777">
      <w:pPr>
        <w:pStyle w:val="DecHCase"/>
      </w:pPr>
    </w:p>
    <w:p w:rsidRPr="00106694" w:rsidR="007A4070" w:rsidP="00106694" w:rsidRDefault="007A4070" w14:paraId="4E74A9EC" w14:textId="77777777">
      <w:pPr>
        <w:pStyle w:val="DecHCase"/>
      </w:pPr>
    </w:p>
    <w:p w:rsidRPr="00106694" w:rsidR="007A4070" w:rsidP="00106694" w:rsidRDefault="007A4070" w14:paraId="6CA79740" w14:textId="77777777">
      <w:pPr>
        <w:pStyle w:val="DecHCase"/>
      </w:pPr>
      <w:r w:rsidRPr="00106694">
        <w:t>ARRÊT</w:t>
      </w:r>
      <w:r w:rsidRPr="00106694">
        <w:br/>
      </w:r>
    </w:p>
    <w:p w:rsidRPr="00106694" w:rsidR="007A4070" w:rsidP="00106694" w:rsidRDefault="007A4070" w14:paraId="74626E41" w14:textId="77777777">
      <w:pPr>
        <w:pStyle w:val="DecHCase"/>
      </w:pPr>
      <w:r w:rsidRPr="00106694">
        <w:t>STRASBOURG</w:t>
      </w:r>
    </w:p>
    <w:p w:rsidRPr="00106694" w:rsidR="007A4070" w:rsidP="00106694" w:rsidRDefault="00D062AC" w14:paraId="7F2CA520" w14:textId="77777777">
      <w:pPr>
        <w:pStyle w:val="DecHCase"/>
      </w:pPr>
      <w:r w:rsidRPr="00106694">
        <w:t>9 septembre 2021</w:t>
      </w:r>
    </w:p>
    <w:p w:rsidRPr="00106694" w:rsidR="007A4070" w:rsidP="00106694" w:rsidRDefault="007A4070" w14:paraId="6EC7C405" w14:textId="77777777">
      <w:pPr>
        <w:pStyle w:val="DecHCase"/>
      </w:pPr>
    </w:p>
    <w:p w:rsidRPr="00106694" w:rsidR="00516B59" w:rsidP="00106694" w:rsidRDefault="007A4070" w14:paraId="00B7D65A" w14:textId="77777777">
      <w:pPr>
        <w:rPr>
          <w:rFonts w:ascii="Times New Roman" w:hAnsi="Times New Roman" w:cs="Times New Roman"/>
          <w:i/>
          <w:sz w:val="22"/>
        </w:rPr>
      </w:pPr>
      <w:r w:rsidRPr="00106694">
        <w:rPr>
          <w:i/>
          <w:sz w:val="22"/>
        </w:rPr>
        <w:t xml:space="preserve">Cet arrêt </w:t>
      </w:r>
      <w:r w:rsidRPr="00106694" w:rsidR="00D062AC">
        <w:rPr>
          <w:i/>
          <w:sz w:val="22"/>
        </w:rPr>
        <w:t>est définitif</w:t>
      </w:r>
      <w:r w:rsidRPr="00106694">
        <w:rPr>
          <w:i/>
          <w:sz w:val="22"/>
        </w:rPr>
        <w:t>. Il peut subir des retouches de fo</w:t>
      </w:r>
      <w:r w:rsidRPr="00106694" w:rsidR="00516B59">
        <w:rPr>
          <w:rFonts w:ascii="Times New Roman" w:hAnsi="Times New Roman" w:cs="Times New Roman"/>
          <w:i/>
          <w:sz w:val="22"/>
        </w:rPr>
        <w:t>rme.</w:t>
      </w:r>
    </w:p>
    <w:p w:rsidRPr="00106694" w:rsidR="00516B59" w:rsidP="00106694" w:rsidRDefault="00516B59" w14:paraId="27A6E8C7" w14:textId="77777777">
      <w:pPr>
        <w:ind w:left="720"/>
        <w:rPr>
          <w:rFonts w:ascii="Times New Roman" w:hAnsi="Times New Roman" w:cs="Times New Roman"/>
          <w:sz w:val="22"/>
        </w:rPr>
        <w:sectPr w:rsidRPr="00106694" w:rsidR="00516B59" w:rsidSect="00902601">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106694" w:rsidR="004344E6" w:rsidP="00106694" w:rsidRDefault="004344E6" w14:paraId="493CE8F8" w14:textId="0C01F15B">
      <w:pPr>
        <w:pStyle w:val="JuCase"/>
      </w:pPr>
      <w:r w:rsidRPr="00106694">
        <w:t>En l</w:t>
      </w:r>
      <w:r w:rsidRPr="00106694" w:rsidR="00106694">
        <w:t>’</w:t>
      </w:r>
      <w:r w:rsidRPr="00106694">
        <w:t xml:space="preserve">affaire </w:t>
      </w:r>
      <w:r w:rsidRPr="00106694" w:rsidR="00D062AC">
        <w:t>Garcia Y Rodriguez c. France</w:t>
      </w:r>
      <w:r w:rsidRPr="00106694">
        <w:t>,</w:t>
      </w:r>
    </w:p>
    <w:p w:rsidRPr="00106694" w:rsidR="004344E6" w:rsidP="00106694" w:rsidRDefault="004344E6" w14:paraId="40C24CCB" w14:textId="0AEC2DC9">
      <w:pPr>
        <w:pStyle w:val="JuPara"/>
      </w:pPr>
      <w:r w:rsidRPr="00106694">
        <w:t>La Cour européenne des droits de l</w:t>
      </w:r>
      <w:r w:rsidRPr="00106694" w:rsidR="00106694">
        <w:t>’</w:t>
      </w:r>
      <w:r w:rsidRPr="00106694">
        <w:t>homme (</w:t>
      </w:r>
      <w:r w:rsidRPr="00106694" w:rsidR="00D062AC">
        <w:t>cinquième section</w:t>
      </w:r>
      <w:r w:rsidRPr="00106694">
        <w:t xml:space="preserve">), siégeant en </w:t>
      </w:r>
      <w:r w:rsidRPr="00106694" w:rsidR="00D062AC">
        <w:rPr>
          <w:color w:val="000000"/>
        </w:rPr>
        <w:t xml:space="preserve">un </w:t>
      </w:r>
      <w:r w:rsidRPr="00106694" w:rsidR="00D062AC">
        <w:t>comité composé</w:t>
      </w:r>
      <w:r w:rsidRPr="00106694">
        <w:t xml:space="preserve"> de :</w:t>
      </w:r>
    </w:p>
    <w:p w:rsidRPr="00106694" w:rsidR="003743E7" w:rsidP="00106694" w:rsidRDefault="003743E7" w14:paraId="7908F00B" w14:textId="77777777">
      <w:pPr>
        <w:pStyle w:val="JuJudges"/>
        <w:jc w:val="both"/>
        <w:rPr>
          <w:i/>
        </w:rPr>
      </w:pPr>
      <w:r w:rsidRPr="00106694">
        <w:tab/>
        <w:t>Ganna Yudkivska,</w:t>
      </w:r>
      <w:r w:rsidRPr="00106694">
        <w:rPr>
          <w:i/>
        </w:rPr>
        <w:t xml:space="preserve"> présidente,</w:t>
      </w:r>
    </w:p>
    <w:p w:rsidRPr="00106694" w:rsidR="003743E7" w:rsidP="00106694" w:rsidRDefault="003743E7" w14:paraId="66EDD034" w14:textId="77777777">
      <w:pPr>
        <w:pStyle w:val="JuJudges"/>
        <w:jc w:val="both"/>
        <w:rPr>
          <w:i/>
        </w:rPr>
      </w:pPr>
      <w:r w:rsidRPr="00106694">
        <w:tab/>
        <w:t>Arnfinn Bårdsen,</w:t>
      </w:r>
    </w:p>
    <w:p w:rsidRPr="00106694" w:rsidR="003743E7" w:rsidP="00106694" w:rsidRDefault="003743E7" w14:paraId="4C593E9F" w14:textId="77777777">
      <w:pPr>
        <w:pStyle w:val="JuJudges"/>
        <w:jc w:val="both"/>
      </w:pPr>
      <w:r w:rsidRPr="00106694">
        <w:tab/>
        <w:t>Mattias Guyomar,</w:t>
      </w:r>
      <w:r w:rsidRPr="00106694">
        <w:rPr>
          <w:i/>
        </w:rPr>
        <w:t xml:space="preserve"> juges,</w:t>
      </w:r>
    </w:p>
    <w:p w:rsidRPr="00106694" w:rsidR="004344E6" w:rsidP="00106694" w:rsidRDefault="004344E6" w14:paraId="16C42A8A" w14:textId="77777777">
      <w:pPr>
        <w:pStyle w:val="JuJudges"/>
        <w:jc w:val="both"/>
      </w:pPr>
      <w:proofErr w:type="gramStart"/>
      <w:r w:rsidRPr="00106694">
        <w:t>et</w:t>
      </w:r>
      <w:proofErr w:type="gramEnd"/>
      <w:r w:rsidRPr="00106694">
        <w:t xml:space="preserve"> de </w:t>
      </w:r>
      <w:r w:rsidRPr="00106694" w:rsidR="00D062AC">
        <w:t>Martina Keller</w:t>
      </w:r>
      <w:r w:rsidRPr="00106694">
        <w:t xml:space="preserve">, </w:t>
      </w:r>
      <w:r w:rsidRPr="00106694" w:rsidR="00D062AC">
        <w:rPr>
          <w:i/>
        </w:rPr>
        <w:t>greffière adjointe</w:t>
      </w:r>
      <w:r w:rsidRPr="00106694" w:rsidR="00D062AC">
        <w:rPr>
          <w:iCs/>
        </w:rPr>
        <w:t xml:space="preserve"> </w:t>
      </w:r>
      <w:r w:rsidRPr="00106694" w:rsidR="00D062AC">
        <w:rPr>
          <w:i/>
          <w:iCs/>
        </w:rPr>
        <w:t>d</w:t>
      </w:r>
      <w:r w:rsidRPr="00106694" w:rsidR="00D062AC">
        <w:rPr>
          <w:i/>
        </w:rPr>
        <w:t>e section</w:t>
      </w:r>
      <w:r w:rsidRPr="00106694">
        <w:t>,</w:t>
      </w:r>
    </w:p>
    <w:p w:rsidRPr="00106694" w:rsidR="00D062AC" w:rsidP="00106694" w:rsidRDefault="00D062AC" w14:paraId="7EA09C43" w14:textId="77777777">
      <w:pPr>
        <w:pStyle w:val="JuPara"/>
      </w:pPr>
      <w:r w:rsidRPr="00106694">
        <w:t>Vu :</w:t>
      </w:r>
    </w:p>
    <w:p w:rsidRPr="00106694" w:rsidR="00D062AC" w:rsidP="00106694" w:rsidRDefault="00D062AC" w14:paraId="7297B604" w14:textId="267741C4">
      <w:pPr>
        <w:pStyle w:val="JuPara"/>
      </w:pPr>
      <w:proofErr w:type="gramStart"/>
      <w:r w:rsidRPr="00106694">
        <w:t>la</w:t>
      </w:r>
      <w:proofErr w:type="gramEnd"/>
      <w:r w:rsidRPr="00106694">
        <w:t xml:space="preserve"> requête (n</w:t>
      </w:r>
      <w:r w:rsidRPr="00106694">
        <w:rPr>
          <w:vertAlign w:val="superscript"/>
        </w:rPr>
        <w:t>o</w:t>
      </w:r>
      <w:r w:rsidRPr="00106694">
        <w:t xml:space="preserve"> 31051/16) dirigée contre la République française et dont un ressortissant de cet État, M. André Garcia Y Rodriguez (« le requérant ») a saisi la Cour en vertu de l</w:t>
      </w:r>
      <w:r w:rsidRPr="00106694" w:rsidR="00106694">
        <w:t>’</w:t>
      </w:r>
      <w:r w:rsidRPr="00106694">
        <w:t>article 34 de la Convention de sauvegarde des droits de l</w:t>
      </w:r>
      <w:r w:rsidRPr="00106694" w:rsidR="00106694">
        <w:t>’</w:t>
      </w:r>
      <w:r w:rsidRPr="00106694">
        <w:t>homme et des libertés fondamentales (« la Convention ») le 27</w:t>
      </w:r>
      <w:r w:rsidRPr="00106694" w:rsidR="00757FFA">
        <w:t> </w:t>
      </w:r>
      <w:r w:rsidRPr="00106694">
        <w:t>mai 2016,</w:t>
      </w:r>
    </w:p>
    <w:p w:rsidRPr="00106694" w:rsidR="00D062AC" w:rsidP="00106694" w:rsidRDefault="00D062AC" w14:paraId="412EA513" w14:textId="13A7D60F">
      <w:pPr>
        <w:pStyle w:val="JuPara"/>
      </w:pPr>
      <w:proofErr w:type="gramStart"/>
      <w:r w:rsidRPr="00106694">
        <w:t>la</w:t>
      </w:r>
      <w:proofErr w:type="gramEnd"/>
      <w:r w:rsidRPr="00106694">
        <w:t xml:space="preserve"> décision de porter à la connaissance du gouvernement français (« le Gouvernement ») le grief tiré de l</w:t>
      </w:r>
      <w:r w:rsidRPr="00106694" w:rsidR="00106694">
        <w:t>’</w:t>
      </w:r>
      <w:r w:rsidRPr="00106694">
        <w:t>article 6 § 1 relatif à la communication tardive au requérant d</w:t>
      </w:r>
      <w:r w:rsidRPr="00106694" w:rsidR="00106694">
        <w:t>’</w:t>
      </w:r>
      <w:r w:rsidRPr="00106694">
        <w:t>un jugement de première instance le condamnant pénalement et de déclarer la requête irrecevable pour le surplus,</w:t>
      </w:r>
    </w:p>
    <w:p w:rsidRPr="00106694" w:rsidR="00D062AC" w:rsidP="00106694" w:rsidRDefault="00D062AC" w14:paraId="357F99DA" w14:textId="77777777">
      <w:pPr>
        <w:pStyle w:val="JuPara"/>
      </w:pPr>
      <w:proofErr w:type="gramStart"/>
      <w:r w:rsidRPr="00106694">
        <w:t>les</w:t>
      </w:r>
      <w:proofErr w:type="gramEnd"/>
      <w:r w:rsidRPr="00106694">
        <w:t xml:space="preserve"> observations des parties,</w:t>
      </w:r>
    </w:p>
    <w:p w:rsidRPr="00106694" w:rsidR="00D062AC" w:rsidP="00106694" w:rsidRDefault="00D062AC" w14:paraId="7B3E12C3" w14:textId="2E5FA7A4">
      <w:pPr>
        <w:pStyle w:val="JuPara"/>
      </w:pPr>
      <w:r w:rsidRPr="00106694">
        <w:t>Notant que le Gouvernement ne s</w:t>
      </w:r>
      <w:r w:rsidRPr="00106694" w:rsidR="00106694">
        <w:t>’</w:t>
      </w:r>
      <w:r w:rsidRPr="00106694">
        <w:t>est pas opposé à l</w:t>
      </w:r>
      <w:r w:rsidRPr="00106694" w:rsidR="00106694">
        <w:t>’</w:t>
      </w:r>
      <w:r w:rsidRPr="00106694">
        <w:t>examen de la requête par un comité,</w:t>
      </w:r>
    </w:p>
    <w:p w:rsidRPr="00106694" w:rsidR="004344E6" w:rsidP="00106694" w:rsidRDefault="004344E6" w14:paraId="1762C97D" w14:textId="77777777">
      <w:pPr>
        <w:pStyle w:val="JuPara"/>
      </w:pPr>
      <w:r w:rsidRPr="00106694">
        <w:t xml:space="preserve">Après en avoir délibéré en chambre du conseil le </w:t>
      </w:r>
      <w:r w:rsidRPr="00106694" w:rsidR="00D062AC">
        <w:t>8 juillet 2021</w:t>
      </w:r>
      <w:r w:rsidRPr="00106694">
        <w:t>,</w:t>
      </w:r>
    </w:p>
    <w:p w:rsidRPr="00106694" w:rsidR="00876F03" w:rsidP="00106694" w:rsidRDefault="004344E6" w14:paraId="43D8839F" w14:textId="244EA94E">
      <w:pPr>
        <w:pStyle w:val="JuPara"/>
      </w:pPr>
      <w:r w:rsidRPr="00106694">
        <w:t>Rend l</w:t>
      </w:r>
      <w:r w:rsidRPr="00106694" w:rsidR="00106694">
        <w:t>’</w:t>
      </w:r>
      <w:r w:rsidRPr="00106694">
        <w:t>arrêt que voici</w:t>
      </w:r>
      <w:r w:rsidRPr="00106694" w:rsidR="00876F03">
        <w:t>, adopté à cette date :</w:t>
      </w:r>
    </w:p>
    <w:p w:rsidRPr="00106694" w:rsidR="00D062AC" w:rsidP="00106694" w:rsidRDefault="00D062AC" w14:paraId="643E41FA" w14:textId="77777777">
      <w:pPr>
        <w:pStyle w:val="JuHHead"/>
      </w:pPr>
      <w:r w:rsidRPr="00106694">
        <w:rPr>
          <w:caps w:val="0"/>
        </w:rPr>
        <w:t>INTRODUCTION</w:t>
      </w:r>
    </w:p>
    <w:p w:rsidRPr="00106694" w:rsidR="00D062AC" w:rsidP="00106694" w:rsidRDefault="00D062AC" w14:paraId="4375FE25" w14:textId="4C8F50B7">
      <w:pPr>
        <w:pStyle w:val="JuPara"/>
      </w:pPr>
      <w:r w:rsidRPr="00106694">
        <w:fldChar w:fldCharType="begin"/>
      </w:r>
      <w:r w:rsidRPr="00106694">
        <w:instrText xml:space="preserve"> SEQ level0 \*arabic </w:instrText>
      </w:r>
      <w:r w:rsidRPr="00106694">
        <w:fldChar w:fldCharType="separate"/>
      </w:r>
      <w:r w:rsidRPr="00106694" w:rsidR="00106694">
        <w:rPr>
          <w:noProof/>
        </w:rPr>
        <w:t>1</w:t>
      </w:r>
      <w:r w:rsidRPr="00106694">
        <w:fldChar w:fldCharType="end"/>
      </w:r>
      <w:r w:rsidRPr="00106694">
        <w:t>.  L</w:t>
      </w:r>
      <w:r w:rsidRPr="00106694" w:rsidR="00106694">
        <w:t>’</w:t>
      </w:r>
      <w:r w:rsidRPr="00106694">
        <w:t>affaire concerne les effets sur le droit à un procès équitable, au sens de l</w:t>
      </w:r>
      <w:r w:rsidRPr="00106694" w:rsidR="00106694">
        <w:t>’</w:t>
      </w:r>
      <w:r w:rsidRPr="00106694">
        <w:t>article 6 de la Convention, d</w:t>
      </w:r>
      <w:r w:rsidRPr="00106694" w:rsidR="00106694">
        <w:t>’</w:t>
      </w:r>
      <w:r w:rsidRPr="00106694">
        <w:t>une personne condamnée pénalement en première instance de la communication tardive des motifs de sa condamnation.</w:t>
      </w:r>
    </w:p>
    <w:p w:rsidRPr="00106694" w:rsidR="00D062AC" w:rsidP="00106694" w:rsidRDefault="00D062AC" w14:paraId="20A3A19E" w14:textId="77777777">
      <w:pPr>
        <w:pStyle w:val="JuHHead"/>
      </w:pPr>
      <w:bookmarkStart w:name="_Hlk36126677" w:id="0"/>
      <w:r w:rsidRPr="00106694">
        <w:t>EN FAIT</w:t>
      </w:r>
    </w:p>
    <w:bookmarkEnd w:id="0"/>
    <w:p w:rsidRPr="00106694" w:rsidR="00D062AC" w:rsidP="00106694" w:rsidRDefault="00D062AC" w14:paraId="407BEB83" w14:textId="194A57CF">
      <w:pPr>
        <w:pStyle w:val="JuPara"/>
      </w:pPr>
      <w:r w:rsidRPr="00106694">
        <w:fldChar w:fldCharType="begin"/>
      </w:r>
      <w:r w:rsidRPr="00106694">
        <w:instrText xml:space="preserve"> SEQ level0 \*arabic </w:instrText>
      </w:r>
      <w:r w:rsidRPr="00106694">
        <w:fldChar w:fldCharType="separate"/>
      </w:r>
      <w:r w:rsidRPr="00106694" w:rsidR="00106694">
        <w:rPr>
          <w:noProof/>
        </w:rPr>
        <w:t>2</w:t>
      </w:r>
      <w:r w:rsidRPr="00106694">
        <w:fldChar w:fldCharType="end"/>
      </w:r>
      <w:r w:rsidRPr="00106694">
        <w:t>.  Le requérant est né en 1926 et réside à Paris. Il est représenté par M</w:t>
      </w:r>
      <w:r w:rsidRPr="00106694">
        <w:rPr>
          <w:vertAlign w:val="superscript"/>
        </w:rPr>
        <w:t>e</w:t>
      </w:r>
      <w:r w:rsidRPr="00106694">
        <w:t> </w:t>
      </w:r>
      <w:bookmarkStart w:name="_Hlk81987537" w:id="1"/>
      <w:r w:rsidRPr="00106694">
        <w:t>F. Rocheteau</w:t>
      </w:r>
      <w:bookmarkEnd w:id="1"/>
      <w:r w:rsidRPr="00106694">
        <w:t>, avocat.</w:t>
      </w:r>
    </w:p>
    <w:p w:rsidRPr="00106694" w:rsidR="00D062AC" w:rsidP="00106694" w:rsidRDefault="00D062AC" w14:paraId="6D06D482" w14:textId="10D93541">
      <w:pPr>
        <w:pStyle w:val="JuPara"/>
      </w:pPr>
      <w:r w:rsidRPr="00106694">
        <w:fldChar w:fldCharType="begin"/>
      </w:r>
      <w:r w:rsidRPr="00106694">
        <w:instrText xml:space="preserve"> SEQ level0 \*arabic </w:instrText>
      </w:r>
      <w:r w:rsidRPr="00106694">
        <w:fldChar w:fldCharType="separate"/>
      </w:r>
      <w:r w:rsidRPr="00106694" w:rsidR="00106694">
        <w:rPr>
          <w:noProof/>
        </w:rPr>
        <w:t>3</w:t>
      </w:r>
      <w:r w:rsidRPr="00106694">
        <w:fldChar w:fldCharType="end"/>
      </w:r>
      <w:r w:rsidRPr="00106694">
        <w:t>.  </w:t>
      </w:r>
      <w:bookmarkStart w:name="_Hlk36127123" w:id="2"/>
      <w:r w:rsidRPr="00106694">
        <w:rPr>
          <w:rFonts w:ascii="Times New Roman" w:hAnsi="Times New Roman" w:cs="Times New Roman" w:eastAsiaTheme="minorEastAsia"/>
        </w:rPr>
        <w:t>Le gouvernement français (« le Gouvernement ») est représenté par son agent, M. F. Alabrune, directeur des affaires juridiques du ministère de l</w:t>
      </w:r>
      <w:r w:rsidRPr="00106694" w:rsidR="00106694">
        <w:rPr>
          <w:rFonts w:ascii="Times New Roman" w:hAnsi="Times New Roman" w:cs="Times New Roman" w:eastAsiaTheme="minorEastAsia"/>
        </w:rPr>
        <w:t>’</w:t>
      </w:r>
      <w:r w:rsidRPr="00106694">
        <w:rPr>
          <w:rFonts w:ascii="Times New Roman" w:hAnsi="Times New Roman" w:cs="Times New Roman" w:eastAsiaTheme="minorEastAsia"/>
        </w:rPr>
        <w:t>Europe et des Affaires étrangères</w:t>
      </w:r>
      <w:r w:rsidRPr="00106694">
        <w:t>.</w:t>
      </w:r>
      <w:bookmarkEnd w:id="2"/>
    </w:p>
    <w:p w:rsidRPr="00106694" w:rsidR="00D062AC" w:rsidP="00106694" w:rsidRDefault="00D062AC" w14:paraId="3A1369DA" w14:textId="64A370C1">
      <w:pPr>
        <w:pStyle w:val="JuPara"/>
      </w:pPr>
      <w:r w:rsidRPr="00106694">
        <w:fldChar w:fldCharType="begin"/>
      </w:r>
      <w:r w:rsidRPr="00106694">
        <w:instrText xml:space="preserve"> SEQ level0 \*arabic </w:instrText>
      </w:r>
      <w:r w:rsidRPr="00106694">
        <w:fldChar w:fldCharType="separate"/>
      </w:r>
      <w:r w:rsidRPr="00106694" w:rsidR="00106694">
        <w:rPr>
          <w:noProof/>
        </w:rPr>
        <w:t>4</w:t>
      </w:r>
      <w:r w:rsidRPr="00106694">
        <w:fldChar w:fldCharType="end"/>
      </w:r>
      <w:r w:rsidRPr="00106694">
        <w:t>.  Le 8 septembre 2011, dans le cadre d</w:t>
      </w:r>
      <w:r w:rsidRPr="00106694" w:rsidR="00106694">
        <w:t>’</w:t>
      </w:r>
      <w:r w:rsidRPr="00106694">
        <w:t>une procédure visant sept personnes, le requérant fut renvoyé devant le tribunal correctionnel pour recel en récidive légale. Il lui était reproché d</w:t>
      </w:r>
      <w:r w:rsidRPr="00106694" w:rsidR="00106694">
        <w:t>’</w:t>
      </w:r>
      <w:r w:rsidRPr="00106694">
        <w:t>avoir sciemment recelé divers objets, notamment des bijoux, pièces d</w:t>
      </w:r>
      <w:r w:rsidRPr="00106694" w:rsidR="00106694">
        <w:t>’</w:t>
      </w:r>
      <w:r w:rsidRPr="00106694">
        <w:t>or et dents en or qu</w:t>
      </w:r>
      <w:r w:rsidRPr="00106694" w:rsidR="00106694">
        <w:t>’</w:t>
      </w:r>
      <w:r w:rsidRPr="00106694">
        <w:t>il savait provenir de vols (ceci du 1</w:t>
      </w:r>
      <w:r w:rsidRPr="00106694">
        <w:rPr>
          <w:vertAlign w:val="superscript"/>
        </w:rPr>
        <w:t>er</w:t>
      </w:r>
      <w:r w:rsidRPr="00106694">
        <w:t xml:space="preserve"> janvier 2006 au 18 janvier 2008) et des bijoux et articles de maroquinerie provenant de délits commis au préjudice de victimes non identifiées (ceci du 1</w:t>
      </w:r>
      <w:r w:rsidRPr="00106694">
        <w:rPr>
          <w:vertAlign w:val="superscript"/>
        </w:rPr>
        <w:t>er</w:t>
      </w:r>
      <w:r w:rsidRPr="00106694">
        <w:t xml:space="preserve"> janvier 2005 au 18 janvier 2008), et ce en récidive légale, ayant été définitivement condamné le 29 juin 2006 par la cour d</w:t>
      </w:r>
      <w:r w:rsidRPr="00106694" w:rsidR="00106694">
        <w:t>’</w:t>
      </w:r>
      <w:r w:rsidRPr="00106694">
        <w:t>assises d</w:t>
      </w:r>
      <w:r w:rsidRPr="00106694" w:rsidR="00106694">
        <w:t>’</w:t>
      </w:r>
      <w:r w:rsidRPr="00106694">
        <w:t>appel de la Haute Vienne pour des faits de même nature.</w:t>
      </w:r>
    </w:p>
    <w:p w:rsidRPr="00106694" w:rsidR="00D062AC" w:rsidP="00106694" w:rsidRDefault="00D062AC" w14:paraId="15D095F5" w14:textId="702523AE">
      <w:pPr>
        <w:pStyle w:val="JuHIRoman"/>
      </w:pPr>
      <w:r w:rsidRPr="00106694">
        <w:t>Le jugement du tribunal correctionnel d</w:t>
      </w:r>
      <w:r w:rsidRPr="00106694" w:rsidR="00106694">
        <w:t>’</w:t>
      </w:r>
      <w:r w:rsidRPr="00106694">
        <w:t>Albertville du 16 juillet 2012</w:t>
      </w:r>
    </w:p>
    <w:p w:rsidRPr="00106694" w:rsidR="00D062AC" w:rsidP="00106694" w:rsidRDefault="00D062AC" w14:paraId="7E158F99" w14:textId="7182E0B8">
      <w:pPr>
        <w:pStyle w:val="JuPara"/>
      </w:pPr>
      <w:r w:rsidRPr="00106694">
        <w:fldChar w:fldCharType="begin"/>
      </w:r>
      <w:r w:rsidRPr="00106694">
        <w:instrText xml:space="preserve"> SEQ level0 \*arabic </w:instrText>
      </w:r>
      <w:r w:rsidRPr="00106694">
        <w:fldChar w:fldCharType="separate"/>
      </w:r>
      <w:r w:rsidRPr="00106694" w:rsidR="00106694">
        <w:rPr>
          <w:noProof/>
        </w:rPr>
        <w:t>5</w:t>
      </w:r>
      <w:r w:rsidRPr="00106694">
        <w:fldChar w:fldCharType="end"/>
      </w:r>
      <w:r w:rsidRPr="00106694">
        <w:t>.  Par un jugement du 16 juillet 2012, le tribunal correctionnel d</w:t>
      </w:r>
      <w:r w:rsidRPr="00106694" w:rsidR="00106694">
        <w:t>’</w:t>
      </w:r>
      <w:r w:rsidRPr="00106694">
        <w:t>Albertville relaxa le requérant d</w:t>
      </w:r>
      <w:r w:rsidRPr="00106694" w:rsidR="00106694">
        <w:t>’</w:t>
      </w:r>
      <w:r w:rsidRPr="00106694">
        <w:t>une partie des faits qui lui étaient reprochés mais le déclara coupable de recel de biens provenant d</w:t>
      </w:r>
      <w:r w:rsidRPr="00106694" w:rsidR="00106694">
        <w:t>’</w:t>
      </w:r>
      <w:r w:rsidRPr="00106694">
        <w:t>un vol en récidive commis du 1</w:t>
      </w:r>
      <w:r w:rsidRPr="00106694">
        <w:rPr>
          <w:vertAlign w:val="superscript"/>
        </w:rPr>
        <w:t>er</w:t>
      </w:r>
      <w:r w:rsidRPr="00106694">
        <w:t xml:space="preserve"> janvier 2006 au 18 janvier 2008 à Paris. Le dispositif du jugement fut lu à l</w:t>
      </w:r>
      <w:r w:rsidRPr="00106694" w:rsidR="00106694">
        <w:t>’</w:t>
      </w:r>
      <w:r w:rsidRPr="00106694">
        <w:t>audience du même jour. La partie relative au requérant était ainsi libellée :</w:t>
      </w:r>
    </w:p>
    <w:p w:rsidRPr="00106694" w:rsidR="00D062AC" w:rsidP="00106694" w:rsidRDefault="00D062AC" w14:paraId="1C32D83F" w14:textId="77777777">
      <w:pPr>
        <w:pStyle w:val="JuQuot"/>
      </w:pPr>
      <w:r w:rsidRPr="00106694">
        <w:t>« Le tribunal (...)</w:t>
      </w:r>
    </w:p>
    <w:p w:rsidRPr="00106694" w:rsidR="00D062AC" w:rsidP="00106694" w:rsidRDefault="00D062AC" w14:paraId="659E9F82" w14:textId="5A23BEA5">
      <w:pPr>
        <w:pStyle w:val="JuQuot"/>
      </w:pPr>
      <w:r w:rsidRPr="00106694">
        <w:t>Écarte l</w:t>
      </w:r>
      <w:r w:rsidRPr="00106694" w:rsidR="00106694">
        <w:t>’</w:t>
      </w:r>
      <w:r w:rsidRPr="00106694">
        <w:t xml:space="preserve">exception de nullité soulevée par </w:t>
      </w:r>
      <w:r w:rsidRPr="00106694" w:rsidR="00757FFA">
        <w:t>[</w:t>
      </w:r>
      <w:r w:rsidRPr="00106694">
        <w:t>le requérant</w:t>
      </w:r>
      <w:r w:rsidRPr="00106694" w:rsidR="00757FFA">
        <w:t>]</w:t>
      </w:r>
      <w:r w:rsidRPr="00106694">
        <w:t> ;</w:t>
      </w:r>
    </w:p>
    <w:p w:rsidRPr="00106694" w:rsidR="00D062AC" w:rsidP="00106694" w:rsidRDefault="00D062AC" w14:paraId="115A2807" w14:textId="7A82D696">
      <w:pPr>
        <w:pStyle w:val="JuQuot"/>
      </w:pPr>
      <w:proofErr w:type="gramStart"/>
      <w:r w:rsidRPr="00106694">
        <w:t>Relaxe le</w:t>
      </w:r>
      <w:proofErr w:type="gramEnd"/>
      <w:r w:rsidRPr="00106694">
        <w:t xml:space="preserve"> [requérant] pour les faits de recel de biens provenant d</w:t>
      </w:r>
      <w:r w:rsidRPr="00106694" w:rsidR="00106694">
        <w:t>’</w:t>
      </w:r>
      <w:r w:rsidRPr="00106694">
        <w:t>un vol en récidive commis entre le 1</w:t>
      </w:r>
      <w:r w:rsidRPr="00106694">
        <w:rPr>
          <w:vertAlign w:val="superscript"/>
        </w:rPr>
        <w:t>er</w:t>
      </w:r>
      <w:r w:rsidRPr="00106694">
        <w:t xml:space="preserve"> janvier 2005 [et le] 18 janvier 2008 à Paris et vu les articles 132-8 à 132-19-1 du code pénal ;</w:t>
      </w:r>
    </w:p>
    <w:p w:rsidRPr="00106694" w:rsidR="00D062AC" w:rsidP="00106694" w:rsidRDefault="00D062AC" w14:paraId="4ABE5A4D" w14:textId="2EBC2C61">
      <w:pPr>
        <w:pStyle w:val="JuQuot"/>
      </w:pPr>
      <w:r w:rsidRPr="00106694">
        <w:t>Déclare [le requérant] coupable de recel de bien provenant d</w:t>
      </w:r>
      <w:r w:rsidRPr="00106694" w:rsidR="00106694">
        <w:t>’</w:t>
      </w:r>
      <w:r w:rsidRPr="00106694">
        <w:t>un vol en récidive commis du 1</w:t>
      </w:r>
      <w:r w:rsidRPr="00106694">
        <w:rPr>
          <w:vertAlign w:val="superscript"/>
        </w:rPr>
        <w:t>er</w:t>
      </w:r>
      <w:r w:rsidRPr="00106694">
        <w:t xml:space="preserve"> janvier 2006 au 18 janvier 2008 et vu les articles 132-8 à 132-19-1 du code pénal ;</w:t>
      </w:r>
    </w:p>
    <w:p w:rsidRPr="00106694" w:rsidR="00D062AC" w:rsidP="00106694" w:rsidRDefault="00D062AC" w14:paraId="039B19F0" w14:textId="77777777">
      <w:pPr>
        <w:pStyle w:val="JuQuot"/>
      </w:pPr>
      <w:r w:rsidRPr="00106694">
        <w:t>Condamne [le requérant] à un emprisonnement délictuel de trois ans ;</w:t>
      </w:r>
    </w:p>
    <w:p w:rsidRPr="00106694" w:rsidR="00D062AC" w:rsidP="00106694" w:rsidRDefault="00D062AC" w14:paraId="703EB71E" w14:textId="4BA0D082">
      <w:pPr>
        <w:pStyle w:val="JuQuot"/>
      </w:pPr>
      <w:r w:rsidRPr="00106694">
        <w:t>Prononce à l</w:t>
      </w:r>
      <w:r w:rsidRPr="00106694" w:rsidR="00106694">
        <w:t>’</w:t>
      </w:r>
      <w:r w:rsidRPr="00106694">
        <w:t>encontre [du requérant] l</w:t>
      </w:r>
      <w:r w:rsidRPr="00106694" w:rsidR="00106694">
        <w:t>’</w:t>
      </w:r>
      <w:r w:rsidRPr="00106694">
        <w:t>interdiction d</w:t>
      </w:r>
      <w:r w:rsidRPr="00106694" w:rsidR="00106694">
        <w:t>’</w:t>
      </w:r>
      <w:r w:rsidRPr="00106694">
        <w:t>exercer toute activité de gestion, ainsi que l</w:t>
      </w:r>
      <w:r w:rsidRPr="00106694" w:rsidR="00106694">
        <w:t>’</w:t>
      </w:r>
      <w:r w:rsidRPr="00106694">
        <w:t>activité dans le cadre de laquelle l</w:t>
      </w:r>
      <w:r w:rsidRPr="00106694" w:rsidR="00106694">
        <w:t>’</w:t>
      </w:r>
      <w:r w:rsidRPr="00106694">
        <w:t>infraction a été commise pour une durée de cinq ans ;</w:t>
      </w:r>
    </w:p>
    <w:p w:rsidRPr="00106694" w:rsidR="00D062AC" w:rsidP="00106694" w:rsidRDefault="00D062AC" w14:paraId="3103FD2D" w14:textId="0BE97E3E">
      <w:pPr>
        <w:pStyle w:val="JuQuot"/>
      </w:pPr>
      <w:r w:rsidRPr="00106694">
        <w:t>Prononce à l</w:t>
      </w:r>
      <w:r w:rsidRPr="00106694" w:rsidR="00106694">
        <w:t>’</w:t>
      </w:r>
      <w:r w:rsidRPr="00106694">
        <w:t>encontre [du requérant] la confiscation des objets saisis et placés sous scellés. »</w:t>
      </w:r>
    </w:p>
    <w:p w:rsidRPr="00106694" w:rsidR="00D062AC" w:rsidP="00106694" w:rsidRDefault="00D062AC" w14:paraId="011463D2" w14:textId="52C8B827">
      <w:pPr>
        <w:pStyle w:val="JuHIRoman"/>
      </w:pPr>
      <w:r w:rsidRPr="00106694">
        <w:t>L</w:t>
      </w:r>
      <w:r w:rsidRPr="00106694" w:rsidR="00106694">
        <w:t>’</w:t>
      </w:r>
      <w:r w:rsidRPr="00106694">
        <w:t>arrêt de la cour d</w:t>
      </w:r>
      <w:r w:rsidRPr="00106694" w:rsidR="00106694">
        <w:t>’</w:t>
      </w:r>
      <w:r w:rsidRPr="00106694">
        <w:t>appel de Chambéry du 12 mars 2014</w:t>
      </w:r>
    </w:p>
    <w:p w:rsidRPr="00106694" w:rsidR="00D062AC" w:rsidP="00106694" w:rsidRDefault="00D062AC" w14:paraId="064612CF" w14:textId="5A6517BB">
      <w:pPr>
        <w:pStyle w:val="JuPara"/>
      </w:pPr>
      <w:r w:rsidRPr="00106694">
        <w:fldChar w:fldCharType="begin"/>
      </w:r>
      <w:r w:rsidRPr="00106694">
        <w:instrText xml:space="preserve"> SEQ level0 \*arabic </w:instrText>
      </w:r>
      <w:r w:rsidRPr="00106694">
        <w:fldChar w:fldCharType="separate"/>
      </w:r>
      <w:r w:rsidRPr="00106694" w:rsidR="00106694">
        <w:rPr>
          <w:noProof/>
        </w:rPr>
        <w:t>6</w:t>
      </w:r>
      <w:r w:rsidRPr="00106694">
        <w:fldChar w:fldCharType="end"/>
      </w:r>
      <w:r w:rsidRPr="00106694">
        <w:t>.  Le requérant interjeta appel de ce jugement le 18 juillet 2012. À cette même date, le procureur de la République interjeta appel incident ainsi qu</w:t>
      </w:r>
      <w:r w:rsidRPr="00106694" w:rsidR="00106694">
        <w:t>’</w:t>
      </w:r>
      <w:r w:rsidRPr="00106694">
        <w:t>à l</w:t>
      </w:r>
      <w:r w:rsidRPr="00106694" w:rsidR="00106694">
        <w:t>’</w:t>
      </w:r>
      <w:r w:rsidRPr="00106694">
        <w:t>égard des autres prévenus. Deux des coaccusés interjetèrent également appel, l</w:t>
      </w:r>
      <w:r w:rsidRPr="00106694" w:rsidR="00106694">
        <w:t>’</w:t>
      </w:r>
      <w:r w:rsidRPr="00106694">
        <w:t>un le 26 juillet 2012, l</w:t>
      </w:r>
      <w:r w:rsidRPr="00106694" w:rsidR="00106694">
        <w:t>’</w:t>
      </w:r>
      <w:r w:rsidRPr="00106694">
        <w:t>autre le 10 décembre 2013.</w:t>
      </w:r>
    </w:p>
    <w:p w:rsidRPr="00106694" w:rsidR="00D062AC" w:rsidP="00106694" w:rsidRDefault="00D062AC" w14:paraId="494C466C" w14:textId="6B703164">
      <w:pPr>
        <w:pStyle w:val="JuPara"/>
      </w:pPr>
      <w:r w:rsidRPr="00106694">
        <w:fldChar w:fldCharType="begin"/>
      </w:r>
      <w:r w:rsidRPr="00106694">
        <w:instrText xml:space="preserve"> SEQ level0 \*arabic </w:instrText>
      </w:r>
      <w:r w:rsidRPr="00106694">
        <w:fldChar w:fldCharType="separate"/>
      </w:r>
      <w:r w:rsidRPr="00106694" w:rsidR="00106694">
        <w:rPr>
          <w:noProof/>
        </w:rPr>
        <w:t>7</w:t>
      </w:r>
      <w:r w:rsidRPr="00106694">
        <w:fldChar w:fldCharType="end"/>
      </w:r>
      <w:r w:rsidRPr="00106694">
        <w:t>.  Par des télécopies des 16 août 2012 et 14 décembre 2012 adressées au greffe pénal du tribunal, et par une lettre recommandée du 21 juin 2013 adressée au président de la chambre des appels correctionnels de la cour d</w:t>
      </w:r>
      <w:r w:rsidRPr="00106694" w:rsidR="00106694">
        <w:t>’</w:t>
      </w:r>
      <w:r w:rsidRPr="00106694">
        <w:t>appel de Chambéry, l</w:t>
      </w:r>
      <w:r w:rsidRPr="00106694" w:rsidR="00106694">
        <w:t>’</w:t>
      </w:r>
      <w:r w:rsidRPr="00106694">
        <w:t>avocat du requérant demanda une copie du jugement du 16 juillet 2012.</w:t>
      </w:r>
    </w:p>
    <w:p w:rsidRPr="00106694" w:rsidR="00D062AC" w:rsidP="00106694" w:rsidRDefault="00D062AC" w14:paraId="0E367D8E" w14:textId="788E1BBD">
      <w:pPr>
        <w:pStyle w:val="JuPara"/>
      </w:pPr>
      <w:r w:rsidRPr="00106694">
        <w:fldChar w:fldCharType="begin"/>
      </w:r>
      <w:r w:rsidRPr="00106694">
        <w:instrText xml:space="preserve"> SEQ level0 \*arabic </w:instrText>
      </w:r>
      <w:r w:rsidRPr="00106694">
        <w:fldChar w:fldCharType="separate"/>
      </w:r>
      <w:r w:rsidRPr="00106694" w:rsidR="00106694">
        <w:rPr>
          <w:noProof/>
        </w:rPr>
        <w:t>8</w:t>
      </w:r>
      <w:r w:rsidRPr="00106694">
        <w:fldChar w:fldCharType="end"/>
      </w:r>
      <w:r w:rsidRPr="00106694">
        <w:t>.  Dans son courrier du 21 juin 2013, l</w:t>
      </w:r>
      <w:r w:rsidRPr="00106694" w:rsidR="00106694">
        <w:t>’</w:t>
      </w:r>
      <w:r w:rsidRPr="00106694">
        <w:t>avocat du requérant souligna que son client n</w:t>
      </w:r>
      <w:r w:rsidRPr="00106694" w:rsidR="00106694">
        <w:t>’</w:t>
      </w:r>
      <w:r w:rsidRPr="00106694">
        <w:t>avait toujours pas connaissance des motifs de sa condamnation. Renvoyant à l</w:t>
      </w:r>
      <w:r w:rsidRPr="00106694" w:rsidR="00106694">
        <w:t>’</w:t>
      </w:r>
      <w:r w:rsidRPr="00106694">
        <w:t xml:space="preserve">arrêt </w:t>
      </w:r>
      <w:r w:rsidRPr="00106694">
        <w:rPr>
          <w:i/>
        </w:rPr>
        <w:t>Baucher c. France</w:t>
      </w:r>
      <w:r w:rsidRPr="00106694">
        <w:t xml:space="preserve"> (n</w:t>
      </w:r>
      <w:r w:rsidRPr="00106694">
        <w:rPr>
          <w:vertAlign w:val="superscript"/>
        </w:rPr>
        <w:t>o</w:t>
      </w:r>
      <w:r w:rsidRPr="00106694">
        <w:t xml:space="preserve"> 53640/00, 24 juillet 2007), il fit valoir qu</w:t>
      </w:r>
      <w:r w:rsidRPr="00106694" w:rsidR="00106694">
        <w:t>’</w:t>
      </w:r>
      <w:r w:rsidRPr="00106694">
        <w:t>un tel défaut de communication constituait une violation de l</w:t>
      </w:r>
      <w:r w:rsidRPr="00106694" w:rsidR="00106694">
        <w:t>’</w:t>
      </w:r>
      <w:r w:rsidRPr="00106694">
        <w:t>article 6 de la Convention, dès lors que le requérant avait été privé en pratique de la possibilité de bénéficier des dispositions de l</w:t>
      </w:r>
      <w:r w:rsidRPr="00106694" w:rsidR="00106694">
        <w:t>’</w:t>
      </w:r>
      <w:r w:rsidRPr="00106694">
        <w:t>article 500-1 du code de procédure pénale, prévoyant la caducité des appels incidents, y compris celui du ministère public, en cas de désistement de l</w:t>
      </w:r>
      <w:r w:rsidRPr="00106694" w:rsidR="00106694">
        <w:t>’</w:t>
      </w:r>
      <w:r w:rsidRPr="00106694">
        <w:t>appel principal dans le délai d</w:t>
      </w:r>
      <w:r w:rsidRPr="00106694" w:rsidR="00106694">
        <w:t>’</w:t>
      </w:r>
      <w:r w:rsidRPr="00106694">
        <w:t>un mois suivant le jugement.</w:t>
      </w:r>
    </w:p>
    <w:p w:rsidRPr="00106694" w:rsidR="00D062AC" w:rsidP="00106694" w:rsidRDefault="00D062AC" w14:paraId="5B7B5C6B" w14:textId="43665027">
      <w:pPr>
        <w:pStyle w:val="JuPara"/>
      </w:pPr>
      <w:r w:rsidRPr="00106694">
        <w:fldChar w:fldCharType="begin"/>
      </w:r>
      <w:r w:rsidRPr="00106694">
        <w:instrText xml:space="preserve"> SEQ level0 \*arabic </w:instrText>
      </w:r>
      <w:r w:rsidRPr="00106694">
        <w:fldChar w:fldCharType="separate"/>
      </w:r>
      <w:r w:rsidRPr="00106694" w:rsidR="00106694">
        <w:rPr>
          <w:noProof/>
        </w:rPr>
        <w:t>9</w:t>
      </w:r>
      <w:r w:rsidRPr="00106694">
        <w:fldChar w:fldCharType="end"/>
      </w:r>
      <w:r w:rsidRPr="00106694">
        <w:t>.  Le jugement intégral du tribunal correctionnel d</w:t>
      </w:r>
      <w:r w:rsidRPr="00106694" w:rsidR="00106694">
        <w:t>’</w:t>
      </w:r>
      <w:r w:rsidRPr="00106694">
        <w:t>Albertville du 16</w:t>
      </w:r>
      <w:r w:rsidRPr="00106694" w:rsidR="00757FFA">
        <w:t> </w:t>
      </w:r>
      <w:r w:rsidRPr="00106694">
        <w:t>juillet 2012 fut communiqué à l</w:t>
      </w:r>
      <w:r w:rsidRPr="00106694" w:rsidR="00106694">
        <w:t>’</w:t>
      </w:r>
      <w:r w:rsidRPr="00106694">
        <w:t>avocat du requérant le 11 octobre 2013.</w:t>
      </w:r>
    </w:p>
    <w:p w:rsidRPr="00106694" w:rsidR="00D062AC" w:rsidP="00106694" w:rsidRDefault="00D062AC" w14:paraId="269558AD" w14:textId="08F2E5FC">
      <w:pPr>
        <w:pStyle w:val="JuPara"/>
      </w:pPr>
      <w:r w:rsidRPr="00106694">
        <w:fldChar w:fldCharType="begin"/>
      </w:r>
      <w:r w:rsidRPr="00106694">
        <w:instrText xml:space="preserve"> SEQ level0 \*arabic </w:instrText>
      </w:r>
      <w:r w:rsidRPr="00106694">
        <w:fldChar w:fldCharType="separate"/>
      </w:r>
      <w:r w:rsidRPr="00106694" w:rsidR="00106694">
        <w:rPr>
          <w:noProof/>
        </w:rPr>
        <w:t>10</w:t>
      </w:r>
      <w:r w:rsidRPr="00106694">
        <w:fldChar w:fldCharType="end"/>
      </w:r>
      <w:r w:rsidRPr="00106694">
        <w:t>.  Dans des conclusions aux fins d</w:t>
      </w:r>
      <w:r w:rsidRPr="00106694" w:rsidR="00106694">
        <w:t>’</w:t>
      </w:r>
      <w:r w:rsidRPr="00106694">
        <w:t>annulation déposées le 26 février 2014, le requérant souleva notamment la nullité du jugement du 16 juillet 2012 en raison de sa notification tardive. Il invoquait l</w:t>
      </w:r>
      <w:r w:rsidRPr="00106694" w:rsidR="00106694">
        <w:t>’</w:t>
      </w:r>
      <w:r w:rsidRPr="00106694">
        <w:t>article 6 de la Convention et renvoyait à l</w:t>
      </w:r>
      <w:r w:rsidRPr="00106694" w:rsidR="00106694">
        <w:t>’</w:t>
      </w:r>
      <w:r w:rsidRPr="00106694">
        <w:t xml:space="preserve">arrêt </w:t>
      </w:r>
      <w:r w:rsidRPr="00106694">
        <w:rPr>
          <w:i/>
        </w:rPr>
        <w:t>Baucher</w:t>
      </w:r>
      <w:r w:rsidRPr="00106694">
        <w:t xml:space="preserve"> précité.</w:t>
      </w:r>
    </w:p>
    <w:p w:rsidRPr="00106694" w:rsidR="00D062AC" w:rsidP="00106694" w:rsidRDefault="00D062AC" w14:paraId="4A77BC97" w14:textId="2C839A7F">
      <w:pPr>
        <w:pStyle w:val="JuPara"/>
      </w:pPr>
      <w:r w:rsidRPr="00106694">
        <w:fldChar w:fldCharType="begin"/>
      </w:r>
      <w:r w:rsidRPr="00106694">
        <w:instrText xml:space="preserve"> SEQ level0 \*arabic </w:instrText>
      </w:r>
      <w:r w:rsidRPr="00106694">
        <w:fldChar w:fldCharType="separate"/>
      </w:r>
      <w:r w:rsidRPr="00106694" w:rsidR="00106694">
        <w:rPr>
          <w:noProof/>
        </w:rPr>
        <w:t>11</w:t>
      </w:r>
      <w:r w:rsidRPr="00106694">
        <w:fldChar w:fldCharType="end"/>
      </w:r>
      <w:r w:rsidRPr="00106694">
        <w:t>.  La cour d</w:t>
      </w:r>
      <w:r w:rsidRPr="00106694" w:rsidR="00106694">
        <w:t>’</w:t>
      </w:r>
      <w:r w:rsidRPr="00106694">
        <w:t>appel de Chambéry rendit son arrêt le 12 mars 2014.</w:t>
      </w:r>
    </w:p>
    <w:p w:rsidRPr="00106694" w:rsidR="00D062AC" w:rsidP="00106694" w:rsidRDefault="00D062AC" w14:paraId="6E8ABB3A" w14:textId="2E1FA9F3">
      <w:pPr>
        <w:pStyle w:val="JuPara"/>
      </w:pPr>
      <w:r w:rsidRPr="00106694">
        <w:fldChar w:fldCharType="begin"/>
      </w:r>
      <w:r w:rsidRPr="00106694">
        <w:instrText xml:space="preserve"> SEQ level0 \*arabic </w:instrText>
      </w:r>
      <w:r w:rsidRPr="00106694">
        <w:fldChar w:fldCharType="separate"/>
      </w:r>
      <w:r w:rsidRPr="00106694" w:rsidR="00106694">
        <w:rPr>
          <w:noProof/>
        </w:rPr>
        <w:t>12</w:t>
      </w:r>
      <w:r w:rsidRPr="00106694">
        <w:fldChar w:fldCharType="end"/>
      </w:r>
      <w:r w:rsidRPr="00106694">
        <w:t>.  Elle rejeta l</w:t>
      </w:r>
      <w:r w:rsidRPr="00106694" w:rsidR="00106694">
        <w:t>’</w:t>
      </w:r>
      <w:r w:rsidRPr="00106694">
        <w:t>exception de nullité par les motifs suivants :</w:t>
      </w:r>
    </w:p>
    <w:p w:rsidRPr="00106694" w:rsidR="00D062AC" w:rsidP="00106694" w:rsidRDefault="00D062AC" w14:paraId="5B3DA01F" w14:textId="60780CC1">
      <w:pPr>
        <w:pStyle w:val="JuQuot"/>
      </w:pPr>
      <w:r w:rsidRPr="00106694">
        <w:t>« (...) le prévenu soutient qu</w:t>
      </w:r>
      <w:r w:rsidRPr="00106694" w:rsidR="00106694">
        <w:t>’</w:t>
      </w:r>
      <w:r w:rsidRPr="00106694">
        <w:t>il n</w:t>
      </w:r>
      <w:r w:rsidRPr="00106694" w:rsidR="00106694">
        <w:t>’</w:t>
      </w:r>
      <w:r w:rsidRPr="00106694">
        <w:t>a eu connaissance de la motivation du jugement de condamnation que plusieurs mois après son prononcé en sorte qu</w:t>
      </w:r>
      <w:r w:rsidRPr="00106694" w:rsidR="00106694">
        <w:t>’</w:t>
      </w:r>
      <w:r w:rsidRPr="00106694">
        <w:t>il est resté dans l</w:t>
      </w:r>
      <w:r w:rsidRPr="00106694" w:rsidR="00106694">
        <w:t>’</w:t>
      </w:r>
      <w:r w:rsidRPr="00106694">
        <w:t>ignorance des raisons de sa condamnation, que cette violation manifeste de l</w:t>
      </w:r>
      <w:r w:rsidRPr="00106694" w:rsidR="00106694">
        <w:t>’</w:t>
      </w:r>
      <w:r w:rsidRPr="00106694">
        <w:t>article</w:t>
      </w:r>
      <w:r w:rsidRPr="00106694" w:rsidR="00757FFA">
        <w:t> </w:t>
      </w:r>
      <w:r w:rsidRPr="00106694">
        <w:t>6 de la Convention (...) l</w:t>
      </w:r>
      <w:r w:rsidRPr="00106694" w:rsidR="00106694">
        <w:t>’</w:t>
      </w:r>
      <w:r w:rsidRPr="00106694">
        <w:t>a privé de la possibilité de bénéficier des dispositions prévues par l</w:t>
      </w:r>
      <w:r w:rsidRPr="00106694" w:rsidR="00106694">
        <w:t>’</w:t>
      </w:r>
      <w:r w:rsidRPr="00106694">
        <w:t>article 500-1 du code de procédure pénale.</w:t>
      </w:r>
    </w:p>
    <w:p w:rsidRPr="00106694" w:rsidR="00D062AC" w:rsidP="00106694" w:rsidRDefault="00D062AC" w14:paraId="6634AF6F" w14:textId="21BB5436">
      <w:pPr>
        <w:pStyle w:val="JuQuot"/>
      </w:pPr>
      <w:r w:rsidRPr="00106694">
        <w:t>Plus spécialement, pour justifier de l</w:t>
      </w:r>
      <w:r w:rsidRPr="00106694" w:rsidR="00106694">
        <w:t>’</w:t>
      </w:r>
      <w:r w:rsidRPr="00106694">
        <w:t>existence d</w:t>
      </w:r>
      <w:r w:rsidRPr="00106694" w:rsidR="00106694">
        <w:t>’</w:t>
      </w:r>
      <w:r w:rsidRPr="00106694">
        <w:t>un préjudice, il fait valoir qu</w:t>
      </w:r>
      <w:r w:rsidRPr="00106694" w:rsidR="00106694">
        <w:t>’</w:t>
      </w:r>
      <w:r w:rsidRPr="00106694">
        <w:t>ayant formé appel et n</w:t>
      </w:r>
      <w:r w:rsidRPr="00106694" w:rsidR="00106694">
        <w:t>’</w:t>
      </w:r>
      <w:r w:rsidRPr="00106694">
        <w:t>ayant obtenu la minute du jugement que plusieurs mois après son prononcé, il n</w:t>
      </w:r>
      <w:r w:rsidRPr="00106694" w:rsidR="00106694">
        <w:t>’</w:t>
      </w:r>
      <w:r w:rsidRPr="00106694">
        <w:t>a pu invoquer à son profit les dispositions de l</w:t>
      </w:r>
      <w:r w:rsidRPr="00106694" w:rsidR="00106694">
        <w:t>’</w:t>
      </w:r>
      <w:r w:rsidRPr="00106694">
        <w:t>article 500-1 du code de procédure pénal</w:t>
      </w:r>
      <w:r w:rsidRPr="00106694" w:rsidR="00757FFA">
        <w:t>e</w:t>
      </w:r>
      <w:r w:rsidRPr="00106694">
        <w:t> ; qu</w:t>
      </w:r>
      <w:r w:rsidRPr="00106694" w:rsidR="00106694">
        <w:t>’</w:t>
      </w:r>
      <w:r w:rsidRPr="00106694">
        <w:t>ainsi, son éventuel désistement d</w:t>
      </w:r>
      <w:r w:rsidRPr="00106694" w:rsidR="00106694">
        <w:t>’</w:t>
      </w:r>
      <w:r w:rsidRPr="00106694">
        <w:t xml:space="preserve">appel ne pouvait </w:t>
      </w:r>
      <w:r w:rsidRPr="00106694" w:rsidR="00757FFA">
        <w:t>entraîner</w:t>
      </w:r>
      <w:r w:rsidRPr="00106694">
        <w:t xml:space="preserve"> la caducité de l</w:t>
      </w:r>
      <w:r w:rsidRPr="00106694" w:rsidR="00106694">
        <w:t>’</w:t>
      </w:r>
      <w:r w:rsidRPr="00106694">
        <w:t>appel incident du ministère public en sorte qu</w:t>
      </w:r>
      <w:r w:rsidRPr="00106694" w:rsidR="00106694">
        <w:t>’</w:t>
      </w:r>
      <w:r w:rsidRPr="00106694">
        <w:t>il encourait le risque d</w:t>
      </w:r>
      <w:r w:rsidRPr="00106694" w:rsidR="00106694">
        <w:t>’</w:t>
      </w:r>
      <w:r w:rsidRPr="00106694">
        <w:t xml:space="preserve">une réformation </w:t>
      </w:r>
      <w:r w:rsidRPr="00106694">
        <w:rPr>
          <w:i/>
        </w:rPr>
        <w:t>in pejus</w:t>
      </w:r>
      <w:r w:rsidRPr="00106694">
        <w:t xml:space="preserve"> du jugement.</w:t>
      </w:r>
    </w:p>
    <w:p w:rsidRPr="00106694" w:rsidR="00D062AC" w:rsidP="00106694" w:rsidRDefault="00D062AC" w14:paraId="0E3B1DED" w14:textId="6265F4DE">
      <w:pPr>
        <w:pStyle w:val="JuQuot"/>
      </w:pPr>
      <w:r w:rsidRPr="00106694">
        <w:t>L</w:t>
      </w:r>
      <w:r w:rsidRPr="00106694" w:rsidR="00106694">
        <w:t>’</w:t>
      </w:r>
      <w:r w:rsidRPr="00106694">
        <w:t>article 485 du code de procédure pénale exige qu</w:t>
      </w:r>
      <w:r w:rsidRPr="00106694" w:rsidR="00106694">
        <w:t>’</w:t>
      </w:r>
      <w:r w:rsidRPr="00106694">
        <w:t>il soit donné lecture du jugement par le président ou par l</w:t>
      </w:r>
      <w:r w:rsidRPr="00106694" w:rsidR="00106694">
        <w:t>’</w:t>
      </w:r>
      <w:r w:rsidRPr="00106694">
        <w:t>un des juges, mais précise que cette lecture peut être limitée au dispositif. Par ailleurs, l</w:t>
      </w:r>
      <w:r w:rsidRPr="00106694" w:rsidR="00106694">
        <w:t>’</w:t>
      </w:r>
      <w:r w:rsidRPr="00106694">
        <w:t>article 486 du code de procédure pénale énonce que la minute du jugement doit être déposée au greffe du tribunal dans les tro</w:t>
      </w:r>
      <w:r w:rsidRPr="00106694" w:rsidR="00757FFA">
        <w:t>i</w:t>
      </w:r>
      <w:r w:rsidRPr="00106694">
        <w:t>s jours au plus tard du prononcé du jugement et que mention de ce dépôt doit être portée sur le registre spécialement tenu au greffe à cet effet. Les formalités prescrites par l</w:t>
      </w:r>
      <w:r w:rsidRPr="00106694" w:rsidR="00106694">
        <w:t>’</w:t>
      </w:r>
      <w:r w:rsidRPr="00106694">
        <w:t>article précité ne le sont cependant pas à peine de nullité et le dépôt tardif de la minuter d</w:t>
      </w:r>
      <w:r w:rsidRPr="00106694" w:rsidR="00106694">
        <w:t>’</w:t>
      </w:r>
      <w:r w:rsidRPr="00106694">
        <w:t>un jugement ne peut dès lors entraîner la nullité de celui-ci lorsque le prévenu n</w:t>
      </w:r>
      <w:r w:rsidRPr="00106694" w:rsidR="00106694">
        <w:t>’</w:t>
      </w:r>
      <w:r w:rsidRPr="00106694">
        <w:t>en a subi aucun préjudice.</w:t>
      </w:r>
    </w:p>
    <w:p w:rsidRPr="00106694" w:rsidR="00D062AC" w:rsidP="00106694" w:rsidRDefault="00D062AC" w14:paraId="0CF7D675" w14:textId="77777777">
      <w:pPr>
        <w:pStyle w:val="JuQuot"/>
      </w:pPr>
      <w:r w:rsidRPr="00106694">
        <w:t>Ce moyen sera, en conséquence, rejeté. »</w:t>
      </w:r>
    </w:p>
    <w:p w:rsidRPr="00106694" w:rsidR="00D062AC" w:rsidP="00106694" w:rsidRDefault="00D062AC" w14:paraId="1AEAF350" w14:textId="087B0EE2">
      <w:pPr>
        <w:pStyle w:val="JuPara"/>
      </w:pPr>
      <w:r w:rsidRPr="00106694">
        <w:fldChar w:fldCharType="begin"/>
      </w:r>
      <w:r w:rsidRPr="00106694">
        <w:instrText xml:space="preserve"> SEQ level0 \*arabic </w:instrText>
      </w:r>
      <w:r w:rsidRPr="00106694">
        <w:fldChar w:fldCharType="separate"/>
      </w:r>
      <w:r w:rsidRPr="00106694" w:rsidR="00106694">
        <w:rPr>
          <w:noProof/>
        </w:rPr>
        <w:t>13</w:t>
      </w:r>
      <w:r w:rsidRPr="00106694">
        <w:fldChar w:fldCharType="end"/>
      </w:r>
      <w:r w:rsidRPr="00106694">
        <w:t>.  Sur le fond, la cour d</w:t>
      </w:r>
      <w:r w:rsidRPr="00106694" w:rsidR="00106694">
        <w:t>’</w:t>
      </w:r>
      <w:r w:rsidRPr="00106694">
        <w:t>appel infirma le jugement déféré concernant le requérant et déclara ce dernier coupable de tous les faits qui lui étaient reprochés. Elle infirma également la peine d</w:t>
      </w:r>
      <w:r w:rsidRPr="00106694" w:rsidR="00106694">
        <w:t>’</w:t>
      </w:r>
      <w:r w:rsidRPr="00106694">
        <w:t>emprisonnement du requérant en raison de son âge avancé et de sa santé déficiente et y substitua une peine d</w:t>
      </w:r>
      <w:r w:rsidRPr="00106694" w:rsidR="00106694">
        <w:t>’</w:t>
      </w:r>
      <w:r w:rsidRPr="00106694">
        <w:t>amende de 100 000 euros. Enfin, elle prononça la confiscation de la totalité des objets et bijoux saisis et non portés au livre de police.</w:t>
      </w:r>
    </w:p>
    <w:p w:rsidRPr="00106694" w:rsidR="00D062AC" w:rsidP="00106694" w:rsidRDefault="00D062AC" w14:paraId="42850F5E" w14:textId="57A494A7">
      <w:pPr>
        <w:pStyle w:val="JuHIRoman"/>
      </w:pPr>
      <w:r w:rsidRPr="00106694">
        <w:t>L</w:t>
      </w:r>
      <w:r w:rsidRPr="00106694" w:rsidR="00106694">
        <w:t>’</w:t>
      </w:r>
      <w:r w:rsidRPr="00106694">
        <w:t>arrêt de la Cour de cassation du 1</w:t>
      </w:r>
      <w:r w:rsidRPr="00106694">
        <w:rPr>
          <w:vertAlign w:val="superscript"/>
        </w:rPr>
        <w:t>er</w:t>
      </w:r>
      <w:r w:rsidRPr="00106694">
        <w:t xml:space="preserve"> décembre 2015</w:t>
      </w:r>
    </w:p>
    <w:p w:rsidRPr="00106694" w:rsidR="00D062AC" w:rsidP="00106694" w:rsidRDefault="00D062AC" w14:paraId="05AB51AF" w14:textId="575C4157">
      <w:pPr>
        <w:pStyle w:val="JuPara"/>
      </w:pPr>
      <w:r w:rsidRPr="00106694">
        <w:fldChar w:fldCharType="begin"/>
      </w:r>
      <w:r w:rsidRPr="00106694">
        <w:instrText xml:space="preserve"> SEQ level0 \*arabic </w:instrText>
      </w:r>
      <w:r w:rsidRPr="00106694">
        <w:fldChar w:fldCharType="separate"/>
      </w:r>
      <w:r w:rsidRPr="00106694" w:rsidR="00106694">
        <w:rPr>
          <w:noProof/>
        </w:rPr>
        <w:t>14</w:t>
      </w:r>
      <w:r w:rsidRPr="00106694">
        <w:fldChar w:fldCharType="end"/>
      </w:r>
      <w:r w:rsidRPr="00106694">
        <w:t>.  Le requérant se pourvut en cassation, invoquant notamment la violation de l</w:t>
      </w:r>
      <w:r w:rsidRPr="00106694" w:rsidR="00106694">
        <w:t>’</w:t>
      </w:r>
      <w:r w:rsidRPr="00106694">
        <w:t>article 6 § 1 de la Convention, au motif que le jugement intégral de première instance ne lui avait été délivré que quinze mois après son prononcé.</w:t>
      </w:r>
    </w:p>
    <w:p w:rsidRPr="00106694" w:rsidR="00D062AC" w:rsidP="00106694" w:rsidRDefault="00D062AC" w14:paraId="18695376" w14:textId="021B739E">
      <w:pPr>
        <w:pStyle w:val="JuPara"/>
      </w:pPr>
      <w:r w:rsidRPr="00106694">
        <w:fldChar w:fldCharType="begin"/>
      </w:r>
      <w:r w:rsidRPr="00106694">
        <w:instrText xml:space="preserve"> SEQ level0 \*arabic </w:instrText>
      </w:r>
      <w:r w:rsidRPr="00106694">
        <w:fldChar w:fldCharType="separate"/>
      </w:r>
      <w:r w:rsidRPr="00106694" w:rsidR="00106694">
        <w:rPr>
          <w:noProof/>
        </w:rPr>
        <w:t>15</w:t>
      </w:r>
      <w:r w:rsidRPr="00106694">
        <w:fldChar w:fldCharType="end"/>
      </w:r>
      <w:r w:rsidRPr="00106694">
        <w:t>.  Dans ses conclusions, l</w:t>
      </w:r>
      <w:r w:rsidRPr="00106694" w:rsidR="00106694">
        <w:t>’</w:t>
      </w:r>
      <w:r w:rsidRPr="00106694">
        <w:t>avocat général prononça les développements suivants :</w:t>
      </w:r>
    </w:p>
    <w:p w:rsidRPr="00106694" w:rsidR="00D062AC" w:rsidP="00106694" w:rsidRDefault="00D062AC" w14:paraId="1BB381C7" w14:textId="246F46F1">
      <w:pPr>
        <w:pStyle w:val="JuQuot"/>
      </w:pPr>
      <w:r w:rsidRPr="00106694">
        <w:t>« (...) Le pourvoi fait grief à l</w:t>
      </w:r>
      <w:r w:rsidRPr="00106694" w:rsidR="00106694">
        <w:t>’</w:t>
      </w:r>
      <w:r w:rsidRPr="00106694">
        <w:t>arrêt d</w:t>
      </w:r>
      <w:r w:rsidRPr="00106694" w:rsidR="00106694">
        <w:t>’</w:t>
      </w:r>
      <w:r w:rsidRPr="00106694">
        <w:t>avoir rejeté, en violation des règles du procès équitable et de l</w:t>
      </w:r>
      <w:r w:rsidRPr="00106694" w:rsidR="00106694">
        <w:t>’</w:t>
      </w:r>
      <w:r w:rsidRPr="00106694">
        <w:t>article 486 du code de procédure pénale, la nullité du jugement frappé d</w:t>
      </w:r>
      <w:r w:rsidRPr="00106694" w:rsidR="00106694">
        <w:t>’</w:t>
      </w:r>
      <w:r w:rsidRPr="00106694">
        <w:t>appel alors que : le fait que le jugement lui ait été remis dans un délai manifestement déraisonnable caractérise un préjudice résultant de la méconnaissance des exigences du procès équitable ; la mise à disposition de la minute au prévenu après l</w:t>
      </w:r>
      <w:r w:rsidRPr="00106694" w:rsidR="00106694">
        <w:t>’</w:t>
      </w:r>
      <w:r w:rsidRPr="00106694">
        <w:t>expiration du délai visé à l</w:t>
      </w:r>
      <w:r w:rsidRPr="00106694" w:rsidR="00106694">
        <w:t>’</w:t>
      </w:r>
      <w:r w:rsidRPr="00106694">
        <w:t>article 500-1 du code de procédure pénale l</w:t>
      </w:r>
      <w:r w:rsidRPr="00106694" w:rsidR="00106694">
        <w:t>’</w:t>
      </w:r>
      <w:r w:rsidRPr="00106694">
        <w:t>a conduit à mettre en œuvre un appel conservatoire qui l</w:t>
      </w:r>
      <w:r w:rsidRPr="00106694" w:rsidR="00106694">
        <w:t>’</w:t>
      </w:r>
      <w:r w:rsidRPr="00106694">
        <w:t>exposait à l</w:t>
      </w:r>
      <w:r w:rsidRPr="00106694" w:rsidR="00106694">
        <w:t>’</w:t>
      </w:r>
      <w:r w:rsidRPr="00106694">
        <w:t>aggravation éventuelle de sa peine par la juridiction du second degré, sans qu</w:t>
      </w:r>
      <w:r w:rsidRPr="00106694" w:rsidR="00106694">
        <w:t>’</w:t>
      </w:r>
      <w:r w:rsidRPr="00106694">
        <w:t>il ait pu au préalable réellement mesurer ses chances de succès dans le délai de rétractation de la loi.</w:t>
      </w:r>
    </w:p>
    <w:p w:rsidRPr="00106694" w:rsidR="00D062AC" w:rsidP="00106694" w:rsidRDefault="00D062AC" w14:paraId="508673B4" w14:textId="319B1A8D">
      <w:pPr>
        <w:pStyle w:val="JuQuot"/>
      </w:pPr>
      <w:r w:rsidRPr="00106694">
        <w:t>Ainsi que la relevé le MA, « la Cour de cassation a jugé que la méconnaissance de ce délai par la juridiction répressive ne fait l</w:t>
      </w:r>
      <w:r w:rsidRPr="00106694" w:rsidR="00106694">
        <w:t>’</w:t>
      </w:r>
      <w:r w:rsidRPr="00106694">
        <w:t>objet d</w:t>
      </w:r>
      <w:r w:rsidRPr="00106694" w:rsidR="00106694">
        <w:t>’</w:t>
      </w:r>
      <w:r w:rsidRPr="00106694">
        <w:t>aucune sanction faute pour le prévenu de pouvoir justifier d</w:t>
      </w:r>
      <w:r w:rsidRPr="00106694" w:rsidR="00106694">
        <w:t>’</w:t>
      </w:r>
      <w:r w:rsidRPr="00106694">
        <w:t>un dommage concret causé par ce retard (...) ».</w:t>
      </w:r>
    </w:p>
    <w:p w:rsidRPr="00106694" w:rsidR="00D062AC" w:rsidP="00106694" w:rsidRDefault="00D062AC" w14:paraId="51119403" w14:textId="5C5076D4">
      <w:pPr>
        <w:pStyle w:val="JuQuot"/>
      </w:pPr>
      <w:r w:rsidRPr="00106694">
        <w:t>La réponse à donner à ce moyen doit être imprégnée de l</w:t>
      </w:r>
      <w:r w:rsidRPr="00106694" w:rsidR="00106694">
        <w:t>’</w:t>
      </w:r>
      <w:r w:rsidRPr="00106694">
        <w:t xml:space="preserve">arrêt </w:t>
      </w:r>
      <w:r w:rsidRPr="00106694">
        <w:rPr>
          <w:i/>
        </w:rPr>
        <w:t>Baucher c. France</w:t>
      </w:r>
      <w:r w:rsidRPr="00106694">
        <w:t xml:space="preserve"> rendu par la Cour (...) le 24 juillet 2007 (requête n</w:t>
      </w:r>
      <w:r w:rsidRPr="00106694">
        <w:rPr>
          <w:vertAlign w:val="superscript"/>
        </w:rPr>
        <w:t>o</w:t>
      </w:r>
      <w:r w:rsidRPr="00106694">
        <w:t xml:space="preserve"> 53640/00) qui a notamment jugé, au visa de l</w:t>
      </w:r>
      <w:r w:rsidRPr="00106694" w:rsidR="00106694">
        <w:t>’</w:t>
      </w:r>
      <w:r w:rsidRPr="00106694">
        <w:t>article 6, que :</w:t>
      </w:r>
    </w:p>
    <w:p w:rsidRPr="00106694" w:rsidR="00D062AC" w:rsidP="00106694" w:rsidRDefault="00D062AC" w14:paraId="2A6805D7" w14:textId="71500FE8">
      <w:pPr>
        <w:pStyle w:val="JuQuot"/>
        <w:rPr>
          <w:i/>
        </w:rPr>
      </w:pPr>
      <w:r w:rsidRPr="00106694">
        <w:rPr>
          <w:i/>
        </w:rPr>
        <w:t>48. ... la Cour constate, à l</w:t>
      </w:r>
      <w:r w:rsidRPr="00106694" w:rsidR="00106694">
        <w:rPr>
          <w:i/>
        </w:rPr>
        <w:t>’</w:t>
      </w:r>
      <w:r w:rsidRPr="00106694">
        <w:rPr>
          <w:i/>
        </w:rPr>
        <w:t>instar du requérant, qu</w:t>
      </w:r>
      <w:r w:rsidRPr="00106694" w:rsidR="00106694">
        <w:rPr>
          <w:i/>
        </w:rPr>
        <w:t>’</w:t>
      </w:r>
      <w:r w:rsidRPr="00106694">
        <w:rPr>
          <w:i/>
        </w:rPr>
        <w:t>à l</w:t>
      </w:r>
      <w:r w:rsidRPr="00106694" w:rsidR="00106694">
        <w:rPr>
          <w:i/>
        </w:rPr>
        <w:t>’</w:t>
      </w:r>
      <w:r w:rsidRPr="00106694">
        <w:rPr>
          <w:i/>
        </w:rPr>
        <w:t>époque des faits, la possibilité d</w:t>
      </w:r>
      <w:r w:rsidRPr="00106694" w:rsidR="00106694">
        <w:rPr>
          <w:i/>
        </w:rPr>
        <w:t>’</w:t>
      </w:r>
      <w:r w:rsidRPr="00106694">
        <w:rPr>
          <w:i/>
        </w:rPr>
        <w:t>interjeter un appel purement conservatoire n</w:t>
      </w:r>
      <w:r w:rsidRPr="00106694" w:rsidR="00106694">
        <w:rPr>
          <w:i/>
        </w:rPr>
        <w:t>’</w:t>
      </w:r>
      <w:r w:rsidRPr="00106694">
        <w:rPr>
          <w:i/>
        </w:rPr>
        <w:t>était pas sans conséquence pour lui car cela l</w:t>
      </w:r>
      <w:r w:rsidRPr="00106694" w:rsidR="00106694">
        <w:rPr>
          <w:i/>
        </w:rPr>
        <w:t>’</w:t>
      </w:r>
      <w:r w:rsidRPr="00106694">
        <w:rPr>
          <w:i/>
        </w:rPr>
        <w:t>exposait à l</w:t>
      </w:r>
      <w:r w:rsidRPr="00106694" w:rsidR="00106694">
        <w:rPr>
          <w:i/>
        </w:rPr>
        <w:t>’</w:t>
      </w:r>
      <w:r w:rsidRPr="00106694">
        <w:rPr>
          <w:i/>
        </w:rPr>
        <w:t>appel incident du ministère public sans que son propre désistement ultérieur mette fin à l</w:t>
      </w:r>
      <w:r w:rsidRPr="00106694" w:rsidR="00106694">
        <w:rPr>
          <w:i/>
        </w:rPr>
        <w:t>’</w:t>
      </w:r>
      <w:r w:rsidRPr="00106694">
        <w:rPr>
          <w:i/>
        </w:rPr>
        <w:t>instance, comme cela est le cas aujourd</w:t>
      </w:r>
      <w:r w:rsidRPr="00106694" w:rsidR="00106694">
        <w:rPr>
          <w:i/>
        </w:rPr>
        <w:t>’</w:t>
      </w:r>
      <w:r w:rsidRPr="00106694">
        <w:rPr>
          <w:i/>
        </w:rPr>
        <w:t>hui en vertu de l</w:t>
      </w:r>
      <w:r w:rsidRPr="00106694" w:rsidR="00106694">
        <w:rPr>
          <w:i/>
        </w:rPr>
        <w:t>’</w:t>
      </w:r>
      <w:r w:rsidRPr="00106694">
        <w:rPr>
          <w:i/>
        </w:rPr>
        <w:t>article 500-1 du code de procédure pénale. Un tel appel conservatoire exposait donc le requérant à l</w:t>
      </w:r>
      <w:r w:rsidRPr="00106694" w:rsidR="00106694">
        <w:rPr>
          <w:i/>
        </w:rPr>
        <w:t>’</w:t>
      </w:r>
      <w:r w:rsidRPr="00106694">
        <w:rPr>
          <w:i/>
        </w:rPr>
        <w:t>aggravation éventuelle de sa peine par la cour d</w:t>
      </w:r>
      <w:r w:rsidRPr="00106694" w:rsidR="00106694">
        <w:rPr>
          <w:i/>
        </w:rPr>
        <w:t>’</w:t>
      </w:r>
      <w:r w:rsidRPr="00106694">
        <w:rPr>
          <w:i/>
        </w:rPr>
        <w:t>appel, sans qu</w:t>
      </w:r>
      <w:r w:rsidRPr="00106694" w:rsidR="00106694">
        <w:rPr>
          <w:i/>
        </w:rPr>
        <w:t>’</w:t>
      </w:r>
      <w:r w:rsidRPr="00106694">
        <w:rPr>
          <w:i/>
        </w:rPr>
        <w:t>il ait pu au préalable réellement mesurer ses chances de succès.</w:t>
      </w:r>
    </w:p>
    <w:p w:rsidRPr="00106694" w:rsidR="00D062AC" w:rsidP="00106694" w:rsidRDefault="00D062AC" w14:paraId="73B4DF45" w14:textId="0D44DF3E">
      <w:pPr>
        <w:pStyle w:val="JuQuot"/>
      </w:pPr>
      <w:r w:rsidRPr="00106694">
        <w:rPr>
          <w:i/>
        </w:rPr>
        <w:t>49. En conséquence, la Cour estime qu</w:t>
      </w:r>
      <w:r w:rsidRPr="00106694" w:rsidR="00106694">
        <w:rPr>
          <w:i/>
        </w:rPr>
        <w:t>’</w:t>
      </w:r>
      <w:r w:rsidRPr="00106694">
        <w:rPr>
          <w:i/>
        </w:rPr>
        <w:t>en l</w:t>
      </w:r>
      <w:r w:rsidRPr="00106694" w:rsidR="00106694">
        <w:rPr>
          <w:i/>
        </w:rPr>
        <w:t>’</w:t>
      </w:r>
      <w:r w:rsidRPr="00106694">
        <w:rPr>
          <w:i/>
        </w:rPr>
        <w:t>espèce, la seule lecture à l</w:t>
      </w:r>
      <w:r w:rsidRPr="00106694" w:rsidR="00106694">
        <w:rPr>
          <w:i/>
        </w:rPr>
        <w:t>’</w:t>
      </w:r>
      <w:r w:rsidRPr="00106694">
        <w:rPr>
          <w:i/>
        </w:rPr>
        <w:t>audience du dispositif du jugement du tribunal correctionnel avant l</w:t>
      </w:r>
      <w:r w:rsidRPr="00106694" w:rsidR="00106694">
        <w:rPr>
          <w:i/>
        </w:rPr>
        <w:t>’</w:t>
      </w:r>
      <w:r w:rsidRPr="00106694">
        <w:rPr>
          <w:i/>
        </w:rPr>
        <w:t>expiration du délai d</w:t>
      </w:r>
      <w:r w:rsidRPr="00106694" w:rsidR="00106694">
        <w:rPr>
          <w:i/>
        </w:rPr>
        <w:t>’</w:t>
      </w:r>
      <w:r w:rsidRPr="00106694">
        <w:rPr>
          <w:i/>
        </w:rPr>
        <w:t>appel a porté atteinte aux droits de la défense du requérant. »</w:t>
      </w:r>
    </w:p>
    <w:p w:rsidRPr="00106694" w:rsidR="00D062AC" w:rsidP="00106694" w:rsidRDefault="00D062AC" w14:paraId="7CE655EB" w14:textId="2BD0D2F7">
      <w:pPr>
        <w:pStyle w:val="JuQuot"/>
      </w:pPr>
      <w:r w:rsidRPr="00106694">
        <w:t>Cette décision des juges de Strasbourg doit être intégralement transposée au cas particulier dès lors que si le requérant bénéficiât des dispositions de l</w:t>
      </w:r>
      <w:r w:rsidRPr="00106694" w:rsidR="00106694">
        <w:t>’</w:t>
      </w:r>
      <w:r w:rsidRPr="00106694">
        <w:t>article 500-1 du code de procédure pénale, il n</w:t>
      </w:r>
      <w:r w:rsidRPr="00106694" w:rsidR="00106694">
        <w:t>’</w:t>
      </w:r>
      <w:r w:rsidRPr="00106694">
        <w:t>a pu en faire usage en ce que le jugement a été mis à sa disposition après l</w:t>
      </w:r>
      <w:r w:rsidRPr="00106694" w:rsidR="00106694">
        <w:t>’</w:t>
      </w:r>
      <w:r w:rsidRPr="00106694">
        <w:t>expiration du délai de rétractation de l</w:t>
      </w:r>
      <w:r w:rsidRPr="00106694" w:rsidR="00106694">
        <w:t>’</w:t>
      </w:r>
      <w:r w:rsidRPr="00106694">
        <w:t>appel du prévenu entraînant automatiquement la caducité de l</w:t>
      </w:r>
      <w:r w:rsidRPr="00106694" w:rsidR="00106694">
        <w:t>’</w:t>
      </w:r>
      <w:r w:rsidRPr="00106694">
        <w:t>appel incident du ministère public.</w:t>
      </w:r>
    </w:p>
    <w:p w:rsidRPr="00106694" w:rsidR="00D062AC" w:rsidP="00106694" w:rsidRDefault="00D062AC" w14:paraId="2B7B2251" w14:textId="03EE68BD">
      <w:pPr>
        <w:pStyle w:val="JuQuot"/>
      </w:pPr>
      <w:r w:rsidRPr="00106694">
        <w:t>Et que s</w:t>
      </w:r>
      <w:r w:rsidRPr="00106694" w:rsidR="00106694">
        <w:t>’</w:t>
      </w:r>
      <w:r w:rsidRPr="00106694">
        <w:t>il s</w:t>
      </w:r>
      <w:r w:rsidRPr="00106694" w:rsidR="00106694">
        <w:t>’</w:t>
      </w:r>
      <w:r w:rsidRPr="00106694">
        <w:t>était alors et néanmoins désisté, il s</w:t>
      </w:r>
      <w:r w:rsidRPr="00106694" w:rsidR="00106694">
        <w:t>’</w:t>
      </w:r>
      <w:r w:rsidRPr="00106694">
        <w:t>exposait à l</w:t>
      </w:r>
      <w:r w:rsidRPr="00106694" w:rsidR="00106694">
        <w:t>’</w:t>
      </w:r>
      <w:r w:rsidRPr="00106694">
        <w:t>incertitude de la simple faculté de désistement du Parquet.</w:t>
      </w:r>
    </w:p>
    <w:p w:rsidRPr="00106694" w:rsidR="00D062AC" w:rsidP="00106694" w:rsidRDefault="00D062AC" w14:paraId="2DE04057" w14:textId="1442EE5D">
      <w:pPr>
        <w:pStyle w:val="JuQuot"/>
      </w:pPr>
      <w:r w:rsidRPr="00106694">
        <w:t>Enfin, ainsi qu</w:t>
      </w:r>
      <w:r w:rsidRPr="00106694" w:rsidR="00106694">
        <w:t>’</w:t>
      </w:r>
      <w:r w:rsidRPr="00106694">
        <w:t>il est exposé au rapport, (...) l</w:t>
      </w:r>
      <w:r w:rsidRPr="00106694" w:rsidR="00106694">
        <w:t>’</w:t>
      </w:r>
      <w:r w:rsidRPr="00106694">
        <w:t>annulation du jugement devait certes conduire la cour [d</w:t>
      </w:r>
      <w:r w:rsidRPr="00106694" w:rsidR="00106694">
        <w:t>’</w:t>
      </w:r>
      <w:r w:rsidRPr="00106694">
        <w:t>appel] à évoquer et juger mais cependant sans qu</w:t>
      </w:r>
      <w:r w:rsidRPr="00106694" w:rsidR="00106694">
        <w:t>’</w:t>
      </w:r>
      <w:r w:rsidRPr="00106694">
        <w:t>il soit avéré que la cour aurait, dans cette configuration, aggravé la situation du requérant.</w:t>
      </w:r>
    </w:p>
    <w:p w:rsidRPr="00106694" w:rsidR="00D062AC" w:rsidP="00106694" w:rsidRDefault="00D062AC" w14:paraId="0F1104F4" w14:textId="2BB5A105">
      <w:pPr>
        <w:pStyle w:val="JuQuot"/>
      </w:pPr>
      <w:r w:rsidRPr="00106694">
        <w:t>Or nous savons au cas particulier que l</w:t>
      </w:r>
      <w:r w:rsidRPr="00106694" w:rsidR="00106694">
        <w:t>’</w:t>
      </w:r>
      <w:r w:rsidRPr="00106694">
        <w:t>arrêt attaqué a effectivement aggravé la situation du demandeur au pourvoi en le déclarant intégralement coupable de l</w:t>
      </w:r>
      <w:r w:rsidRPr="00106694" w:rsidR="00106694">
        <w:t>’</w:t>
      </w:r>
      <w:r w:rsidRPr="00106694">
        <w:t>ensemble des faits visés à la prévention alors que le jugement lui avait octroyé une relaxe partielle que l</w:t>
      </w:r>
      <w:r w:rsidRPr="00106694" w:rsidR="00106694">
        <w:t>’</w:t>
      </w:r>
      <w:r w:rsidRPr="00106694">
        <w:t>intéressé aurait peut-être cherché à conserver, ne serait-ce qu</w:t>
      </w:r>
      <w:r w:rsidRPr="00106694" w:rsidR="00106694">
        <w:t>’</w:t>
      </w:r>
      <w:r w:rsidRPr="00106694">
        <w:t>au regard de l</w:t>
      </w:r>
      <w:r w:rsidRPr="00106694" w:rsidR="00106694">
        <w:t>’</w:t>
      </w:r>
      <w:r w:rsidRPr="00106694">
        <w:t>action civile, s</w:t>
      </w:r>
      <w:r w:rsidRPr="00106694" w:rsidR="00106694">
        <w:t>’</w:t>
      </w:r>
      <w:r w:rsidRPr="00106694">
        <w:t>il avait eu connaissance de la décision du tribunal dans le délai d</w:t>
      </w:r>
      <w:r w:rsidRPr="00106694" w:rsidR="00106694">
        <w:t>’</w:t>
      </w:r>
      <w:r w:rsidRPr="00106694">
        <w:t>appel et dans le délai de rétractation de l</w:t>
      </w:r>
      <w:r w:rsidRPr="00106694" w:rsidR="00106694">
        <w:t>’</w:t>
      </w:r>
      <w:r w:rsidRPr="00106694">
        <w:t>article 500-1 du CPP.</w:t>
      </w:r>
    </w:p>
    <w:p w:rsidRPr="00106694" w:rsidR="00D062AC" w:rsidP="00106694" w:rsidRDefault="00D062AC" w14:paraId="1AF7B2B9" w14:textId="5DCE4F99">
      <w:pPr>
        <w:pStyle w:val="JuQuot"/>
      </w:pPr>
      <w:r w:rsidRPr="00106694">
        <w:t>Il nous apparaît qu</w:t>
      </w:r>
      <w:r w:rsidRPr="00106694" w:rsidR="00106694">
        <w:t>’</w:t>
      </w:r>
      <w:r w:rsidRPr="00106694">
        <w:t>il existe au cas particulier une atteinte aux droits de la défense et au procès équitable contrairement à la motivation de l</w:t>
      </w:r>
      <w:r w:rsidRPr="00106694" w:rsidR="00106694">
        <w:t>’</w:t>
      </w:r>
      <w:r w:rsidRPr="00106694">
        <w:t>arrêt attaqué selon lequel « le dépôt tardif de la minute d</w:t>
      </w:r>
      <w:r w:rsidRPr="00106694" w:rsidR="00106694">
        <w:t>’</w:t>
      </w:r>
      <w:r w:rsidRPr="00106694">
        <w:t>un jugement ne peut dès lors entraîner la nullité de celui-ci lorsque le prévenu n</w:t>
      </w:r>
      <w:r w:rsidRPr="00106694" w:rsidR="00106694">
        <w:t>’</w:t>
      </w:r>
      <w:r w:rsidRPr="00106694">
        <w:t>en a subi aucun préjudice ».</w:t>
      </w:r>
    </w:p>
    <w:p w:rsidRPr="00106694" w:rsidR="00D062AC" w:rsidP="00106694" w:rsidRDefault="00D062AC" w14:paraId="2B9031E2" w14:textId="2A56F6CF">
      <w:pPr>
        <w:pStyle w:val="JuQuot"/>
      </w:pPr>
      <w:r w:rsidRPr="00106694">
        <w:t>Nous inclinons dès lors, nonobstant les problèmes récurrents de certaines juridictions et eu égard au délai manifestement anormal dans lequel la décision a été mise à disposition, à la cassation de l</w:t>
      </w:r>
      <w:r w:rsidRPr="00106694" w:rsidR="00106694">
        <w:t>’</w:t>
      </w:r>
      <w:r w:rsidRPr="00106694">
        <w:t>arrêt attaqué sur [ce] moyen qui nous apparaît avoir à l</w:t>
      </w:r>
      <w:r w:rsidRPr="00106694" w:rsidR="00106694">
        <w:t>’</w:t>
      </w:r>
      <w:r w:rsidRPr="00106694">
        <w:t>évidence méconnu les dispositions visées à ce moyen.</w:t>
      </w:r>
    </w:p>
    <w:p w:rsidRPr="00106694" w:rsidR="00D062AC" w:rsidP="00106694" w:rsidRDefault="00D062AC" w14:paraId="55D67A4D" w14:textId="77777777">
      <w:pPr>
        <w:pStyle w:val="JuQuot"/>
      </w:pPr>
      <w:r w:rsidRPr="00106694">
        <w:t>Avis de cassation (...) ».</w:t>
      </w:r>
    </w:p>
    <w:p w:rsidRPr="00106694" w:rsidR="00D062AC" w:rsidP="00106694" w:rsidRDefault="00D062AC" w14:paraId="201EB597" w14:textId="14D59AA4">
      <w:pPr>
        <w:pStyle w:val="JuPara"/>
      </w:pPr>
      <w:r w:rsidRPr="00106694">
        <w:fldChar w:fldCharType="begin"/>
      </w:r>
      <w:r w:rsidRPr="00106694">
        <w:instrText xml:space="preserve"> SEQ level0 \*arabic </w:instrText>
      </w:r>
      <w:r w:rsidRPr="00106694">
        <w:fldChar w:fldCharType="separate"/>
      </w:r>
      <w:r w:rsidRPr="00106694" w:rsidR="00106694">
        <w:rPr>
          <w:noProof/>
        </w:rPr>
        <w:t>16</w:t>
      </w:r>
      <w:r w:rsidRPr="00106694">
        <w:fldChar w:fldCharType="end"/>
      </w:r>
      <w:r w:rsidRPr="00106694">
        <w:t>.  Contrairement à ces conclusions, la Cour de cassation rejeta le pourvoi par un arrêt du 1</w:t>
      </w:r>
      <w:r w:rsidRPr="00106694">
        <w:rPr>
          <w:vertAlign w:val="superscript"/>
        </w:rPr>
        <w:t>er</w:t>
      </w:r>
      <w:r w:rsidRPr="00106694">
        <w:t xml:space="preserve"> décembre 2015.</w:t>
      </w:r>
    </w:p>
    <w:p w:rsidRPr="00106694" w:rsidR="00D062AC" w:rsidP="00106694" w:rsidRDefault="00D062AC" w14:paraId="55291E9F" w14:textId="77777777">
      <w:pPr>
        <w:pStyle w:val="JuHHead"/>
      </w:pPr>
      <w:bookmarkStart w:name="_Hlk36127227" w:id="3"/>
      <w:r w:rsidRPr="00106694">
        <w:t>LE CADRE JURIDIQUE ET LA PRATIQUE INTERNES PERTINENTS</w:t>
      </w:r>
    </w:p>
    <w:bookmarkEnd w:id="3"/>
    <w:p w:rsidRPr="00106694" w:rsidR="00D062AC" w:rsidP="00106694" w:rsidRDefault="00D062AC" w14:paraId="25889F84" w14:textId="77777777">
      <w:pPr>
        <w:pStyle w:val="JuHIRoman"/>
      </w:pPr>
      <w:r w:rsidRPr="00106694">
        <w:t>Code de procédure pénale</w:t>
      </w:r>
    </w:p>
    <w:p w:rsidRPr="00106694" w:rsidR="00D062AC" w:rsidP="00106694" w:rsidRDefault="00D062AC" w14:paraId="055C580F" w14:textId="71B8D265">
      <w:pPr>
        <w:pStyle w:val="JuPara"/>
      </w:pPr>
      <w:r w:rsidRPr="00106694">
        <w:fldChar w:fldCharType="begin"/>
      </w:r>
      <w:r w:rsidRPr="00106694">
        <w:instrText xml:space="preserve"> SEQ level0 \*arabic </w:instrText>
      </w:r>
      <w:r w:rsidRPr="00106694">
        <w:fldChar w:fldCharType="separate"/>
      </w:r>
      <w:r w:rsidRPr="00106694" w:rsidR="00106694">
        <w:rPr>
          <w:noProof/>
        </w:rPr>
        <w:t>17</w:t>
      </w:r>
      <w:r w:rsidRPr="00106694">
        <w:fldChar w:fldCharType="end"/>
      </w:r>
      <w:r w:rsidRPr="00106694">
        <w:t>.  Les dispositions pertinentes du code de procédure pénale relatives à la procédure correctionnelle sont les suivantes :</w:t>
      </w:r>
    </w:p>
    <w:p w:rsidRPr="00106694" w:rsidR="00D062AC" w:rsidP="00106694" w:rsidRDefault="00D062AC" w14:paraId="42AAE767" w14:textId="77777777">
      <w:pPr>
        <w:pStyle w:val="JuHArticle"/>
      </w:pPr>
      <w:r w:rsidRPr="00106694">
        <w:t>Article 485</w:t>
      </w:r>
    </w:p>
    <w:p w:rsidRPr="00106694" w:rsidR="00D062AC" w:rsidP="00106694" w:rsidRDefault="00D062AC" w14:paraId="317C3DD9" w14:textId="77777777">
      <w:pPr>
        <w:pStyle w:val="JuQuot"/>
      </w:pPr>
      <w:r w:rsidRPr="00106694">
        <w:t>« Tout jugement doit contenir des motifs et un dispositif.</w:t>
      </w:r>
    </w:p>
    <w:p w:rsidRPr="00106694" w:rsidR="00D062AC" w:rsidP="00106694" w:rsidRDefault="00D062AC" w14:paraId="065D8919" w14:textId="77777777">
      <w:pPr>
        <w:pStyle w:val="JuQuot"/>
      </w:pPr>
      <w:r w:rsidRPr="00106694">
        <w:t>Les motifs constituent la base de la décision.</w:t>
      </w:r>
    </w:p>
    <w:p w:rsidRPr="00106694" w:rsidR="00D062AC" w:rsidP="00106694" w:rsidRDefault="00D062AC" w14:paraId="4D6140B3" w14:textId="77777777">
      <w:pPr>
        <w:pStyle w:val="JuQuot"/>
      </w:pPr>
      <w:r w:rsidRPr="00106694">
        <w:t>Le dispositif énonce les infractions dont les personnes citées sont déclarées coupables ou responsables ainsi que la peine, les textes de loi appliqués, et les condamnations civiles.</w:t>
      </w:r>
    </w:p>
    <w:p w:rsidRPr="00106694" w:rsidR="00D062AC" w:rsidP="00106694" w:rsidRDefault="00D062AC" w14:paraId="26FBEAD8" w14:textId="0AFB7B00">
      <w:pPr>
        <w:pStyle w:val="JuQuot"/>
      </w:pPr>
      <w:r w:rsidRPr="00106694">
        <w:t>Il est donné lecture du jugement par le président ou par l</w:t>
      </w:r>
      <w:r w:rsidRPr="00106694" w:rsidR="00106694">
        <w:t>’</w:t>
      </w:r>
      <w:r w:rsidRPr="00106694">
        <w:t>un des juges ; cette lecture peut être limitée au dispositif. Dans le cas prévu par l</w:t>
      </w:r>
      <w:r w:rsidRPr="00106694" w:rsidR="00106694">
        <w:t>’</w:t>
      </w:r>
      <w:r w:rsidRPr="00106694">
        <w:t>alinéa premier de l</w:t>
      </w:r>
      <w:r w:rsidRPr="00106694" w:rsidR="00106694">
        <w:t>’</w:t>
      </w:r>
      <w:r w:rsidRPr="00106694">
        <w:t>article 398, elle peut être faite même en l</w:t>
      </w:r>
      <w:r w:rsidRPr="00106694" w:rsidR="00106694">
        <w:t>’</w:t>
      </w:r>
      <w:r w:rsidRPr="00106694">
        <w:t>absence des autres magistrats du siège. »</w:t>
      </w:r>
    </w:p>
    <w:p w:rsidRPr="00106694" w:rsidR="00D062AC" w:rsidP="00106694" w:rsidRDefault="00D062AC" w14:paraId="296D35D0" w14:textId="77777777">
      <w:pPr>
        <w:pStyle w:val="JuHArticle"/>
        <w:numPr>
          <w:ilvl w:val="0"/>
          <w:numId w:val="1"/>
        </w:numPr>
      </w:pPr>
      <w:r w:rsidRPr="00106694">
        <w:t>Article 486</w:t>
      </w:r>
    </w:p>
    <w:p w:rsidRPr="00106694" w:rsidR="00D062AC" w:rsidP="00106694" w:rsidRDefault="00D062AC" w14:paraId="5DB64221" w14:textId="77777777">
      <w:pPr>
        <w:pStyle w:val="JuQuot"/>
      </w:pPr>
      <w:r w:rsidRPr="00106694">
        <w:t>« (...) Après avoir été signée par le président et le greffier, la minute est déposée au greffe du tribunal dans les trois jours au plus tard du prononcé du jugement (...) ».</w:t>
      </w:r>
    </w:p>
    <w:p w:rsidRPr="00106694" w:rsidR="00D062AC" w:rsidP="00106694" w:rsidRDefault="00D062AC" w14:paraId="3413D676" w14:textId="77777777">
      <w:pPr>
        <w:pStyle w:val="JuHArticle"/>
        <w:numPr>
          <w:ilvl w:val="0"/>
          <w:numId w:val="1"/>
        </w:numPr>
      </w:pPr>
      <w:r w:rsidRPr="00106694">
        <w:t>Article 498</w:t>
      </w:r>
    </w:p>
    <w:p w:rsidRPr="00106694" w:rsidR="00D062AC" w:rsidP="00106694" w:rsidRDefault="00D062AC" w14:paraId="78174AF9" w14:textId="5EE15BE1">
      <w:pPr>
        <w:pStyle w:val="JuQuot"/>
      </w:pPr>
      <w:r w:rsidRPr="00106694">
        <w:t>« (...) l</w:t>
      </w:r>
      <w:r w:rsidRPr="00106694" w:rsidR="00106694">
        <w:t>’</w:t>
      </w:r>
      <w:r w:rsidRPr="00106694">
        <w:t>appel est interjeté dans le délai de dix jours à compter du prononcé du jugement contradictoire (...) »</w:t>
      </w:r>
    </w:p>
    <w:p w:rsidRPr="00106694" w:rsidR="00D062AC" w:rsidP="00106694" w:rsidRDefault="00D062AC" w14:paraId="30A4380E" w14:textId="77777777">
      <w:pPr>
        <w:pStyle w:val="JuHArticle"/>
        <w:numPr>
          <w:ilvl w:val="0"/>
          <w:numId w:val="1"/>
        </w:numPr>
      </w:pPr>
      <w:r w:rsidRPr="00106694">
        <w:t>Article 500</w:t>
      </w:r>
    </w:p>
    <w:p w:rsidRPr="00106694" w:rsidR="00D062AC" w:rsidP="00106694" w:rsidRDefault="00D062AC" w14:paraId="270745D5" w14:textId="434516DC">
      <w:pPr>
        <w:pStyle w:val="JuQuot"/>
      </w:pPr>
      <w:r w:rsidRPr="00106694">
        <w:t>« En cas d</w:t>
      </w:r>
      <w:r w:rsidRPr="00106694" w:rsidR="00106694">
        <w:t>’</w:t>
      </w:r>
      <w:r w:rsidRPr="00106694">
        <w:t>appel d</w:t>
      </w:r>
      <w:r w:rsidRPr="00106694" w:rsidR="00106694">
        <w:t>’</w:t>
      </w:r>
      <w:r w:rsidRPr="00106694">
        <w:t>une des parties pendant les délais ci-dessus, les autres parties ont un délai supplémentaire de cinq jours pour interjeter appel. »</w:t>
      </w:r>
    </w:p>
    <w:p w:rsidRPr="00106694" w:rsidR="00D062AC" w:rsidP="00106694" w:rsidRDefault="00D062AC" w14:paraId="5D0EC090" w14:textId="77777777">
      <w:pPr>
        <w:pStyle w:val="JuHArticle"/>
        <w:numPr>
          <w:ilvl w:val="0"/>
          <w:numId w:val="1"/>
        </w:numPr>
        <w:rPr>
          <w:bCs/>
        </w:rPr>
      </w:pPr>
      <w:r w:rsidRPr="00106694">
        <w:t>Article 500-1</w:t>
      </w:r>
    </w:p>
    <w:p w:rsidRPr="00106694" w:rsidR="00D062AC" w:rsidP="00106694" w:rsidRDefault="00D062AC" w14:paraId="19FE3965" w14:textId="762C8939">
      <w:pPr>
        <w:pStyle w:val="JuQuot"/>
      </w:pPr>
      <w:r w:rsidRPr="00106694">
        <w:t>« [Lorsqu</w:t>
      </w:r>
      <w:r w:rsidRPr="00106694" w:rsidR="00106694">
        <w:t>’</w:t>
      </w:r>
      <w:r w:rsidRPr="00106694">
        <w:t>il intervient dans un délai d</w:t>
      </w:r>
      <w:r w:rsidRPr="00106694" w:rsidR="00106694">
        <w:t>’</w:t>
      </w:r>
      <w:r w:rsidRPr="00106694">
        <w:t>un mois à compter de l</w:t>
      </w:r>
      <w:r w:rsidRPr="00106694" w:rsidR="00106694">
        <w:t>’</w:t>
      </w:r>
      <w:r w:rsidRPr="00106694">
        <w:t>appel, le désistement par le prévenu ou la partie civile de son appel principal entraîne la caducité des appels incidents, y compris celui du ministère public si ce désistement intervient dans les formes prévues pour la déclaration d</w:t>
      </w:r>
      <w:r w:rsidRPr="00106694" w:rsidR="00106694">
        <w:t>’</w:t>
      </w:r>
      <w:r w:rsidRPr="00106694">
        <w:t>appel (version issue de la loi n</w:t>
      </w:r>
      <w:r w:rsidRPr="00106694">
        <w:rPr>
          <w:vertAlign w:val="superscript"/>
        </w:rPr>
        <w:t>o</w:t>
      </w:r>
      <w:r w:rsidRPr="00106694">
        <w:t xml:space="preserve"> 2004-204 du 9</w:t>
      </w:r>
      <w:r w:rsidRPr="00106694" w:rsidR="00757FFA">
        <w:t> </w:t>
      </w:r>
      <w:r w:rsidRPr="00106694">
        <w:t>mars 2004)] [Sauf lorsqu</w:t>
      </w:r>
      <w:r w:rsidRPr="00106694" w:rsidR="00106694">
        <w:t>’</w:t>
      </w:r>
      <w:r w:rsidRPr="00106694">
        <w:t>il intervient moins de deux mois avant la date de l</w:t>
      </w:r>
      <w:r w:rsidRPr="00106694" w:rsidR="00106694">
        <w:t>’</w:t>
      </w:r>
      <w:r w:rsidRPr="00106694">
        <w:t>audience devant la cour d</w:t>
      </w:r>
      <w:r w:rsidRPr="00106694" w:rsidR="00106694">
        <w:t>’</w:t>
      </w:r>
      <w:r w:rsidRPr="00106694">
        <w:t>appel, le désistement par le prévenu ou la partie civile de son appel principal entraîne la caducité des appels incidents, y compris celui du ministère public si ce désistement intervient dans les formes prévues pour la déclaration d</w:t>
      </w:r>
      <w:r w:rsidRPr="00106694" w:rsidR="00106694">
        <w:t>’</w:t>
      </w:r>
      <w:r w:rsidRPr="00106694">
        <w:t>appel (version issue de la loi n</w:t>
      </w:r>
      <w:r w:rsidRPr="00106694">
        <w:rPr>
          <w:vertAlign w:val="superscript"/>
        </w:rPr>
        <w:t>o</w:t>
      </w:r>
      <w:r w:rsidRPr="00106694" w:rsidR="00757FFA">
        <w:t xml:space="preserve"> </w:t>
      </w:r>
      <w:r w:rsidRPr="00106694">
        <w:t>2016-731 du 3 juin 2016)]. Constitue un appel incident l</w:t>
      </w:r>
      <w:r w:rsidRPr="00106694" w:rsidR="00106694">
        <w:t>’</w:t>
      </w:r>
      <w:r w:rsidRPr="00106694">
        <w:t>appel formé dans le délai prévu par l</w:t>
      </w:r>
      <w:r w:rsidRPr="00106694" w:rsidR="00106694">
        <w:t>’</w:t>
      </w:r>
      <w:r w:rsidRPr="00106694">
        <w:t>article 500, ainsi que l</w:t>
      </w:r>
      <w:r w:rsidRPr="00106694" w:rsidR="00106694">
        <w:t>’</w:t>
      </w:r>
      <w:r w:rsidRPr="00106694">
        <w:t>appel formé, à la suite d</w:t>
      </w:r>
      <w:r w:rsidRPr="00106694" w:rsidR="00106694">
        <w:t>’</w:t>
      </w:r>
      <w:r w:rsidRPr="00106694">
        <w:t>un précédent appel, dans les délais prévus par les articles 498 ou</w:t>
      </w:r>
      <w:r w:rsidRPr="00106694" w:rsidR="00757FFA">
        <w:t> </w:t>
      </w:r>
      <w:r w:rsidRPr="00106694">
        <w:t>505, lorsque l</w:t>
      </w:r>
      <w:r w:rsidRPr="00106694" w:rsidR="00106694">
        <w:t>’</w:t>
      </w:r>
      <w:r w:rsidRPr="00106694">
        <w:t>appelant précise qu</w:t>
      </w:r>
      <w:r w:rsidRPr="00106694" w:rsidR="00106694">
        <w:t>’</w:t>
      </w:r>
      <w:r w:rsidRPr="00106694">
        <w:t>il s</w:t>
      </w:r>
      <w:r w:rsidRPr="00106694" w:rsidR="00106694">
        <w:t>’</w:t>
      </w:r>
      <w:r w:rsidRPr="00106694">
        <w:t>agit d</w:t>
      </w:r>
      <w:r w:rsidRPr="00106694" w:rsidR="00106694">
        <w:t>’</w:t>
      </w:r>
      <w:r w:rsidRPr="00106694">
        <w:t>un appel incident. Dans tous les cas, le ministère public peut toujours se désister de son appel formé après celui du prévenu en cas de désistement de celui-ci. Le désistement d</w:t>
      </w:r>
      <w:r w:rsidRPr="00106694" w:rsidR="00106694">
        <w:t>’</w:t>
      </w:r>
      <w:r w:rsidRPr="00106694">
        <w:t>appel est constaté par ordonnance du président de la chambre des appels correctionnels. »</w:t>
      </w:r>
    </w:p>
    <w:p w:rsidRPr="00106694" w:rsidR="00D062AC" w:rsidP="00106694" w:rsidRDefault="00D062AC" w14:paraId="48EC8C71" w14:textId="77777777">
      <w:pPr>
        <w:pStyle w:val="JuHArticle"/>
        <w:numPr>
          <w:ilvl w:val="0"/>
          <w:numId w:val="1"/>
        </w:numPr>
      </w:pPr>
      <w:r w:rsidRPr="00106694">
        <w:t>Article 515</w:t>
      </w:r>
    </w:p>
    <w:p w:rsidRPr="00106694" w:rsidR="00D062AC" w:rsidP="00106694" w:rsidRDefault="00D062AC" w14:paraId="35D4A018" w14:textId="71F70F5B">
      <w:pPr>
        <w:pStyle w:val="JuQuot"/>
      </w:pPr>
      <w:r w:rsidRPr="00106694">
        <w:t>« La cour peut, sur l</w:t>
      </w:r>
      <w:r w:rsidRPr="00106694" w:rsidR="00106694">
        <w:t>’</w:t>
      </w:r>
      <w:r w:rsidRPr="00106694">
        <w:t>appel du ministère public, soit confirmer le jugement, soit l</w:t>
      </w:r>
      <w:r w:rsidRPr="00106694" w:rsidR="00106694">
        <w:t>’</w:t>
      </w:r>
      <w:r w:rsidRPr="00106694">
        <w:t>infirmer en tout ou en partie dans un sens favorable ou défavorable au prévenu.</w:t>
      </w:r>
    </w:p>
    <w:p w:rsidRPr="00106694" w:rsidR="00D062AC" w:rsidP="00106694" w:rsidRDefault="00D062AC" w14:paraId="390E98C7" w14:textId="7650B4A9">
      <w:pPr>
        <w:pStyle w:val="JuQuot"/>
      </w:pPr>
      <w:r w:rsidRPr="00106694">
        <w:t>La cour ne peut, sur le seul appel du prévenu (...) aggraver le sort de l</w:t>
      </w:r>
      <w:r w:rsidRPr="00106694" w:rsidR="00106694">
        <w:t>’</w:t>
      </w:r>
      <w:r w:rsidRPr="00106694">
        <w:t>appelant.</w:t>
      </w:r>
    </w:p>
    <w:p w:rsidRPr="00106694" w:rsidR="00D062AC" w:rsidP="00106694" w:rsidRDefault="00D062AC" w14:paraId="0007DEE4" w14:textId="6B9DFD31">
      <w:pPr>
        <w:pStyle w:val="JuQuot"/>
      </w:pPr>
      <w:r w:rsidRPr="00106694">
        <w:t>La partie civile ne peut, en cause d</w:t>
      </w:r>
      <w:r w:rsidRPr="00106694" w:rsidR="00106694">
        <w:t>’</w:t>
      </w:r>
      <w:r w:rsidRPr="00106694">
        <w:t>appel, former aucune demande nouvelle ; toutefois elle peut demander une augmentation des dommages-intérêts pour le préjudice souffert depuis la décision de première instance. »</w:t>
      </w:r>
    </w:p>
    <w:p w:rsidRPr="00106694" w:rsidR="00D062AC" w:rsidP="00106694" w:rsidRDefault="00D062AC" w14:paraId="48FE8713" w14:textId="77777777">
      <w:pPr>
        <w:pStyle w:val="JuHArticle"/>
      </w:pPr>
      <w:r w:rsidRPr="00106694">
        <w:t>Article 520</w:t>
      </w:r>
    </w:p>
    <w:p w:rsidRPr="00106694" w:rsidR="00D062AC" w:rsidP="00106694" w:rsidRDefault="00D062AC" w14:paraId="6790D139" w14:textId="77777777">
      <w:pPr>
        <w:pStyle w:val="JuQuot"/>
      </w:pPr>
      <w:r w:rsidRPr="00106694">
        <w:t>« Si le jugement est annulé pour violation ou omission non réparée de formes prescrites par la loi à peine de nullité, la cour évoque et statue sur le fond. »</w:t>
      </w:r>
    </w:p>
    <w:p w:rsidRPr="00106694" w:rsidR="00D062AC" w:rsidP="00106694" w:rsidRDefault="00D062AC" w14:paraId="39B75FB5" w14:textId="77777777">
      <w:pPr>
        <w:pStyle w:val="JuHIRoman"/>
      </w:pPr>
      <w:r w:rsidRPr="00106694">
        <w:t>La jurisprudence</w:t>
      </w:r>
    </w:p>
    <w:p w:rsidRPr="00106694" w:rsidR="00D062AC" w:rsidP="00106694" w:rsidRDefault="00D062AC" w14:paraId="4ADF8117" w14:textId="1AFAF96D">
      <w:pPr>
        <w:pStyle w:val="JuPara"/>
      </w:pPr>
      <w:r w:rsidRPr="00106694">
        <w:fldChar w:fldCharType="begin"/>
      </w:r>
      <w:r w:rsidRPr="00106694">
        <w:instrText xml:space="preserve"> SEQ level0 \*arabic </w:instrText>
      </w:r>
      <w:r w:rsidRPr="00106694">
        <w:fldChar w:fldCharType="separate"/>
      </w:r>
      <w:r w:rsidRPr="00106694" w:rsidR="00106694">
        <w:rPr>
          <w:noProof/>
        </w:rPr>
        <w:t>18</w:t>
      </w:r>
      <w:r w:rsidRPr="00106694">
        <w:fldChar w:fldCharType="end"/>
      </w:r>
      <w:r w:rsidRPr="00106694">
        <w:t>.  Selon la jurisprudence de la Cour de cassation, l</w:t>
      </w:r>
      <w:r w:rsidRPr="00106694" w:rsidR="00106694">
        <w:t>’</w:t>
      </w:r>
      <w:r w:rsidRPr="00106694">
        <w:t>absence de dépôt de la minute, c</w:t>
      </w:r>
      <w:r w:rsidRPr="00106694" w:rsidR="00106694">
        <w:t>’</w:t>
      </w:r>
      <w:r w:rsidRPr="00106694">
        <w:t>est-à-dire d</w:t>
      </w:r>
      <w:r w:rsidRPr="00106694" w:rsidR="00106694">
        <w:t>’</w:t>
      </w:r>
      <w:r w:rsidRPr="00106694">
        <w:t>un exemplaire du jugement, n</w:t>
      </w:r>
      <w:r w:rsidRPr="00106694" w:rsidR="00106694">
        <w:t>’</w:t>
      </w:r>
      <w:r w:rsidRPr="00106694">
        <w:t xml:space="preserve">entraîne pas la nullité de celui-ci (Cass. </w:t>
      </w:r>
      <w:proofErr w:type="gramStart"/>
      <w:r w:rsidRPr="00106694">
        <w:t>crim</w:t>
      </w:r>
      <w:proofErr w:type="gramEnd"/>
      <w:r w:rsidRPr="00106694">
        <w:t>. 12 mai 1971, Dalloz 1971, sommaire, p.</w:t>
      </w:r>
      <w:r w:rsidRPr="00106694" w:rsidR="00757FFA">
        <w:t> </w:t>
      </w:r>
      <w:r w:rsidRPr="00106694">
        <w:t>165 ; Cass. </w:t>
      </w:r>
      <w:proofErr w:type="gramStart"/>
      <w:r w:rsidRPr="00106694">
        <w:t>crim</w:t>
      </w:r>
      <w:proofErr w:type="gramEnd"/>
      <w:r w:rsidRPr="00106694">
        <w:t>. 14 novembre 1996). En outre, le dépôt au-delà du délai de trois jours n</w:t>
      </w:r>
      <w:r w:rsidRPr="00106694" w:rsidR="00106694">
        <w:t>’</w:t>
      </w:r>
      <w:r w:rsidRPr="00106694">
        <w:t>entraîne pas la nullité du jugement lorsque le prévenu n</w:t>
      </w:r>
      <w:r w:rsidRPr="00106694" w:rsidR="00106694">
        <w:t>’</w:t>
      </w:r>
      <w:r w:rsidRPr="00106694">
        <w:t xml:space="preserve">a subi aucun préjudice (Cass. </w:t>
      </w:r>
      <w:proofErr w:type="gramStart"/>
      <w:r w:rsidRPr="00106694">
        <w:t>crim</w:t>
      </w:r>
      <w:proofErr w:type="gramEnd"/>
      <w:r w:rsidRPr="00106694">
        <w:t>. 27</w:t>
      </w:r>
      <w:r w:rsidRPr="00106694" w:rsidR="00757FFA">
        <w:t xml:space="preserve"> </w:t>
      </w:r>
      <w:r w:rsidRPr="00106694">
        <w:t xml:space="preserve">novembre 1984, Bulletin crim. </w:t>
      </w:r>
      <w:proofErr w:type="gramStart"/>
      <w:r w:rsidRPr="00106694">
        <w:t>n</w:t>
      </w:r>
      <w:r w:rsidRPr="00106694">
        <w:rPr>
          <w:vertAlign w:val="superscript"/>
        </w:rPr>
        <w:t>o</w:t>
      </w:r>
      <w:proofErr w:type="gramEnd"/>
      <w:r w:rsidRPr="00106694">
        <w:t xml:space="preserve"> 370 ; Cass. </w:t>
      </w:r>
      <w:proofErr w:type="gramStart"/>
      <w:r w:rsidRPr="00106694">
        <w:t>crim</w:t>
      </w:r>
      <w:proofErr w:type="gramEnd"/>
      <w:r w:rsidRPr="00106694">
        <w:t xml:space="preserve">. 21 mars 1995, Bulletin crim. </w:t>
      </w:r>
      <w:proofErr w:type="gramStart"/>
      <w:r w:rsidRPr="00106694">
        <w:t>n</w:t>
      </w:r>
      <w:r w:rsidRPr="00106694">
        <w:rPr>
          <w:vertAlign w:val="superscript"/>
        </w:rPr>
        <w:t>o</w:t>
      </w:r>
      <w:proofErr w:type="gramEnd"/>
      <w:r w:rsidRPr="00106694">
        <w:t xml:space="preserve"> 115 ; Cass. </w:t>
      </w:r>
      <w:proofErr w:type="gramStart"/>
      <w:r w:rsidRPr="00106694">
        <w:t>crim</w:t>
      </w:r>
      <w:proofErr w:type="gramEnd"/>
      <w:r w:rsidRPr="00106694">
        <w:t xml:space="preserve">. 4 février 1998 ; Cass. </w:t>
      </w:r>
      <w:proofErr w:type="gramStart"/>
      <w:r w:rsidRPr="00106694">
        <w:t>crim</w:t>
      </w:r>
      <w:proofErr w:type="gramEnd"/>
      <w:r w:rsidRPr="00106694">
        <w:t xml:space="preserve">. 6 septembre 2000 ; Cass. </w:t>
      </w:r>
      <w:proofErr w:type="gramStart"/>
      <w:r w:rsidRPr="00106694">
        <w:t>crim</w:t>
      </w:r>
      <w:proofErr w:type="gramEnd"/>
      <w:r w:rsidRPr="00106694">
        <w:t>. 4 avril 2002 ; Cass crim. 31 octobre 2018, non publiés).</w:t>
      </w:r>
    </w:p>
    <w:p w:rsidRPr="00106694" w:rsidR="00D062AC" w:rsidP="00106694" w:rsidRDefault="00D062AC" w14:paraId="7B681D21" w14:textId="77777777">
      <w:pPr>
        <w:pStyle w:val="JuHHead"/>
      </w:pPr>
      <w:bookmarkStart w:name="_Hlk36127250" w:id="4"/>
      <w:r w:rsidRPr="00106694">
        <w:rPr>
          <w:caps w:val="0"/>
        </w:rPr>
        <w:t>EN DROIT</w:t>
      </w:r>
    </w:p>
    <w:p w:rsidRPr="00106694" w:rsidR="00D062AC" w:rsidP="00106694" w:rsidRDefault="00D062AC" w14:paraId="643269A8" w14:textId="073B6964">
      <w:pPr>
        <w:pStyle w:val="JuHIRoman"/>
      </w:pPr>
      <w:bookmarkStart w:name="_Hlk36127423" w:id="5"/>
      <w:bookmarkStart w:name="_Hlk34839031" w:id="6"/>
      <w:bookmarkEnd w:id="4"/>
      <w:r w:rsidRPr="00106694">
        <w:t>SUR LA VIOLATION ALLÉGUÉE DE L</w:t>
      </w:r>
      <w:r w:rsidRPr="00106694" w:rsidR="00106694">
        <w:t>’</w:t>
      </w:r>
      <w:r w:rsidRPr="00106694">
        <w:t>ARTICLE 6 DE LA CONVENTION</w:t>
      </w:r>
      <w:bookmarkEnd w:id="5"/>
    </w:p>
    <w:p w:rsidRPr="00106694" w:rsidR="00D062AC" w:rsidP="00106694" w:rsidRDefault="00D062AC" w14:paraId="7D0C36CE" w14:textId="25A7D156">
      <w:pPr>
        <w:pStyle w:val="JuPara"/>
      </w:pPr>
      <w:r w:rsidRPr="00106694">
        <w:fldChar w:fldCharType="begin"/>
      </w:r>
      <w:r w:rsidRPr="00106694">
        <w:instrText xml:space="preserve"> SEQ level0 \*arabic </w:instrText>
      </w:r>
      <w:r w:rsidRPr="00106694">
        <w:fldChar w:fldCharType="separate"/>
      </w:r>
      <w:r w:rsidRPr="00106694" w:rsidR="00106694">
        <w:rPr>
          <w:noProof/>
        </w:rPr>
        <w:t>19</w:t>
      </w:r>
      <w:r w:rsidRPr="00106694">
        <w:fldChar w:fldCharType="end"/>
      </w:r>
      <w:r w:rsidRPr="00106694">
        <w:t>.  Le requérant se plaint de ce qu</w:t>
      </w:r>
      <w:r w:rsidRPr="00106694" w:rsidR="00106694">
        <w:t>’</w:t>
      </w:r>
      <w:r w:rsidRPr="00106694">
        <w:t>il n</w:t>
      </w:r>
      <w:r w:rsidRPr="00106694" w:rsidR="00106694">
        <w:t>’</w:t>
      </w:r>
      <w:r w:rsidRPr="00106694">
        <w:t>a reçu copie du jugement intégral du tribunal correctionnel d</w:t>
      </w:r>
      <w:r w:rsidRPr="00106694" w:rsidR="00106694">
        <w:t>’</w:t>
      </w:r>
      <w:r w:rsidRPr="00106694">
        <w:t>Albertville du 16 juillet 2012 que quinze mois après son prononcé alors que le délai d</w:t>
      </w:r>
      <w:r w:rsidRPr="00106694" w:rsidR="00106694">
        <w:t>’</w:t>
      </w:r>
      <w:r w:rsidRPr="00106694">
        <w:t>appel était de dix jours à compter du prononcé du jugement et que le délai du désistement entraînant la caducité de l</w:t>
      </w:r>
      <w:r w:rsidRPr="00106694" w:rsidR="00106694">
        <w:t>’</w:t>
      </w:r>
      <w:r w:rsidRPr="00106694">
        <w:t>appel incident du ministère public était d</w:t>
      </w:r>
      <w:r w:rsidRPr="00106694" w:rsidR="00106694">
        <w:t>’</w:t>
      </w:r>
      <w:r w:rsidRPr="00106694">
        <w:t>un mois à compter de l</w:t>
      </w:r>
      <w:r w:rsidRPr="00106694" w:rsidR="00106694">
        <w:t>’</w:t>
      </w:r>
      <w:r w:rsidRPr="00106694">
        <w:t>appel. Il n</w:t>
      </w:r>
      <w:r w:rsidRPr="00106694" w:rsidR="00106694">
        <w:t>’</w:t>
      </w:r>
      <w:r w:rsidRPr="00106694">
        <w:t>aurait donc pas été en mesure d</w:t>
      </w:r>
      <w:r w:rsidRPr="00106694" w:rsidR="00106694">
        <w:t>’</w:t>
      </w:r>
      <w:r w:rsidRPr="00106694">
        <w:t>apprécier l</w:t>
      </w:r>
      <w:r w:rsidRPr="00106694" w:rsidR="00106694">
        <w:t>’</w:t>
      </w:r>
      <w:r w:rsidRPr="00106694">
        <w:t>opportunité de maintenir l</w:t>
      </w:r>
      <w:r w:rsidRPr="00106694" w:rsidR="00106694">
        <w:t>’</w:t>
      </w:r>
      <w:r w:rsidRPr="00106694">
        <w:t>appel qu</w:t>
      </w:r>
      <w:r w:rsidRPr="00106694" w:rsidR="00106694">
        <w:t>’</w:t>
      </w:r>
      <w:r w:rsidRPr="00106694">
        <w:t>il avait interjeté à titre conservatoire. Renvoyant à l</w:t>
      </w:r>
      <w:r w:rsidRPr="00106694" w:rsidR="00106694">
        <w:t>’</w:t>
      </w:r>
      <w:r w:rsidRPr="00106694">
        <w:t>arrêt</w:t>
      </w:r>
      <w:r w:rsidRPr="00106694" w:rsidR="00757FFA">
        <w:t> </w:t>
      </w:r>
      <w:r w:rsidRPr="00106694">
        <w:rPr>
          <w:i/>
        </w:rPr>
        <w:t>Baucher précité</w:t>
      </w:r>
      <w:r w:rsidRPr="00106694">
        <w:t>, il invoque la méconnaissance de l</w:t>
      </w:r>
      <w:r w:rsidRPr="00106694" w:rsidR="00106694">
        <w:t>’</w:t>
      </w:r>
      <w:r w:rsidRPr="00106694">
        <w:t>article 6 § 1 de la Convention.</w:t>
      </w:r>
    </w:p>
    <w:p w:rsidRPr="00106694" w:rsidR="00D062AC" w:rsidP="00106694" w:rsidRDefault="00D062AC" w14:paraId="589F88CD" w14:textId="78E7DB39">
      <w:pPr>
        <w:pStyle w:val="JuPara"/>
      </w:pPr>
      <w:r w:rsidRPr="00106694">
        <w:fldChar w:fldCharType="begin"/>
      </w:r>
      <w:r w:rsidRPr="00106694">
        <w:instrText xml:space="preserve"> SEQ level0 \*arabic </w:instrText>
      </w:r>
      <w:r w:rsidRPr="00106694">
        <w:fldChar w:fldCharType="separate"/>
      </w:r>
      <w:r w:rsidRPr="00106694" w:rsidR="00106694">
        <w:rPr>
          <w:noProof/>
        </w:rPr>
        <w:t>20</w:t>
      </w:r>
      <w:r w:rsidRPr="00106694">
        <w:fldChar w:fldCharType="end"/>
      </w:r>
      <w:r w:rsidRPr="00106694">
        <w:t xml:space="preserve">.  Vu les arrêts </w:t>
      </w:r>
      <w:r w:rsidRPr="00106694">
        <w:rPr>
          <w:i/>
          <w:iCs/>
        </w:rPr>
        <w:t>Baucher</w:t>
      </w:r>
      <w:r w:rsidRPr="00106694">
        <w:t xml:space="preserve"> (précité) et </w:t>
      </w:r>
      <w:r w:rsidRPr="00106694">
        <w:rPr>
          <w:i/>
          <w:iCs/>
        </w:rPr>
        <w:t>Chorniy c. Ukraine</w:t>
      </w:r>
      <w:r w:rsidRPr="00106694">
        <w:t xml:space="preserve"> (n</w:t>
      </w:r>
      <w:r w:rsidRPr="00106694">
        <w:rPr>
          <w:vertAlign w:val="superscript"/>
        </w:rPr>
        <w:t>o</w:t>
      </w:r>
      <w:r w:rsidRPr="00106694">
        <w:t> 35227/06, 16 mai 2013), la Cour examinera ce grief sous l</w:t>
      </w:r>
      <w:r w:rsidRPr="00106694" w:rsidR="00106694">
        <w:t>’</w:t>
      </w:r>
      <w:r w:rsidRPr="00106694">
        <w:t>angle des paragraphes 1 et</w:t>
      </w:r>
      <w:r w:rsidRPr="00106694" w:rsidR="00757FFA">
        <w:t> </w:t>
      </w:r>
      <w:r w:rsidRPr="00106694">
        <w:t>3</w:t>
      </w:r>
      <w:r w:rsidRPr="00106694" w:rsidR="00106694">
        <w:t> </w:t>
      </w:r>
      <w:r w:rsidRPr="00106694">
        <w:t>b) combinés de l</w:t>
      </w:r>
      <w:r w:rsidRPr="00106694" w:rsidR="00106694">
        <w:t>’</w:t>
      </w:r>
      <w:r w:rsidRPr="00106694">
        <w:t>article 6, aux termes desquels :</w:t>
      </w:r>
    </w:p>
    <w:p w:rsidRPr="00106694" w:rsidR="00D062AC" w:rsidP="00106694" w:rsidRDefault="00D062AC" w14:paraId="7B5005FF" w14:textId="77777777">
      <w:pPr>
        <w:pStyle w:val="JuQuot"/>
      </w:pPr>
      <w:r w:rsidRPr="00106694">
        <w:t>« 1. Toute personne a droit à ce que sa cause soit entendue équitablement (...) par un tribunal (...) qui décidera (...) du bien-fondé de toute accusation en matière pénale dirigée contre elle.</w:t>
      </w:r>
    </w:p>
    <w:p w:rsidRPr="00106694" w:rsidR="00D062AC" w:rsidP="00106694" w:rsidRDefault="00D062AC" w14:paraId="48030C8F" w14:textId="77777777">
      <w:pPr>
        <w:pStyle w:val="JuQuot"/>
      </w:pPr>
      <w:r w:rsidRPr="00106694">
        <w:t>(...)</w:t>
      </w:r>
    </w:p>
    <w:p w:rsidRPr="00106694" w:rsidR="00D062AC" w:rsidP="00106694" w:rsidRDefault="00D062AC" w14:paraId="3805ACC8" w14:textId="77777777">
      <w:pPr>
        <w:pStyle w:val="JuQuot"/>
      </w:pPr>
      <w:r w:rsidRPr="00106694">
        <w:t xml:space="preserve">3. Tout accusé </w:t>
      </w:r>
      <w:proofErr w:type="gramStart"/>
      <w:r w:rsidRPr="00106694">
        <w:t>a</w:t>
      </w:r>
      <w:proofErr w:type="gramEnd"/>
      <w:r w:rsidRPr="00106694">
        <w:t xml:space="preserve"> droit notamment à (...) b) disposer du temps et des facilités nécessaires à la préparation de sa défense ; (...) ».</w:t>
      </w:r>
    </w:p>
    <w:p w:rsidRPr="00106694" w:rsidR="00D062AC" w:rsidP="00106694" w:rsidRDefault="00D062AC" w14:paraId="4CC23E89" w14:textId="77777777">
      <w:pPr>
        <w:pStyle w:val="JuHA"/>
        <w:numPr>
          <w:ilvl w:val="2"/>
          <w:numId w:val="1"/>
        </w:numPr>
      </w:pPr>
      <w:r w:rsidRPr="00106694">
        <w:t>Sur la recevabilité</w:t>
      </w:r>
    </w:p>
    <w:p w:rsidRPr="00106694" w:rsidR="00D062AC" w:rsidP="00106694" w:rsidRDefault="00D062AC" w14:paraId="52E5EB5B" w14:textId="7DDFF539">
      <w:pPr>
        <w:pStyle w:val="JuPara"/>
      </w:pPr>
      <w:r w:rsidRPr="00106694">
        <w:fldChar w:fldCharType="begin"/>
      </w:r>
      <w:r w:rsidRPr="00106694">
        <w:instrText xml:space="preserve"> SEQ level0 \*arabic </w:instrText>
      </w:r>
      <w:r w:rsidRPr="00106694">
        <w:fldChar w:fldCharType="separate"/>
      </w:r>
      <w:r w:rsidRPr="00106694" w:rsidR="00106694">
        <w:rPr>
          <w:noProof/>
        </w:rPr>
        <w:t>21</w:t>
      </w:r>
      <w:r w:rsidRPr="00106694">
        <w:fldChar w:fldCharType="end"/>
      </w:r>
      <w:r w:rsidRPr="00106694">
        <w:t>.  Constatant que la requête n</w:t>
      </w:r>
      <w:r w:rsidRPr="00106694" w:rsidR="00106694">
        <w:t>’</w:t>
      </w:r>
      <w:r w:rsidRPr="00106694">
        <w:t>est pas manifestement mal fondée ni irrecevable pour un autre motif visé à l</w:t>
      </w:r>
      <w:r w:rsidRPr="00106694" w:rsidR="00106694">
        <w:t>’</w:t>
      </w:r>
      <w:r w:rsidRPr="00106694">
        <w:t>article 35 de la Convention, la Cour la déclare recevable.</w:t>
      </w:r>
    </w:p>
    <w:p w:rsidRPr="00106694" w:rsidR="00D062AC" w:rsidP="00106694" w:rsidRDefault="00D062AC" w14:paraId="5982D6E0" w14:textId="77777777">
      <w:pPr>
        <w:pStyle w:val="JuHA"/>
        <w:numPr>
          <w:ilvl w:val="2"/>
          <w:numId w:val="1"/>
        </w:numPr>
      </w:pPr>
      <w:r w:rsidRPr="00106694">
        <w:t>Sur le fond</w:t>
      </w:r>
    </w:p>
    <w:p w:rsidRPr="00106694" w:rsidR="00D062AC" w:rsidP="00106694" w:rsidRDefault="00D062AC" w14:paraId="0B7A40E5" w14:textId="4D678E3D">
      <w:pPr>
        <w:pStyle w:val="JuPara"/>
      </w:pPr>
      <w:r w:rsidRPr="00106694">
        <w:fldChar w:fldCharType="begin"/>
      </w:r>
      <w:r w:rsidRPr="00106694">
        <w:instrText xml:space="preserve"> SEQ level0 \*arabic </w:instrText>
      </w:r>
      <w:r w:rsidRPr="00106694">
        <w:fldChar w:fldCharType="separate"/>
      </w:r>
      <w:r w:rsidRPr="00106694" w:rsidR="00106694">
        <w:rPr>
          <w:noProof/>
        </w:rPr>
        <w:t>22</w:t>
      </w:r>
      <w:r w:rsidRPr="00106694">
        <w:fldChar w:fldCharType="end"/>
      </w:r>
      <w:r w:rsidRPr="00106694">
        <w:t>.  Le Gouvernement déclare qu</w:t>
      </w:r>
      <w:r w:rsidRPr="00106694" w:rsidR="00106694">
        <w:t>’</w:t>
      </w:r>
      <w:r w:rsidRPr="00106694">
        <w:t>il « s</w:t>
      </w:r>
      <w:r w:rsidRPr="00106694" w:rsidR="00106694">
        <w:t>’</w:t>
      </w:r>
      <w:r w:rsidRPr="00106694">
        <w:t>en remet à la sagesse de la Cour ».</w:t>
      </w:r>
    </w:p>
    <w:p w:rsidRPr="00106694" w:rsidR="00D062AC" w:rsidP="00106694" w:rsidRDefault="00D062AC" w14:paraId="6C184BC8" w14:textId="3EF66AF9">
      <w:pPr>
        <w:pStyle w:val="JuPara"/>
      </w:pPr>
      <w:r w:rsidRPr="00106694">
        <w:fldChar w:fldCharType="begin"/>
      </w:r>
      <w:r w:rsidRPr="00106694">
        <w:instrText xml:space="preserve"> SEQ level0 \*arabic </w:instrText>
      </w:r>
      <w:r w:rsidRPr="00106694">
        <w:fldChar w:fldCharType="separate"/>
      </w:r>
      <w:r w:rsidRPr="00106694" w:rsidR="00106694">
        <w:rPr>
          <w:noProof/>
        </w:rPr>
        <w:t>23</w:t>
      </w:r>
      <w:r w:rsidRPr="00106694">
        <w:fldChar w:fldCharType="end"/>
      </w:r>
      <w:r w:rsidRPr="00106694">
        <w:t>.  Le requérant n</w:t>
      </w:r>
      <w:r w:rsidRPr="00106694" w:rsidR="00106694">
        <w:t>’</w:t>
      </w:r>
      <w:r w:rsidRPr="00106694">
        <w:t>a pas produit d</w:t>
      </w:r>
      <w:r w:rsidRPr="00106694" w:rsidR="00106694">
        <w:t>’</w:t>
      </w:r>
      <w:r w:rsidRPr="00106694">
        <w:t>observations en réplique.</w:t>
      </w:r>
    </w:p>
    <w:p w:rsidRPr="00106694" w:rsidR="00D062AC" w:rsidP="00106694" w:rsidRDefault="00D062AC" w14:paraId="7B203981" w14:textId="38508F5C">
      <w:pPr>
        <w:pStyle w:val="JuPara"/>
      </w:pPr>
      <w:r w:rsidRPr="00106694">
        <w:fldChar w:fldCharType="begin"/>
      </w:r>
      <w:r w:rsidRPr="00106694">
        <w:instrText xml:space="preserve"> SEQ level0 \*arabic </w:instrText>
      </w:r>
      <w:r w:rsidRPr="00106694">
        <w:fldChar w:fldCharType="separate"/>
      </w:r>
      <w:r w:rsidRPr="00106694" w:rsidR="00106694">
        <w:rPr>
          <w:noProof/>
        </w:rPr>
        <w:t>24</w:t>
      </w:r>
      <w:r w:rsidRPr="00106694">
        <w:fldChar w:fldCharType="end"/>
      </w:r>
      <w:r w:rsidRPr="00106694">
        <w:t>.  La Cour renvoie à l</w:t>
      </w:r>
      <w:r w:rsidRPr="00106694" w:rsidR="00106694">
        <w:t>’</w:t>
      </w:r>
      <w:r w:rsidRPr="00106694">
        <w:t xml:space="preserve">affaire </w:t>
      </w:r>
      <w:r w:rsidRPr="00106694">
        <w:rPr>
          <w:i/>
          <w:iCs/>
        </w:rPr>
        <w:t>Baucher</w:t>
      </w:r>
      <w:r w:rsidRPr="00106694">
        <w:t xml:space="preserve"> précitée, dans laquelle le dispositif du jugement correctionnel condamnant le requérant avait été lu à l</w:t>
      </w:r>
      <w:r w:rsidRPr="00106694" w:rsidR="00106694">
        <w:t>’</w:t>
      </w:r>
      <w:r w:rsidRPr="00106694">
        <w:t>audience à l</w:t>
      </w:r>
      <w:r w:rsidRPr="00106694" w:rsidR="00106694">
        <w:t>’</w:t>
      </w:r>
      <w:r w:rsidRPr="00106694">
        <w:t>issue des débats, mais ni le requérant ni son avocat n</w:t>
      </w:r>
      <w:r w:rsidRPr="00106694" w:rsidR="00106694">
        <w:t>’</w:t>
      </w:r>
      <w:r w:rsidRPr="00106694">
        <w:t>avaient été informés des motifs avant l</w:t>
      </w:r>
      <w:r w:rsidRPr="00106694" w:rsidR="00106694">
        <w:t>’</w:t>
      </w:r>
      <w:r w:rsidRPr="00106694">
        <w:t>expiration du délai d</w:t>
      </w:r>
      <w:r w:rsidRPr="00106694" w:rsidR="00106694">
        <w:t>’</w:t>
      </w:r>
      <w:r w:rsidRPr="00106694">
        <w:t>appel. Jugeant qu</w:t>
      </w:r>
      <w:r w:rsidRPr="00106694" w:rsidR="00106694">
        <w:t>’</w:t>
      </w:r>
      <w:r w:rsidRPr="00106694">
        <w:t>il y avait eu de ce fait atteinte aux droits de la défense du requérant, la Cour a conclu à la violation de l</w:t>
      </w:r>
      <w:r w:rsidRPr="00106694" w:rsidR="00106694">
        <w:t>’</w:t>
      </w:r>
      <w:r w:rsidRPr="00106694">
        <w:t>article 6 §§ 1 et 3 b) de la Convention.</w:t>
      </w:r>
    </w:p>
    <w:bookmarkStart w:name="_Hlk72849993" w:id="7"/>
    <w:p w:rsidRPr="00106694" w:rsidR="00D062AC" w:rsidP="00106694" w:rsidRDefault="00D062AC" w14:paraId="1E4B01D3" w14:textId="271C5270">
      <w:pPr>
        <w:pStyle w:val="JuPara"/>
      </w:pPr>
      <w:r w:rsidRPr="00106694">
        <w:fldChar w:fldCharType="begin"/>
      </w:r>
      <w:r w:rsidRPr="00106694">
        <w:instrText xml:space="preserve"> SEQ level0 \*arabic </w:instrText>
      </w:r>
      <w:r w:rsidRPr="00106694">
        <w:fldChar w:fldCharType="separate"/>
      </w:r>
      <w:r w:rsidRPr="00106694" w:rsidR="00106694">
        <w:rPr>
          <w:noProof/>
        </w:rPr>
        <w:t>25</w:t>
      </w:r>
      <w:r w:rsidRPr="00106694">
        <w:fldChar w:fldCharType="end"/>
      </w:r>
      <w:r w:rsidRPr="00106694">
        <w:t>.  Pour parvenir à cette conclusion, la Cour a tout d</w:t>
      </w:r>
      <w:r w:rsidRPr="00106694" w:rsidR="00106694">
        <w:t>’</w:t>
      </w:r>
      <w:r w:rsidRPr="00106694">
        <w:t>abord souligné que si les États contractants jouissent d</w:t>
      </w:r>
      <w:r w:rsidRPr="00106694" w:rsidR="00106694">
        <w:t>’</w:t>
      </w:r>
      <w:r w:rsidRPr="00106694">
        <w:t>une grande liberté dans le choix des moyens propres à permettre à leur système judiciaire de respecter les impératifs de l</w:t>
      </w:r>
      <w:r w:rsidRPr="00106694" w:rsidR="00106694">
        <w:t>’</w:t>
      </w:r>
      <w:r w:rsidRPr="00106694">
        <w:t>article 6, les juges doivent cependant indiquer avec une clarté suffisante les motifs sur lesquels ils se fondent, observant que c</w:t>
      </w:r>
      <w:r w:rsidRPr="00106694" w:rsidR="00106694">
        <w:t>’</w:t>
      </w:r>
      <w:r w:rsidRPr="00106694">
        <w:t>est ainsi, par exemple, qu</w:t>
      </w:r>
      <w:r w:rsidRPr="00106694" w:rsidR="00106694">
        <w:t>’</w:t>
      </w:r>
      <w:r w:rsidRPr="00106694">
        <w:t>un accusé peut exercer utilement les recours existants (voir le paragraphe 42 de l</w:t>
      </w:r>
      <w:r w:rsidRPr="00106694" w:rsidR="00106694">
        <w:t>’</w:t>
      </w:r>
      <w:r w:rsidRPr="00106694">
        <w:t>arrêt).</w:t>
      </w:r>
    </w:p>
    <w:bookmarkEnd w:id="7"/>
    <w:p w:rsidRPr="00106694" w:rsidR="00D062AC" w:rsidP="00106694" w:rsidRDefault="00D062AC" w14:paraId="3E91CE26" w14:textId="6079122B">
      <w:pPr>
        <w:pStyle w:val="JuPara"/>
      </w:pPr>
      <w:r w:rsidRPr="00106694">
        <w:fldChar w:fldCharType="begin"/>
      </w:r>
      <w:r w:rsidRPr="00106694">
        <w:instrText xml:space="preserve"> SEQ level0 \*arabic </w:instrText>
      </w:r>
      <w:r w:rsidRPr="00106694">
        <w:fldChar w:fldCharType="separate"/>
      </w:r>
      <w:r w:rsidRPr="00106694" w:rsidR="00106694">
        <w:rPr>
          <w:noProof/>
        </w:rPr>
        <w:t>26</w:t>
      </w:r>
      <w:r w:rsidRPr="00106694">
        <w:fldChar w:fldCharType="end"/>
      </w:r>
      <w:r w:rsidRPr="00106694">
        <w:t xml:space="preserve">.  La Cour a précisé que sa tâche consistait à rechercher si la voie suivie </w:t>
      </w:r>
      <w:proofErr w:type="gramStart"/>
      <w:r w:rsidRPr="00106694">
        <w:t>au</w:t>
      </w:r>
      <w:proofErr w:type="gramEnd"/>
      <w:r w:rsidRPr="00106694">
        <w:t xml:space="preserve"> plan interne avait conduit, dans un litige déterminé, à des résultats compatibles avec la Convention. Ce faisant, après avoir relevé qu</w:t>
      </w:r>
      <w:r w:rsidRPr="00106694" w:rsidR="00106694">
        <w:t>’</w:t>
      </w:r>
      <w:r w:rsidRPr="00106694">
        <w:t>en vertu des article</w:t>
      </w:r>
      <w:r w:rsidRPr="00106694" w:rsidR="00757FFA">
        <w:t>s</w:t>
      </w:r>
      <w:r w:rsidRPr="00106694">
        <w:t xml:space="preserve"> 485 et 486 du code de procédure pénale</w:t>
      </w:r>
      <w:r w:rsidRPr="00106694" w:rsidR="00757FFA">
        <w:t xml:space="preserve"> </w:t>
      </w:r>
      <w:r w:rsidRPr="00106694">
        <w:t>(paragraphe 17 ci</w:t>
      </w:r>
      <w:r w:rsidRPr="00106694">
        <w:noBreakHyphen/>
        <w:t>dessus), l</w:t>
      </w:r>
      <w:r w:rsidRPr="00106694" w:rsidR="00106694">
        <w:t>’</w:t>
      </w:r>
      <w:r w:rsidRPr="00106694">
        <w:t>original du jugement dûment motivé aurait dû être déposé au greffe du tribunal dans les trois jours suivant son prononcé, et qu</w:t>
      </w:r>
      <w:r w:rsidRPr="00106694" w:rsidR="00106694">
        <w:t>’</w:t>
      </w:r>
      <w:r w:rsidRPr="00106694">
        <w:t>il y avait donc eu une « anomalie », elle a vérifié si le requérant avait malgré tout disposé des éléments suffisants pour décider de l</w:t>
      </w:r>
      <w:r w:rsidRPr="00106694" w:rsidR="00106694">
        <w:t>’</w:t>
      </w:r>
      <w:r w:rsidRPr="00106694">
        <w:t>opportunité d</w:t>
      </w:r>
      <w:r w:rsidRPr="00106694" w:rsidR="00106694">
        <w:t>’</w:t>
      </w:r>
      <w:r w:rsidRPr="00106694">
        <w:t>un appel. Elle a estimé que, faute d</w:t>
      </w:r>
      <w:r w:rsidRPr="00106694" w:rsidR="00106694">
        <w:t>’</w:t>
      </w:r>
      <w:r w:rsidRPr="00106694">
        <w:t>avoir pu obtenir le jugement complet avant l</w:t>
      </w:r>
      <w:r w:rsidRPr="00106694" w:rsidR="00106694">
        <w:t>’</w:t>
      </w:r>
      <w:r w:rsidRPr="00106694">
        <w:t>expiration du délai d</w:t>
      </w:r>
      <w:r w:rsidRPr="00106694" w:rsidR="00106694">
        <w:t>’</w:t>
      </w:r>
      <w:r w:rsidRPr="00106694">
        <w:t>appel, il avait pour seule issue d</w:t>
      </w:r>
      <w:r w:rsidRPr="00106694" w:rsidR="00106694">
        <w:t>’</w:t>
      </w:r>
      <w:r w:rsidRPr="00106694">
        <w:t>interjeter appel sans connaître aucun élément de la motivation retenue par le tribunal correctionnel ; or, à l</w:t>
      </w:r>
      <w:r w:rsidRPr="00106694" w:rsidR="00106694">
        <w:t>’</w:t>
      </w:r>
      <w:r w:rsidRPr="00106694">
        <w:t>époque des faits, la possibilité d</w:t>
      </w:r>
      <w:r w:rsidRPr="00106694" w:rsidR="00106694">
        <w:t>’</w:t>
      </w:r>
      <w:r w:rsidRPr="00106694">
        <w:t>interjeter un appel purement conservatoire n</w:t>
      </w:r>
      <w:r w:rsidRPr="00106694" w:rsidR="00106694">
        <w:t>’</w:t>
      </w:r>
      <w:r w:rsidRPr="00106694">
        <w:t>était pas sans conséquence pour le prévenu car cela l</w:t>
      </w:r>
      <w:r w:rsidRPr="00106694" w:rsidR="00106694">
        <w:t>’</w:t>
      </w:r>
      <w:r w:rsidRPr="00106694">
        <w:t>exposait à l</w:t>
      </w:r>
      <w:r w:rsidRPr="00106694" w:rsidR="00106694">
        <w:t>’</w:t>
      </w:r>
      <w:r w:rsidRPr="00106694">
        <w:t>appel incident du ministère public sans que son propre désistement ultérieur mette fin à l</w:t>
      </w:r>
      <w:r w:rsidRPr="00106694" w:rsidR="00106694">
        <w:t>’</w:t>
      </w:r>
      <w:r w:rsidRPr="00106694">
        <w:t>instance ; un tel appel conservatoire exposait donc le requérant à l</w:t>
      </w:r>
      <w:r w:rsidRPr="00106694" w:rsidR="00106694">
        <w:t>’</w:t>
      </w:r>
      <w:r w:rsidRPr="00106694">
        <w:t>aggravation éventuelle de sa peine par la cour d</w:t>
      </w:r>
      <w:r w:rsidRPr="00106694" w:rsidR="00106694">
        <w:t>’</w:t>
      </w:r>
      <w:r w:rsidRPr="00106694">
        <w:t>appel, sans qu</w:t>
      </w:r>
      <w:r w:rsidRPr="00106694" w:rsidR="00106694">
        <w:t>’</w:t>
      </w:r>
      <w:r w:rsidRPr="00106694">
        <w:t>il ait pu au préalable réellement mesurer ses chances de succès.</w:t>
      </w:r>
    </w:p>
    <w:p w:rsidRPr="00106694" w:rsidR="00D062AC" w:rsidP="00106694" w:rsidRDefault="00D062AC" w14:paraId="7A9E611E" w14:textId="1468C493">
      <w:pPr>
        <w:pStyle w:val="JuPara"/>
      </w:pPr>
      <w:r w:rsidRPr="00106694">
        <w:fldChar w:fldCharType="begin"/>
      </w:r>
      <w:r w:rsidRPr="00106694">
        <w:instrText xml:space="preserve"> SEQ level0 \*arabic </w:instrText>
      </w:r>
      <w:r w:rsidRPr="00106694">
        <w:fldChar w:fldCharType="separate"/>
      </w:r>
      <w:r w:rsidRPr="00106694" w:rsidR="00106694">
        <w:rPr>
          <w:noProof/>
        </w:rPr>
        <w:t>27</w:t>
      </w:r>
      <w:r w:rsidRPr="00106694">
        <w:fldChar w:fldCharType="end"/>
      </w:r>
      <w:r w:rsidRPr="00106694">
        <w:t>.  La Cour renvoie également à l</w:t>
      </w:r>
      <w:r w:rsidRPr="00106694" w:rsidR="00106694">
        <w:t>’</w:t>
      </w:r>
      <w:r w:rsidRPr="00106694">
        <w:t xml:space="preserve">affaire </w:t>
      </w:r>
      <w:r w:rsidRPr="00106694">
        <w:rPr>
          <w:i/>
          <w:iCs/>
        </w:rPr>
        <w:t xml:space="preserve">Chorniy </w:t>
      </w:r>
      <w:r w:rsidRPr="00106694">
        <w:t>précitée, dans laquelle le dispositif de l</w:t>
      </w:r>
      <w:r w:rsidRPr="00106694" w:rsidR="00106694">
        <w:t>’</w:t>
      </w:r>
      <w:r w:rsidRPr="00106694">
        <w:t>arrêt d</w:t>
      </w:r>
      <w:r w:rsidRPr="00106694" w:rsidR="00106694">
        <w:t>’</w:t>
      </w:r>
      <w:r w:rsidRPr="00106694">
        <w:t>appel confirmant la condamnation du requérant avait été lu à l</w:t>
      </w:r>
      <w:r w:rsidRPr="00106694" w:rsidR="00106694">
        <w:t>’</w:t>
      </w:r>
      <w:r w:rsidRPr="00106694">
        <w:t>audience mais l</w:t>
      </w:r>
      <w:r w:rsidRPr="00106694" w:rsidR="00106694">
        <w:t>’</w:t>
      </w:r>
      <w:r w:rsidRPr="00106694">
        <w:t>intéressé n</w:t>
      </w:r>
      <w:r w:rsidRPr="00106694" w:rsidR="00106694">
        <w:t>’</w:t>
      </w:r>
      <w:r w:rsidRPr="00106694">
        <w:t>avait pas reçu copie de l</w:t>
      </w:r>
      <w:r w:rsidRPr="00106694" w:rsidR="00106694">
        <w:t>’</w:t>
      </w:r>
      <w:r w:rsidRPr="00106694">
        <w:t>arrêt. Il avait donc dû se pourvoir en cassation contre cet arrêt sans avoir pu en connaître les motifs.</w:t>
      </w:r>
    </w:p>
    <w:p w:rsidRPr="00106694" w:rsidR="00D062AC" w:rsidP="00106694" w:rsidRDefault="00D062AC" w14:paraId="2900A985" w14:textId="0A010514">
      <w:pPr>
        <w:pStyle w:val="JuPara"/>
        <w:rPr>
          <w:szCs w:val="22"/>
        </w:rPr>
      </w:pPr>
      <w:r w:rsidRPr="00106694">
        <w:fldChar w:fldCharType="begin"/>
      </w:r>
      <w:r w:rsidRPr="00106694">
        <w:instrText xml:space="preserve"> SEQ level0 \*arabic </w:instrText>
      </w:r>
      <w:r w:rsidRPr="00106694">
        <w:fldChar w:fldCharType="separate"/>
      </w:r>
      <w:r w:rsidRPr="00106694" w:rsidR="00106694">
        <w:rPr>
          <w:noProof/>
        </w:rPr>
        <w:t>28</w:t>
      </w:r>
      <w:r w:rsidRPr="00106694">
        <w:fldChar w:fldCharType="end"/>
      </w:r>
      <w:r w:rsidRPr="00106694">
        <w:t>.  Outre les principes résumés au paragraphe 25 ci-dessus, la Cour a rappelé que les garanties de l</w:t>
      </w:r>
      <w:r w:rsidRPr="00106694" w:rsidR="00106694">
        <w:t>’</w:t>
      </w:r>
      <w:r w:rsidRPr="00106694">
        <w:t>article 6 § 3 b) de la Convention valaient pour toutes les étapes de la procédure judiciaire, et comprenaient la possibilité pour l</w:t>
      </w:r>
      <w:r w:rsidRPr="00106694" w:rsidR="00106694">
        <w:t>’</w:t>
      </w:r>
      <w:r w:rsidRPr="00106694">
        <w:t>accusé d</w:t>
      </w:r>
      <w:r w:rsidRPr="00106694" w:rsidR="00106694">
        <w:t>’</w:t>
      </w:r>
      <w:r w:rsidRPr="00106694">
        <w:t>organiser sa défense de manière appropriée et sans restriction quant à la capacité de présenter tous les arguments de défense pertinents devant les juridictions de jugement et de peser ainsi sur l</w:t>
      </w:r>
      <w:r w:rsidRPr="00106694" w:rsidR="00106694">
        <w:t>’</w:t>
      </w:r>
      <w:r w:rsidRPr="00106694">
        <w:t>issue de la procédure (voir les paragraphes 37-39 de l</w:t>
      </w:r>
      <w:r w:rsidRPr="00106694" w:rsidR="00106694">
        <w:t>’</w:t>
      </w:r>
      <w:r w:rsidRPr="00106694">
        <w:t xml:space="preserve">arrêt). </w:t>
      </w:r>
      <w:r w:rsidRPr="00106694">
        <w:rPr>
          <w:szCs w:val="22"/>
        </w:rPr>
        <w:t>Elle a ensuite souligné que le fait de ne pas pouvoir prendre connaissance des motifs du jugement pouvait affecter considérablement l</w:t>
      </w:r>
      <w:r w:rsidRPr="00106694" w:rsidR="00106694">
        <w:rPr>
          <w:szCs w:val="22"/>
        </w:rPr>
        <w:t>’</w:t>
      </w:r>
      <w:r w:rsidRPr="00106694">
        <w:rPr>
          <w:szCs w:val="22"/>
        </w:rPr>
        <w:t>effectivité de l</w:t>
      </w:r>
      <w:r w:rsidRPr="00106694" w:rsidR="00106694">
        <w:rPr>
          <w:szCs w:val="22"/>
        </w:rPr>
        <w:t>’</w:t>
      </w:r>
      <w:r w:rsidRPr="00106694">
        <w:rPr>
          <w:szCs w:val="22"/>
        </w:rPr>
        <w:t>appel (voir le paragraphe</w:t>
      </w:r>
      <w:r w:rsidRPr="00106694" w:rsidR="00757FFA">
        <w:rPr>
          <w:szCs w:val="22"/>
        </w:rPr>
        <w:t> </w:t>
      </w:r>
      <w:r w:rsidRPr="00106694">
        <w:rPr>
          <w:szCs w:val="22"/>
        </w:rPr>
        <w:t>42 de l</w:t>
      </w:r>
      <w:r w:rsidRPr="00106694" w:rsidR="00106694">
        <w:rPr>
          <w:szCs w:val="22"/>
        </w:rPr>
        <w:t>’</w:t>
      </w:r>
      <w:r w:rsidRPr="00106694">
        <w:rPr>
          <w:szCs w:val="22"/>
        </w:rPr>
        <w:t>arrêt). Notant que, malgré ses demandes, le requérant n</w:t>
      </w:r>
      <w:r w:rsidRPr="00106694" w:rsidR="00106694">
        <w:rPr>
          <w:szCs w:val="22"/>
        </w:rPr>
        <w:t>’</w:t>
      </w:r>
      <w:r w:rsidRPr="00106694">
        <w:rPr>
          <w:szCs w:val="22"/>
        </w:rPr>
        <w:t>avait pas reçu une copie de l</w:t>
      </w:r>
      <w:r w:rsidRPr="00106694" w:rsidR="00106694">
        <w:rPr>
          <w:szCs w:val="22"/>
        </w:rPr>
        <w:t>’</w:t>
      </w:r>
      <w:r w:rsidRPr="00106694">
        <w:rPr>
          <w:szCs w:val="22"/>
        </w:rPr>
        <w:t>arrêt d</w:t>
      </w:r>
      <w:r w:rsidRPr="00106694" w:rsidR="00106694">
        <w:rPr>
          <w:szCs w:val="22"/>
        </w:rPr>
        <w:t>’</w:t>
      </w:r>
      <w:r w:rsidRPr="00106694">
        <w:rPr>
          <w:szCs w:val="22"/>
        </w:rPr>
        <w:t>appel lorsqu</w:t>
      </w:r>
      <w:r w:rsidRPr="00106694" w:rsidR="00106694">
        <w:rPr>
          <w:szCs w:val="22"/>
        </w:rPr>
        <w:t>’</w:t>
      </w:r>
      <w:r w:rsidRPr="00106694">
        <w:rPr>
          <w:szCs w:val="22"/>
        </w:rPr>
        <w:t>il préparait son pourvoi, la Cour a jugé que ses droits de la défense avaient été à ce point restreints qu</w:t>
      </w:r>
      <w:r w:rsidRPr="00106694" w:rsidR="00106694">
        <w:rPr>
          <w:szCs w:val="22"/>
        </w:rPr>
        <w:t>’</w:t>
      </w:r>
      <w:r w:rsidRPr="00106694">
        <w:rPr>
          <w:szCs w:val="22"/>
        </w:rPr>
        <w:t>il n</w:t>
      </w:r>
      <w:r w:rsidRPr="00106694" w:rsidR="00106694">
        <w:rPr>
          <w:szCs w:val="22"/>
        </w:rPr>
        <w:t>’</w:t>
      </w:r>
      <w:r w:rsidRPr="00106694">
        <w:rPr>
          <w:szCs w:val="22"/>
        </w:rPr>
        <w:t>avait pas bénéficié d</w:t>
      </w:r>
      <w:r w:rsidRPr="00106694" w:rsidR="00106694">
        <w:rPr>
          <w:szCs w:val="22"/>
        </w:rPr>
        <w:t>’</w:t>
      </w:r>
      <w:r w:rsidRPr="00106694">
        <w:rPr>
          <w:szCs w:val="22"/>
        </w:rPr>
        <w:t>un procès équitable, et a conclu à une violation de l</w:t>
      </w:r>
      <w:r w:rsidRPr="00106694" w:rsidR="00106694">
        <w:rPr>
          <w:szCs w:val="22"/>
        </w:rPr>
        <w:t>’</w:t>
      </w:r>
      <w:r w:rsidRPr="00106694">
        <w:t>article 6 §§ 1 et 3 b) de la Convention</w:t>
      </w:r>
      <w:r w:rsidRPr="00106694">
        <w:rPr>
          <w:szCs w:val="22"/>
        </w:rPr>
        <w:t>.</w:t>
      </w:r>
    </w:p>
    <w:p w:rsidRPr="00106694" w:rsidR="00D062AC" w:rsidP="00106694" w:rsidRDefault="00D062AC" w14:paraId="19742344" w14:textId="78F383FF">
      <w:pPr>
        <w:pStyle w:val="JuPara"/>
      </w:pPr>
      <w:r w:rsidRPr="00106694">
        <w:fldChar w:fldCharType="begin"/>
      </w:r>
      <w:r w:rsidRPr="00106694">
        <w:instrText xml:space="preserve"> SEQ level0 \*arabic </w:instrText>
      </w:r>
      <w:r w:rsidRPr="00106694">
        <w:fldChar w:fldCharType="separate"/>
      </w:r>
      <w:r w:rsidRPr="00106694" w:rsidR="00106694">
        <w:rPr>
          <w:noProof/>
        </w:rPr>
        <w:t>29</w:t>
      </w:r>
      <w:r w:rsidRPr="00106694">
        <w:fldChar w:fldCharType="end"/>
      </w:r>
      <w:r w:rsidRPr="00106694">
        <w:t>.  Il ressort de ces arrêts que l</w:t>
      </w:r>
      <w:r w:rsidRPr="00106694" w:rsidR="00106694">
        <w:t>’</w:t>
      </w:r>
      <w:r w:rsidRPr="00106694">
        <w:t>article 6 §§ 1 et 3 b) de la Convention requiert que les motifs d</w:t>
      </w:r>
      <w:r w:rsidRPr="00106694" w:rsidR="00106694">
        <w:t>’</w:t>
      </w:r>
      <w:r w:rsidRPr="00106694">
        <w:t>un jugement de première instance ou d</w:t>
      </w:r>
      <w:r w:rsidRPr="00106694" w:rsidR="00106694">
        <w:t>’</w:t>
      </w:r>
      <w:r w:rsidRPr="00106694">
        <w:t>un arrêt d</w:t>
      </w:r>
      <w:r w:rsidRPr="00106694" w:rsidR="00106694">
        <w:t>’</w:t>
      </w:r>
      <w:r w:rsidRPr="00106694">
        <w:t>appel condamnant pénalement une personne soient communiqués en temps utile à cette dernière afin qu</w:t>
      </w:r>
      <w:r w:rsidRPr="00106694" w:rsidR="00106694">
        <w:t>’</w:t>
      </w:r>
      <w:r w:rsidRPr="00106694">
        <w:t>elle soit en mesure d</w:t>
      </w:r>
      <w:r w:rsidRPr="00106694" w:rsidR="00106694">
        <w:t>’</w:t>
      </w:r>
      <w:r w:rsidRPr="00106694">
        <w:t>interjeter appel ou de se pourvoir en cassation en connaissance de cause. Cette communication doit en principe intervenir avant l</w:t>
      </w:r>
      <w:r w:rsidRPr="00106694" w:rsidR="00106694">
        <w:t>’</w:t>
      </w:r>
      <w:r w:rsidRPr="00106694">
        <w:t>expiration du délai dont dispose l</w:t>
      </w:r>
      <w:r w:rsidRPr="00106694" w:rsidR="00106694">
        <w:t>’</w:t>
      </w:r>
      <w:r w:rsidRPr="00106694">
        <w:t>intéressé pour interjeter appel ou se pourvoir en cassation. Cela n</w:t>
      </w:r>
      <w:r w:rsidRPr="00106694" w:rsidR="00106694">
        <w:t>’</w:t>
      </w:r>
      <w:r w:rsidRPr="00106694">
        <w:t>exclut toutefois pas qu</w:t>
      </w:r>
      <w:r w:rsidRPr="00106694" w:rsidR="00106694">
        <w:t>’</w:t>
      </w:r>
      <w:r w:rsidRPr="00106694">
        <w:t>une communication ultérieure des motifs à la personne condamnée puisse dans certaines circonstances être acceptable au regard de cette disposition, pour autant du moins qu</w:t>
      </w:r>
      <w:r w:rsidRPr="00106694" w:rsidR="00106694">
        <w:t>’</w:t>
      </w:r>
      <w:r w:rsidRPr="00106694">
        <w:t>elle intervienne avant que le juge d</w:t>
      </w:r>
      <w:r w:rsidRPr="00106694" w:rsidR="00106694">
        <w:t>’</w:t>
      </w:r>
      <w:r w:rsidRPr="00106694">
        <w:t>appel ou de cassation ait statué, et assez tôt dans la procédure pour que l</w:t>
      </w:r>
      <w:r w:rsidRPr="00106694" w:rsidR="00106694">
        <w:t>’</w:t>
      </w:r>
      <w:r w:rsidRPr="00106694">
        <w:t>intéressé dispose du temps nécessaire à l</w:t>
      </w:r>
      <w:r w:rsidRPr="00106694" w:rsidR="00106694">
        <w:t>’</w:t>
      </w:r>
      <w:r w:rsidRPr="00106694">
        <w:t>organisation de sa défense.</w:t>
      </w:r>
    </w:p>
    <w:p w:rsidRPr="00106694" w:rsidR="00D062AC" w:rsidP="00106694" w:rsidRDefault="00D062AC" w14:paraId="1779BA47" w14:textId="19645668">
      <w:pPr>
        <w:pStyle w:val="JuPara"/>
      </w:pPr>
      <w:r w:rsidRPr="00106694">
        <w:fldChar w:fldCharType="begin"/>
      </w:r>
      <w:r w:rsidRPr="00106694">
        <w:instrText xml:space="preserve"> SEQ level0 \*arabic </w:instrText>
      </w:r>
      <w:r w:rsidRPr="00106694">
        <w:fldChar w:fldCharType="separate"/>
      </w:r>
      <w:r w:rsidRPr="00106694" w:rsidR="00106694">
        <w:rPr>
          <w:noProof/>
        </w:rPr>
        <w:t>30</w:t>
      </w:r>
      <w:r w:rsidRPr="00106694">
        <w:fldChar w:fldCharType="end"/>
      </w:r>
      <w:r w:rsidRPr="00106694">
        <w:t>.  En l</w:t>
      </w:r>
      <w:r w:rsidRPr="00106694" w:rsidR="00106694">
        <w:t>’</w:t>
      </w:r>
      <w:r w:rsidRPr="00106694">
        <w:t>espèce, la situation du requérant diffère de celle du requérant dans l</w:t>
      </w:r>
      <w:r w:rsidRPr="00106694" w:rsidR="00106694">
        <w:t>’</w:t>
      </w:r>
      <w:r w:rsidRPr="00106694">
        <w:t xml:space="preserve">affaire </w:t>
      </w:r>
      <w:r w:rsidRPr="00106694">
        <w:rPr>
          <w:i/>
          <w:iCs/>
        </w:rPr>
        <w:t>Baucher</w:t>
      </w:r>
      <w:r w:rsidRPr="00106694">
        <w:t xml:space="preserve"> dans la mesure où il n</w:t>
      </w:r>
      <w:r w:rsidRPr="00106694" w:rsidR="00106694">
        <w:t>’</w:t>
      </w:r>
      <w:r w:rsidRPr="00106694">
        <w:t>a pas renoncé à interjeter appel du jugement correctionnel le condamnant. Sur le plan formel, il ne s</w:t>
      </w:r>
      <w:r w:rsidRPr="00106694" w:rsidR="00106694">
        <w:t>’</w:t>
      </w:r>
      <w:r w:rsidRPr="00106694">
        <w:t>est donc pas trouvé privé de l</w:t>
      </w:r>
      <w:r w:rsidRPr="00106694" w:rsidR="00106694">
        <w:t>’</w:t>
      </w:r>
      <w:r w:rsidRPr="00106694">
        <w:t>exercice de son droit d</w:t>
      </w:r>
      <w:r w:rsidRPr="00106694" w:rsidR="00106694">
        <w:t>’</w:t>
      </w:r>
      <w:r w:rsidRPr="00106694">
        <w:t>appel.</w:t>
      </w:r>
    </w:p>
    <w:p w:rsidRPr="00106694" w:rsidR="00D062AC" w:rsidP="00106694" w:rsidRDefault="00D062AC" w14:paraId="33EBEFB7" w14:textId="4E36031B">
      <w:pPr>
        <w:pStyle w:val="JuPara"/>
        <w:rPr>
          <w:szCs w:val="22"/>
        </w:rPr>
      </w:pPr>
      <w:r w:rsidRPr="00106694">
        <w:fldChar w:fldCharType="begin"/>
      </w:r>
      <w:r w:rsidRPr="00106694">
        <w:instrText xml:space="preserve"> SEQ level0 \*arabic </w:instrText>
      </w:r>
      <w:r w:rsidRPr="00106694">
        <w:fldChar w:fldCharType="separate"/>
      </w:r>
      <w:r w:rsidRPr="00106694" w:rsidR="00106694">
        <w:rPr>
          <w:noProof/>
        </w:rPr>
        <w:t>31</w:t>
      </w:r>
      <w:r w:rsidRPr="00106694">
        <w:fldChar w:fldCharType="end"/>
      </w:r>
      <w:r w:rsidRPr="00106694">
        <w:t>.  Il n</w:t>
      </w:r>
      <w:r w:rsidRPr="00106694" w:rsidR="00106694">
        <w:t>’</w:t>
      </w:r>
      <w:r w:rsidRPr="00106694">
        <w:t xml:space="preserve">en reste pas moins que, condamné en première instance </w:t>
      </w:r>
      <w:r w:rsidRPr="00106694">
        <w:rPr>
          <w:szCs w:val="22"/>
        </w:rPr>
        <w:t>notamment, à une peine de trois ans d</w:t>
      </w:r>
      <w:r w:rsidRPr="00106694" w:rsidR="00106694">
        <w:rPr>
          <w:szCs w:val="22"/>
        </w:rPr>
        <w:t>’</w:t>
      </w:r>
      <w:r w:rsidRPr="00106694">
        <w:rPr>
          <w:szCs w:val="22"/>
        </w:rPr>
        <w:t>emprisonnement</w:t>
      </w:r>
      <w:r w:rsidRPr="00106694">
        <w:t xml:space="preserve">, le requérant se trouvait confronté au choix suivant : soit </w:t>
      </w:r>
      <w:r w:rsidRPr="00106694">
        <w:rPr>
          <w:szCs w:val="22"/>
        </w:rPr>
        <w:t>interjeter appel, en prenant le risque d</w:t>
      </w:r>
      <w:r w:rsidRPr="00106694" w:rsidR="00106694">
        <w:rPr>
          <w:szCs w:val="22"/>
        </w:rPr>
        <w:t>’</w:t>
      </w:r>
      <w:r w:rsidRPr="00106694">
        <w:rPr>
          <w:szCs w:val="22"/>
        </w:rPr>
        <w:t>un appel incident du ministère public, susceptible de conduire à l</w:t>
      </w:r>
      <w:r w:rsidRPr="00106694" w:rsidR="00106694">
        <w:rPr>
          <w:szCs w:val="22"/>
        </w:rPr>
        <w:t>’</w:t>
      </w:r>
      <w:r w:rsidRPr="00106694">
        <w:rPr>
          <w:szCs w:val="22"/>
        </w:rPr>
        <w:t>aggravation de son sort ; soit ne pas interjeter appel au vu de ce risque, et renoncer en conséquence à la possibilité d</w:t>
      </w:r>
      <w:r w:rsidRPr="00106694" w:rsidR="00106694">
        <w:rPr>
          <w:szCs w:val="22"/>
        </w:rPr>
        <w:t>’</w:t>
      </w:r>
      <w:r w:rsidRPr="00106694">
        <w:rPr>
          <w:szCs w:val="22"/>
        </w:rPr>
        <w:t>une relaxe ou d</w:t>
      </w:r>
      <w:r w:rsidRPr="00106694" w:rsidR="00106694">
        <w:rPr>
          <w:szCs w:val="22"/>
        </w:rPr>
        <w:t>’</w:t>
      </w:r>
      <w:r w:rsidRPr="00106694">
        <w:rPr>
          <w:szCs w:val="22"/>
        </w:rPr>
        <w:t>une atténuation de son sort. Dans cette opération complexe de mise en balance, l</w:t>
      </w:r>
      <w:r w:rsidRPr="00106694" w:rsidR="00106694">
        <w:rPr>
          <w:szCs w:val="22"/>
        </w:rPr>
        <w:t>’</w:t>
      </w:r>
      <w:r w:rsidRPr="00106694">
        <w:rPr>
          <w:szCs w:val="22"/>
        </w:rPr>
        <w:t>évaluation des chances de succès d</w:t>
      </w:r>
      <w:r w:rsidRPr="00106694" w:rsidR="00106694">
        <w:rPr>
          <w:szCs w:val="22"/>
        </w:rPr>
        <w:t>’</w:t>
      </w:r>
      <w:r w:rsidRPr="00106694">
        <w:rPr>
          <w:szCs w:val="22"/>
        </w:rPr>
        <w:t>un appel joue un rôle essentiel. Or une telle évaluation ne peut se faire utilement sans la connaissance de l</w:t>
      </w:r>
      <w:r w:rsidRPr="00106694" w:rsidR="00106694">
        <w:rPr>
          <w:szCs w:val="22"/>
        </w:rPr>
        <w:t>’</w:t>
      </w:r>
      <w:r w:rsidRPr="00106694">
        <w:rPr>
          <w:szCs w:val="22"/>
        </w:rPr>
        <w:t>intégralité des motifs de la décision ayant prononcé la condamnation.</w:t>
      </w:r>
    </w:p>
    <w:p w:rsidRPr="00106694" w:rsidR="00D062AC" w:rsidP="00106694" w:rsidRDefault="00D062AC" w14:paraId="7D58029D" w14:textId="4871E243">
      <w:pPr>
        <w:pStyle w:val="JuPara"/>
        <w:rPr>
          <w:szCs w:val="22"/>
        </w:rPr>
      </w:pPr>
      <w:r w:rsidRPr="00106694">
        <w:fldChar w:fldCharType="begin"/>
      </w:r>
      <w:r w:rsidRPr="00106694">
        <w:instrText xml:space="preserve"> SEQ level0 \*arabic </w:instrText>
      </w:r>
      <w:r w:rsidRPr="00106694">
        <w:fldChar w:fldCharType="separate"/>
      </w:r>
      <w:r w:rsidRPr="00106694" w:rsidR="00106694">
        <w:rPr>
          <w:noProof/>
        </w:rPr>
        <w:t>32</w:t>
      </w:r>
      <w:r w:rsidRPr="00106694">
        <w:fldChar w:fldCharType="end"/>
      </w:r>
      <w:r w:rsidRPr="00106694">
        <w:t xml:space="preserve">.  La Cour </w:t>
      </w:r>
      <w:r w:rsidRPr="00106694">
        <w:rPr>
          <w:szCs w:val="22"/>
        </w:rPr>
        <w:t>relève ensuite que le droit français a évolué postérieurement aux faits de l</w:t>
      </w:r>
      <w:r w:rsidRPr="00106694" w:rsidR="00106694">
        <w:rPr>
          <w:szCs w:val="22"/>
        </w:rPr>
        <w:t>’</w:t>
      </w:r>
      <w:r w:rsidRPr="00106694">
        <w:rPr>
          <w:szCs w:val="22"/>
        </w:rPr>
        <w:t xml:space="preserve">affaire </w:t>
      </w:r>
      <w:r w:rsidRPr="00106694">
        <w:rPr>
          <w:i/>
          <w:szCs w:val="22"/>
        </w:rPr>
        <w:t>Baucher</w:t>
      </w:r>
      <w:r w:rsidRPr="00106694">
        <w:rPr>
          <w:szCs w:val="22"/>
        </w:rPr>
        <w:t>. Dans sa version applicable en l</w:t>
      </w:r>
      <w:r w:rsidRPr="00106694" w:rsidR="00106694">
        <w:rPr>
          <w:szCs w:val="22"/>
        </w:rPr>
        <w:t>’</w:t>
      </w:r>
      <w:r w:rsidRPr="00106694">
        <w:rPr>
          <w:szCs w:val="22"/>
        </w:rPr>
        <w:t>espèce, issue de la loi n</w:t>
      </w:r>
      <w:r w:rsidRPr="00106694">
        <w:rPr>
          <w:szCs w:val="22"/>
          <w:vertAlign w:val="superscript"/>
        </w:rPr>
        <w:t>o</w:t>
      </w:r>
      <w:r w:rsidRPr="00106694">
        <w:rPr>
          <w:szCs w:val="22"/>
        </w:rPr>
        <w:t xml:space="preserve"> 2004-204 du 9 mars 2004 (paragraphe 17 ci</w:t>
      </w:r>
      <w:r w:rsidRPr="00106694">
        <w:noBreakHyphen/>
      </w:r>
      <w:r w:rsidRPr="00106694">
        <w:rPr>
          <w:szCs w:val="22"/>
        </w:rPr>
        <w:t>dessus), l</w:t>
      </w:r>
      <w:r w:rsidRPr="00106694" w:rsidR="00106694">
        <w:rPr>
          <w:szCs w:val="22"/>
        </w:rPr>
        <w:t>’</w:t>
      </w:r>
      <w:r w:rsidRPr="00106694">
        <w:rPr>
          <w:szCs w:val="22"/>
        </w:rPr>
        <w:t>article</w:t>
      </w:r>
      <w:r w:rsidRPr="00106694" w:rsidR="00757FFA">
        <w:rPr>
          <w:szCs w:val="22"/>
        </w:rPr>
        <w:t> </w:t>
      </w:r>
      <w:r w:rsidRPr="00106694">
        <w:rPr>
          <w:szCs w:val="22"/>
        </w:rPr>
        <w:t>500-1 du code de procédure pénale prévoyait ainsi la caducité des appels incidents en cas de désistement par le prévenu de son appel principal intervenant dans un délai d</w:t>
      </w:r>
      <w:r w:rsidRPr="00106694" w:rsidR="00106694">
        <w:rPr>
          <w:szCs w:val="22"/>
        </w:rPr>
        <w:t>’</w:t>
      </w:r>
      <w:r w:rsidRPr="00106694">
        <w:rPr>
          <w:szCs w:val="22"/>
        </w:rPr>
        <w:t>un mois. Toutefois, sans qu</w:t>
      </w:r>
      <w:r w:rsidRPr="00106694" w:rsidR="00106694">
        <w:rPr>
          <w:szCs w:val="22"/>
        </w:rPr>
        <w:t>’</w:t>
      </w:r>
      <w:r w:rsidRPr="00106694">
        <w:rPr>
          <w:szCs w:val="22"/>
        </w:rPr>
        <w:t>il soit besoin de rechercher si un tel mécanisme suffit à préserver les droits du prévenu au regard de la jurisprudence précitée, la Cour considère qu</w:t>
      </w:r>
      <w:r w:rsidRPr="00106694" w:rsidR="00106694">
        <w:rPr>
          <w:szCs w:val="22"/>
        </w:rPr>
        <w:t>’</w:t>
      </w:r>
      <w:r w:rsidRPr="00106694">
        <w:rPr>
          <w:szCs w:val="22"/>
        </w:rPr>
        <w:t>une personne qui n</w:t>
      </w:r>
      <w:r w:rsidRPr="00106694" w:rsidR="00106694">
        <w:rPr>
          <w:szCs w:val="22"/>
        </w:rPr>
        <w:t>’</w:t>
      </w:r>
      <w:r w:rsidRPr="00106694">
        <w:rPr>
          <w:szCs w:val="22"/>
        </w:rPr>
        <w:t>a pas connaissance de l</w:t>
      </w:r>
      <w:r w:rsidRPr="00106694" w:rsidR="00106694">
        <w:rPr>
          <w:szCs w:val="22"/>
        </w:rPr>
        <w:t>’</w:t>
      </w:r>
      <w:r w:rsidRPr="00106694">
        <w:rPr>
          <w:szCs w:val="22"/>
        </w:rPr>
        <w:t>intégralité des motifs du jugement le condamnant n</w:t>
      </w:r>
      <w:r w:rsidRPr="00106694" w:rsidR="00106694">
        <w:rPr>
          <w:szCs w:val="22"/>
        </w:rPr>
        <w:t>’</w:t>
      </w:r>
      <w:r w:rsidRPr="00106694">
        <w:rPr>
          <w:szCs w:val="22"/>
        </w:rPr>
        <w:t>est pas plus en mesure d</w:t>
      </w:r>
      <w:r w:rsidRPr="00106694" w:rsidR="00106694">
        <w:rPr>
          <w:szCs w:val="22"/>
        </w:rPr>
        <w:t>’</w:t>
      </w:r>
      <w:r w:rsidRPr="00106694">
        <w:rPr>
          <w:szCs w:val="22"/>
        </w:rPr>
        <w:t>évaluer correctement l</w:t>
      </w:r>
      <w:r w:rsidRPr="00106694" w:rsidR="00106694">
        <w:rPr>
          <w:szCs w:val="22"/>
        </w:rPr>
        <w:t>’</w:t>
      </w:r>
      <w:r w:rsidRPr="00106694">
        <w:rPr>
          <w:szCs w:val="22"/>
        </w:rPr>
        <w:t>intérêt qu</w:t>
      </w:r>
      <w:r w:rsidRPr="00106694" w:rsidR="00106694">
        <w:rPr>
          <w:szCs w:val="22"/>
        </w:rPr>
        <w:t>’</w:t>
      </w:r>
      <w:r w:rsidRPr="00106694">
        <w:rPr>
          <w:szCs w:val="22"/>
        </w:rPr>
        <w:t>il pourrait trouver à se désister de son appel pendant que l</w:t>
      </w:r>
      <w:r w:rsidRPr="00106694" w:rsidR="00106694">
        <w:rPr>
          <w:szCs w:val="22"/>
        </w:rPr>
        <w:t>’</w:t>
      </w:r>
      <w:r w:rsidRPr="00106694">
        <w:rPr>
          <w:szCs w:val="22"/>
        </w:rPr>
        <w:t>intérêt qu</w:t>
      </w:r>
      <w:r w:rsidRPr="00106694" w:rsidR="00106694">
        <w:rPr>
          <w:szCs w:val="22"/>
        </w:rPr>
        <w:t>’</w:t>
      </w:r>
      <w:r w:rsidRPr="00106694">
        <w:rPr>
          <w:szCs w:val="22"/>
        </w:rPr>
        <w:t>il pourrait avoir à interjeter appel. Or en l</w:t>
      </w:r>
      <w:r w:rsidRPr="00106694" w:rsidR="00106694">
        <w:rPr>
          <w:szCs w:val="22"/>
        </w:rPr>
        <w:t>’</w:t>
      </w:r>
      <w:r w:rsidRPr="00106694">
        <w:rPr>
          <w:szCs w:val="22"/>
        </w:rPr>
        <w:t>espèce, le requérant n</w:t>
      </w:r>
      <w:r w:rsidRPr="00106694" w:rsidR="00106694">
        <w:rPr>
          <w:szCs w:val="22"/>
        </w:rPr>
        <w:t>’</w:t>
      </w:r>
      <w:r w:rsidRPr="00106694">
        <w:rPr>
          <w:szCs w:val="22"/>
        </w:rPr>
        <w:t>a pris connaissance de l</w:t>
      </w:r>
      <w:r w:rsidRPr="00106694" w:rsidR="00106694">
        <w:rPr>
          <w:szCs w:val="22"/>
        </w:rPr>
        <w:t>’</w:t>
      </w:r>
      <w:r w:rsidRPr="00106694">
        <w:rPr>
          <w:szCs w:val="22"/>
        </w:rPr>
        <w:t>intégralité des motifs du jugement de première instance que le 11 octobre 2013, soit plus d</w:t>
      </w:r>
      <w:r w:rsidRPr="00106694" w:rsidR="00106694">
        <w:rPr>
          <w:szCs w:val="22"/>
        </w:rPr>
        <w:t>’</w:t>
      </w:r>
      <w:r w:rsidRPr="00106694">
        <w:rPr>
          <w:szCs w:val="22"/>
        </w:rPr>
        <w:t>un mois après son appel. Si, au vu de ces motifs, il avait finalement estimé préférable de se désister de son appel, ce désistement serait intervenu trop tard pour entraîner la caducité de l</w:t>
      </w:r>
      <w:r w:rsidRPr="00106694" w:rsidR="00106694">
        <w:rPr>
          <w:szCs w:val="22"/>
        </w:rPr>
        <w:t>’</w:t>
      </w:r>
      <w:r w:rsidRPr="00106694">
        <w:rPr>
          <w:szCs w:val="22"/>
        </w:rPr>
        <w:t>appel incident du ministère public et éviter ainsi le risque d</w:t>
      </w:r>
      <w:r w:rsidRPr="00106694" w:rsidR="00106694">
        <w:rPr>
          <w:szCs w:val="22"/>
        </w:rPr>
        <w:t>’</w:t>
      </w:r>
      <w:r w:rsidRPr="00106694">
        <w:rPr>
          <w:szCs w:val="22"/>
        </w:rPr>
        <w:t>une aggravation de son sort.</w:t>
      </w:r>
    </w:p>
    <w:p w:rsidRPr="00106694" w:rsidR="00D062AC" w:rsidP="00106694" w:rsidRDefault="00D062AC" w14:paraId="346937A6" w14:textId="07F6636B">
      <w:pPr>
        <w:pStyle w:val="JuPara"/>
        <w:rPr>
          <w:szCs w:val="22"/>
        </w:rPr>
      </w:pPr>
      <w:r w:rsidRPr="00106694">
        <w:fldChar w:fldCharType="begin"/>
      </w:r>
      <w:r w:rsidRPr="00106694">
        <w:instrText xml:space="preserve"> SEQ level0 \*arabic </w:instrText>
      </w:r>
      <w:r w:rsidRPr="00106694">
        <w:fldChar w:fldCharType="separate"/>
      </w:r>
      <w:r w:rsidRPr="00106694" w:rsidR="00106694">
        <w:rPr>
          <w:noProof/>
        </w:rPr>
        <w:t>33</w:t>
      </w:r>
      <w:r w:rsidRPr="00106694">
        <w:fldChar w:fldCharType="end"/>
      </w:r>
      <w:r w:rsidRPr="00106694">
        <w:t>.  Sur ce dernier point, la Cour note que si l</w:t>
      </w:r>
      <w:r w:rsidRPr="00106694" w:rsidR="00106694">
        <w:t>’</w:t>
      </w:r>
      <w:r w:rsidRPr="00106694">
        <w:t>arrêt de la cour d</w:t>
      </w:r>
      <w:r w:rsidRPr="00106694" w:rsidR="00106694">
        <w:t>’</w:t>
      </w:r>
      <w:r w:rsidRPr="00106694">
        <w:t>appel de Chambéry du 12 mars 2014 a atténué la peine infligée au requérant en raison de son âge avancé et de sa santé déficiente, il l</w:t>
      </w:r>
      <w:r w:rsidRPr="00106694" w:rsidR="00106694">
        <w:t>’</w:t>
      </w:r>
      <w:r w:rsidRPr="00106694">
        <w:t xml:space="preserve">a </w:t>
      </w:r>
      <w:r w:rsidRPr="00106694">
        <w:rPr>
          <w:szCs w:val="22"/>
        </w:rPr>
        <w:t>reconnu coupable de faits pour lesquels il avait été relaxé en première instance, ce qui, d</w:t>
      </w:r>
      <w:r w:rsidRPr="00106694" w:rsidR="00106694">
        <w:rPr>
          <w:szCs w:val="22"/>
        </w:rPr>
        <w:t>’</w:t>
      </w:r>
      <w:r w:rsidRPr="00106694">
        <w:rPr>
          <w:szCs w:val="22"/>
        </w:rPr>
        <w:t>après l</w:t>
      </w:r>
      <w:r w:rsidRPr="00106694" w:rsidR="00106694">
        <w:rPr>
          <w:szCs w:val="22"/>
        </w:rPr>
        <w:t>’</w:t>
      </w:r>
      <w:r w:rsidRPr="00106694">
        <w:rPr>
          <w:szCs w:val="22"/>
        </w:rPr>
        <w:t>avocat général devant la Cour de cassation, constituait une aggravation de son sort (paragraphe 15 ci-dessus).</w:t>
      </w:r>
    </w:p>
    <w:p w:rsidRPr="00106694" w:rsidR="00D062AC" w:rsidP="00106694" w:rsidRDefault="00D062AC" w14:paraId="4388A376" w14:textId="2B907AAA">
      <w:pPr>
        <w:pStyle w:val="JuPara"/>
      </w:pPr>
      <w:r w:rsidRPr="00106694">
        <w:fldChar w:fldCharType="begin"/>
      </w:r>
      <w:r w:rsidRPr="00106694">
        <w:instrText xml:space="preserve"> SEQ level0 \*arabic </w:instrText>
      </w:r>
      <w:r w:rsidRPr="00106694">
        <w:fldChar w:fldCharType="separate"/>
      </w:r>
      <w:r w:rsidRPr="00106694" w:rsidR="00106694">
        <w:rPr>
          <w:noProof/>
        </w:rPr>
        <w:t>34</w:t>
      </w:r>
      <w:r w:rsidRPr="00106694">
        <w:fldChar w:fldCharType="end"/>
      </w:r>
      <w:r w:rsidRPr="00106694">
        <w:t>.  La Cour relève en outre que la situation dans laquelle s</w:t>
      </w:r>
      <w:r w:rsidRPr="00106694" w:rsidR="00106694">
        <w:t>’</w:t>
      </w:r>
      <w:r w:rsidRPr="00106694">
        <w:t>est trouvé le requérant n</w:t>
      </w:r>
      <w:r w:rsidRPr="00106694" w:rsidR="00106694">
        <w:t>’</w:t>
      </w:r>
      <w:r w:rsidRPr="00106694">
        <w:t>est pas conforme au droit français qui requiert que les originaux des jugements, contenant les motifs et le dispositif, soient déposés au greffe du tribunal au plus tard dans les trois jours du prononcé du jugement (paragraphe 17 ci-dessus).</w:t>
      </w:r>
    </w:p>
    <w:p w:rsidRPr="00106694" w:rsidR="00D062AC" w:rsidP="00106694" w:rsidRDefault="00D062AC" w14:paraId="6BF3BCA2" w14:textId="73215A6F">
      <w:pPr>
        <w:pStyle w:val="JuPara"/>
      </w:pPr>
      <w:r w:rsidRPr="00106694">
        <w:fldChar w:fldCharType="begin"/>
      </w:r>
      <w:r w:rsidRPr="00106694">
        <w:instrText xml:space="preserve"> SEQ level0 \*arabic </w:instrText>
      </w:r>
      <w:r w:rsidRPr="00106694">
        <w:fldChar w:fldCharType="separate"/>
      </w:r>
      <w:r w:rsidRPr="00106694" w:rsidR="00106694">
        <w:rPr>
          <w:noProof/>
        </w:rPr>
        <w:t>35</w:t>
      </w:r>
      <w:r w:rsidRPr="00106694">
        <w:fldChar w:fldCharType="end"/>
      </w:r>
      <w:r w:rsidRPr="00106694">
        <w:t>.  Elle souligne au surplus qu</w:t>
      </w:r>
      <w:r w:rsidRPr="00106694" w:rsidR="00106694">
        <w:t>’</w:t>
      </w:r>
      <w:r w:rsidRPr="00106694">
        <w:t>il est d</w:t>
      </w:r>
      <w:r w:rsidRPr="00106694" w:rsidR="00106694">
        <w:t>’</w:t>
      </w:r>
      <w:r w:rsidRPr="00106694">
        <w:t>autant plus essentiel que les motifs des décisions des juridictions soient communiqués rapidement aux parties que de l</w:t>
      </w:r>
      <w:r w:rsidRPr="00106694" w:rsidR="00106694">
        <w:t>’</w:t>
      </w:r>
      <w:r w:rsidRPr="00106694">
        <w:t>accès à l</w:t>
      </w:r>
      <w:r w:rsidRPr="00106694" w:rsidR="00106694">
        <w:t>’</w:t>
      </w:r>
      <w:r w:rsidRPr="00106694">
        <w:t>intégralité des motifs de ces décisions dépendent leur compréhension et, éventuellement, leur acceptation. À l</w:t>
      </w:r>
      <w:r w:rsidRPr="00106694" w:rsidR="00106694">
        <w:t>’</w:t>
      </w:r>
      <w:r w:rsidRPr="00106694">
        <w:t>enjeu du respect des droits des justiciables s</w:t>
      </w:r>
      <w:r w:rsidRPr="00106694" w:rsidR="00106694">
        <w:t>’</w:t>
      </w:r>
      <w:r w:rsidRPr="00106694">
        <w:t>ajoute donc celui de l</w:t>
      </w:r>
      <w:r w:rsidRPr="00106694" w:rsidR="00106694">
        <w:t>’</w:t>
      </w:r>
      <w:r w:rsidRPr="00106694">
        <w:t>acceptabilité de la justice.</w:t>
      </w:r>
    </w:p>
    <w:p w:rsidRPr="00106694" w:rsidR="00D062AC" w:rsidP="00106694" w:rsidRDefault="00D062AC" w14:paraId="009879BB" w14:textId="02623586">
      <w:pPr>
        <w:pStyle w:val="JuPara"/>
      </w:pPr>
      <w:r w:rsidRPr="00106694">
        <w:fldChar w:fldCharType="begin"/>
      </w:r>
      <w:r w:rsidRPr="00106694">
        <w:instrText xml:space="preserve"> SEQ level0 \*arabic </w:instrText>
      </w:r>
      <w:r w:rsidRPr="00106694">
        <w:fldChar w:fldCharType="separate"/>
      </w:r>
      <w:r w:rsidRPr="00106694" w:rsidR="00106694">
        <w:rPr>
          <w:noProof/>
        </w:rPr>
        <w:t>36</w:t>
      </w:r>
      <w:r w:rsidRPr="00106694">
        <w:fldChar w:fldCharType="end"/>
      </w:r>
      <w:r w:rsidRPr="00106694">
        <w:t>.  Partant, il y a eu violation de l</w:t>
      </w:r>
      <w:r w:rsidRPr="00106694" w:rsidR="00106694">
        <w:t>’</w:t>
      </w:r>
      <w:r w:rsidRPr="00106694">
        <w:t>article 6 §§ 1 et 3 b) de la Convention.</w:t>
      </w:r>
      <w:bookmarkEnd w:id="6"/>
    </w:p>
    <w:p w:rsidRPr="00106694" w:rsidR="00D062AC" w:rsidP="00106694" w:rsidRDefault="00D062AC" w14:paraId="7482BD8B" w14:textId="1CDEF487">
      <w:pPr>
        <w:pStyle w:val="JuHIRoman"/>
        <w:numPr>
          <w:ilvl w:val="1"/>
          <w:numId w:val="1"/>
        </w:numPr>
      </w:pPr>
      <w:r w:rsidRPr="00106694">
        <w:rPr>
          <w:caps w:val="0"/>
        </w:rPr>
        <w:t>SUR L</w:t>
      </w:r>
      <w:r w:rsidRPr="00106694" w:rsidR="00106694">
        <w:rPr>
          <w:caps w:val="0"/>
        </w:rPr>
        <w:t>’</w:t>
      </w:r>
      <w:r w:rsidRPr="00106694">
        <w:rPr>
          <w:caps w:val="0"/>
        </w:rPr>
        <w:t>APPLICATION DE L</w:t>
      </w:r>
      <w:r w:rsidRPr="00106694" w:rsidR="00106694">
        <w:rPr>
          <w:caps w:val="0"/>
        </w:rPr>
        <w:t>’</w:t>
      </w:r>
      <w:r w:rsidRPr="00106694">
        <w:rPr>
          <w:caps w:val="0"/>
        </w:rPr>
        <w:t>ARTICLE 41 DE LA CONVENTION</w:t>
      </w:r>
    </w:p>
    <w:p w:rsidRPr="00106694" w:rsidR="00D062AC" w:rsidP="00106694" w:rsidRDefault="00D062AC" w14:paraId="56AE69B1" w14:textId="2DDE647C">
      <w:pPr>
        <w:pStyle w:val="JuPara"/>
      </w:pPr>
      <w:r w:rsidRPr="00106694">
        <w:fldChar w:fldCharType="begin"/>
      </w:r>
      <w:r w:rsidRPr="00106694">
        <w:instrText xml:space="preserve"> SEQ level0 \*arabic </w:instrText>
      </w:r>
      <w:r w:rsidRPr="00106694">
        <w:fldChar w:fldCharType="separate"/>
      </w:r>
      <w:r w:rsidRPr="00106694" w:rsidR="00106694">
        <w:rPr>
          <w:noProof/>
        </w:rPr>
        <w:t>37</w:t>
      </w:r>
      <w:r w:rsidRPr="00106694">
        <w:fldChar w:fldCharType="end"/>
      </w:r>
      <w:r w:rsidRPr="00106694">
        <w:t>.  </w:t>
      </w:r>
      <w:bookmarkStart w:name="_Hlk36128236" w:id="8"/>
      <w:r w:rsidRPr="00106694">
        <w:t>Aux termes de l</w:t>
      </w:r>
      <w:r w:rsidRPr="00106694" w:rsidR="00106694">
        <w:t>’</w:t>
      </w:r>
      <w:r w:rsidRPr="00106694">
        <w:t>article 41 de la Convention :</w:t>
      </w:r>
      <w:bookmarkEnd w:id="8"/>
    </w:p>
    <w:p w:rsidRPr="00106694" w:rsidR="00D062AC" w:rsidP="00106694" w:rsidRDefault="00D062AC" w14:paraId="7C199BC4" w14:textId="3743DE4F">
      <w:pPr>
        <w:pStyle w:val="JuQuot"/>
      </w:pPr>
      <w:bookmarkStart w:name="_Hlk36128242" w:id="9"/>
      <w:r w:rsidRPr="00106694">
        <w:t>« Si la Cour déclare qu</w:t>
      </w:r>
      <w:r w:rsidRPr="00106694" w:rsidR="00106694">
        <w:t>’</w:t>
      </w:r>
      <w:r w:rsidRPr="00106694">
        <w:t>il y a eu violation de la Convention ou de ses Protocoles, et si le droit interne de la Haute Partie contractante ne permet d</w:t>
      </w:r>
      <w:r w:rsidRPr="00106694" w:rsidR="00106694">
        <w:t>’</w:t>
      </w:r>
      <w:r w:rsidRPr="00106694">
        <w:t>effacer qu</w:t>
      </w:r>
      <w:r w:rsidRPr="00106694" w:rsidR="00106694">
        <w:t>’</w:t>
      </w:r>
      <w:r w:rsidRPr="00106694">
        <w:t>imparfaitement les conséquences de cette violation, la Cour accorde à la partie lésée, s</w:t>
      </w:r>
      <w:r w:rsidRPr="00106694" w:rsidR="00106694">
        <w:t>’</w:t>
      </w:r>
      <w:r w:rsidRPr="00106694">
        <w:t>il y a lieu, une satisfaction équitable. »</w:t>
      </w:r>
      <w:bookmarkEnd w:id="9"/>
    </w:p>
    <w:p w:rsidRPr="00106694" w:rsidR="00D062AC" w:rsidP="00106694" w:rsidRDefault="00D062AC" w14:paraId="7D79A0B1" w14:textId="77777777">
      <w:pPr>
        <w:pStyle w:val="JuHA"/>
        <w:numPr>
          <w:ilvl w:val="2"/>
          <w:numId w:val="1"/>
        </w:numPr>
      </w:pPr>
      <w:r w:rsidRPr="00106694">
        <w:t>Dommage</w:t>
      </w:r>
    </w:p>
    <w:p w:rsidRPr="00106694" w:rsidR="00D062AC" w:rsidP="00106694" w:rsidRDefault="00D062AC" w14:paraId="3E16951F" w14:textId="7A01A2BD">
      <w:pPr>
        <w:pStyle w:val="JuPara"/>
      </w:pPr>
      <w:r w:rsidRPr="00106694">
        <w:fldChar w:fldCharType="begin"/>
      </w:r>
      <w:r w:rsidRPr="00106694">
        <w:instrText xml:space="preserve"> SEQ level0 \*arabic </w:instrText>
      </w:r>
      <w:r w:rsidRPr="00106694">
        <w:fldChar w:fldCharType="separate"/>
      </w:r>
      <w:r w:rsidRPr="00106694" w:rsidR="00106694">
        <w:rPr>
          <w:noProof/>
        </w:rPr>
        <w:t>38</w:t>
      </w:r>
      <w:r w:rsidRPr="00106694">
        <w:fldChar w:fldCharType="end"/>
      </w:r>
      <w:r w:rsidRPr="00106694">
        <w:t>.  Le requérant demande 5</w:t>
      </w:r>
      <w:r w:rsidRPr="00106694" w:rsidR="003743E7">
        <w:t> </w:t>
      </w:r>
      <w:r w:rsidRPr="00106694">
        <w:t>000 euros (EUR) au titre du dommage moral qu</w:t>
      </w:r>
      <w:r w:rsidRPr="00106694" w:rsidR="00106694">
        <w:t>’</w:t>
      </w:r>
      <w:r w:rsidRPr="00106694">
        <w:t>il estime avoir subi.</w:t>
      </w:r>
    </w:p>
    <w:p w:rsidRPr="00106694" w:rsidR="00D062AC" w:rsidP="00106694" w:rsidRDefault="00D062AC" w14:paraId="0363929E" w14:textId="140051A5">
      <w:pPr>
        <w:pStyle w:val="JuPara"/>
      </w:pPr>
      <w:r w:rsidRPr="00106694">
        <w:fldChar w:fldCharType="begin"/>
      </w:r>
      <w:r w:rsidRPr="00106694">
        <w:instrText xml:space="preserve"> SEQ level0 \*arabic </w:instrText>
      </w:r>
      <w:r w:rsidRPr="00106694">
        <w:fldChar w:fldCharType="separate"/>
      </w:r>
      <w:r w:rsidRPr="00106694" w:rsidR="00106694">
        <w:rPr>
          <w:noProof/>
        </w:rPr>
        <w:t>39</w:t>
      </w:r>
      <w:r w:rsidRPr="00106694">
        <w:fldChar w:fldCharType="end"/>
      </w:r>
      <w:r w:rsidRPr="00106694">
        <w:t xml:space="preserve">.  Renvoyant aux arrêts </w:t>
      </w:r>
      <w:r w:rsidRPr="00106694">
        <w:rPr>
          <w:i/>
          <w:iCs/>
        </w:rPr>
        <w:t>Olivieri c. France</w:t>
      </w:r>
      <w:r w:rsidRPr="00106694">
        <w:t xml:space="preserve"> (n</w:t>
      </w:r>
      <w:r w:rsidRPr="00106694">
        <w:rPr>
          <w:vertAlign w:val="superscript"/>
        </w:rPr>
        <w:t>o</w:t>
      </w:r>
      <w:r w:rsidRPr="00106694">
        <w:t xml:space="preserve"> 62313/12, 11 juillet 2019) et aux arrêts du 5 décembre 2019, </w:t>
      </w:r>
      <w:r w:rsidRPr="00106694">
        <w:rPr>
          <w:i/>
          <w:iCs/>
        </w:rPr>
        <w:t>Alfonso Valente c. France</w:t>
      </w:r>
      <w:r w:rsidRPr="00106694">
        <w:t xml:space="preserve"> (n</w:t>
      </w:r>
      <w:r w:rsidRPr="00106694">
        <w:rPr>
          <w:vertAlign w:val="superscript"/>
        </w:rPr>
        <w:t>o</w:t>
      </w:r>
      <w:r w:rsidRPr="00106694">
        <w:t xml:space="preserve"> 39325/13), </w:t>
      </w:r>
      <w:r w:rsidRPr="00106694">
        <w:rPr>
          <w:i/>
          <w:iCs/>
        </w:rPr>
        <w:t>Laureux c. France</w:t>
      </w:r>
      <w:r w:rsidRPr="00106694">
        <w:t xml:space="preserve"> (n</w:t>
      </w:r>
      <w:r w:rsidRPr="00106694">
        <w:rPr>
          <w:vertAlign w:val="superscript"/>
        </w:rPr>
        <w:t>o</w:t>
      </w:r>
      <w:r w:rsidRPr="00106694">
        <w:t xml:space="preserve"> 60506/13), </w:t>
      </w:r>
      <w:r w:rsidRPr="00106694">
        <w:rPr>
          <w:i/>
          <w:iCs/>
        </w:rPr>
        <w:t>Orsini c. France</w:t>
      </w:r>
      <w:r w:rsidRPr="00106694">
        <w:t xml:space="preserve"> (n</w:t>
      </w:r>
      <w:r w:rsidRPr="00106694">
        <w:rPr>
          <w:vertAlign w:val="superscript"/>
        </w:rPr>
        <w:t>o</w:t>
      </w:r>
      <w:r w:rsidRPr="00106694">
        <w:t xml:space="preserve"> 63208/12), </w:t>
      </w:r>
      <w:r w:rsidRPr="00106694">
        <w:rPr>
          <w:i/>
          <w:iCs/>
        </w:rPr>
        <w:t>Tisset</w:t>
      </w:r>
      <w:r w:rsidRPr="00106694" w:rsidR="00106694">
        <w:rPr>
          <w:i/>
          <w:iCs/>
        </w:rPr>
        <w:t> </w:t>
      </w:r>
      <w:r w:rsidRPr="00106694">
        <w:rPr>
          <w:i/>
          <w:iCs/>
        </w:rPr>
        <w:t xml:space="preserve">c. </w:t>
      </w:r>
      <w:r w:rsidRPr="00106694" w:rsidR="00106694">
        <w:rPr>
          <w:i/>
          <w:iCs/>
        </w:rPr>
        <w:t> </w:t>
      </w:r>
      <w:r w:rsidRPr="00106694">
        <w:rPr>
          <w:i/>
          <w:iCs/>
        </w:rPr>
        <w:t>France</w:t>
      </w:r>
      <w:r w:rsidRPr="00106694">
        <w:t xml:space="preserve"> (n</w:t>
      </w:r>
      <w:r w:rsidRPr="00106694">
        <w:rPr>
          <w:vertAlign w:val="superscript"/>
        </w:rPr>
        <w:t>o</w:t>
      </w:r>
      <w:r w:rsidRPr="00106694">
        <w:t xml:space="preserve"> 53464/11) et </w:t>
      </w:r>
      <w:r w:rsidRPr="00106694">
        <w:rPr>
          <w:i/>
          <w:iCs/>
        </w:rPr>
        <w:t>D</w:t>
      </w:r>
      <w:r w:rsidRPr="00106694" w:rsidR="00757FFA">
        <w:rPr>
          <w:i/>
          <w:iCs/>
        </w:rPr>
        <w:t>.</w:t>
      </w:r>
      <w:r w:rsidRPr="00106694">
        <w:rPr>
          <w:i/>
          <w:iCs/>
        </w:rPr>
        <w:t>W</w:t>
      </w:r>
      <w:r w:rsidRPr="00106694" w:rsidR="00757FFA">
        <w:rPr>
          <w:i/>
          <w:iCs/>
        </w:rPr>
        <w:t>.</w:t>
      </w:r>
      <w:r w:rsidRPr="00106694">
        <w:rPr>
          <w:i/>
          <w:iCs/>
        </w:rPr>
        <w:t xml:space="preserve"> c. France</w:t>
      </w:r>
      <w:r w:rsidRPr="00106694">
        <w:t xml:space="preserve"> (n</w:t>
      </w:r>
      <w:r w:rsidRPr="00106694">
        <w:rPr>
          <w:vertAlign w:val="superscript"/>
        </w:rPr>
        <w:t>o</w:t>
      </w:r>
      <w:r w:rsidRPr="00106694">
        <w:t> 30951/12), le Gouvernement invite la Cour à conclure qu</w:t>
      </w:r>
      <w:r w:rsidRPr="00106694" w:rsidR="00106694">
        <w:t>’</w:t>
      </w:r>
      <w:r w:rsidRPr="00106694">
        <w:t>une conclusion de violation constituerait une réparation suffisante. Il indique par ailleurs que « le constat de violation de l</w:t>
      </w:r>
      <w:r w:rsidRPr="00106694" w:rsidR="00106694">
        <w:t>’</w:t>
      </w:r>
      <w:r w:rsidRPr="00106694">
        <w:t>article 6 de la Convention permet au requérant de solliciter la révision de son procès, en application des dispositions de l</w:t>
      </w:r>
      <w:r w:rsidRPr="00106694" w:rsidR="00106694">
        <w:t>’</w:t>
      </w:r>
      <w:r w:rsidRPr="00106694">
        <w:t>article 622-1 du code de procédure pénale ».</w:t>
      </w:r>
    </w:p>
    <w:p w:rsidRPr="00106694" w:rsidR="00D062AC" w:rsidP="00106694" w:rsidRDefault="00D062AC" w14:paraId="1DFC6E66" w14:textId="68537F35">
      <w:pPr>
        <w:pStyle w:val="JuPara"/>
      </w:pPr>
      <w:r w:rsidRPr="00106694">
        <w:fldChar w:fldCharType="begin"/>
      </w:r>
      <w:r w:rsidRPr="00106694">
        <w:instrText xml:space="preserve"> SEQ level0 \*arabic </w:instrText>
      </w:r>
      <w:r w:rsidRPr="00106694">
        <w:fldChar w:fldCharType="separate"/>
      </w:r>
      <w:r w:rsidRPr="00106694" w:rsidR="00106694">
        <w:rPr>
          <w:noProof/>
        </w:rPr>
        <w:t>40</w:t>
      </w:r>
      <w:r w:rsidRPr="00106694">
        <w:fldChar w:fldCharType="end"/>
      </w:r>
      <w:r w:rsidRPr="00106694">
        <w:t>.  La Cour estime qu</w:t>
      </w:r>
      <w:r w:rsidRPr="00106694" w:rsidR="00106694">
        <w:t>’</w:t>
      </w:r>
      <w:r w:rsidRPr="00106694">
        <w:t>eu égard aux circonstances de l</w:t>
      </w:r>
      <w:r w:rsidRPr="00106694" w:rsidR="00106694">
        <w:t>’</w:t>
      </w:r>
      <w:r w:rsidRPr="00106694">
        <w:t>espèce, la conclusion de violation de l</w:t>
      </w:r>
      <w:r w:rsidRPr="00106694" w:rsidR="00106694">
        <w:t>’</w:t>
      </w:r>
      <w:r w:rsidRPr="00106694">
        <w:t>article 6 §§ 1 et 3 b) de la Convention à laquelle elle est parvenue constitue une satisfaction équitable suffisante pour le dommage moral subi par le requérant.</w:t>
      </w:r>
    </w:p>
    <w:p w:rsidRPr="00106694" w:rsidR="00D062AC" w:rsidP="00106694" w:rsidRDefault="00D062AC" w14:paraId="7823FEF7" w14:textId="77777777">
      <w:pPr>
        <w:pStyle w:val="JuHA"/>
        <w:numPr>
          <w:ilvl w:val="2"/>
          <w:numId w:val="1"/>
        </w:numPr>
      </w:pPr>
      <w:r w:rsidRPr="00106694">
        <w:t>Frais et dépens</w:t>
      </w:r>
    </w:p>
    <w:p w:rsidRPr="00106694" w:rsidR="00D062AC" w:rsidP="00106694" w:rsidRDefault="00D062AC" w14:paraId="17F9479D" w14:textId="02DE0087">
      <w:pPr>
        <w:pStyle w:val="JuPara"/>
      </w:pPr>
      <w:r w:rsidRPr="00106694">
        <w:fldChar w:fldCharType="begin"/>
      </w:r>
      <w:r w:rsidRPr="00106694">
        <w:instrText xml:space="preserve"> SEQ level0 \*arabic </w:instrText>
      </w:r>
      <w:r w:rsidRPr="00106694">
        <w:fldChar w:fldCharType="separate"/>
      </w:r>
      <w:r w:rsidRPr="00106694" w:rsidR="00106694">
        <w:rPr>
          <w:noProof/>
        </w:rPr>
        <w:t>41</w:t>
      </w:r>
      <w:r w:rsidRPr="00106694">
        <w:fldChar w:fldCharType="end"/>
      </w:r>
      <w:r w:rsidRPr="00106694">
        <w:t>.  Le requérant réclame 4</w:t>
      </w:r>
      <w:r w:rsidRPr="00106694" w:rsidR="003743E7">
        <w:t> </w:t>
      </w:r>
      <w:r w:rsidRPr="00106694">
        <w:t>000 EUR au titre des frais et dépens qu</w:t>
      </w:r>
      <w:r w:rsidRPr="00106694" w:rsidR="00106694">
        <w:t>’</w:t>
      </w:r>
      <w:r w:rsidRPr="00106694">
        <w:t>il a engagés dans le cadre de la procédure en cassation et 3</w:t>
      </w:r>
      <w:r w:rsidRPr="00106694" w:rsidR="003743E7">
        <w:t> </w:t>
      </w:r>
      <w:r w:rsidRPr="00106694">
        <w:t>000 EUR au titre de ceux qu</w:t>
      </w:r>
      <w:r w:rsidRPr="00106694" w:rsidR="00106694">
        <w:t>’</w:t>
      </w:r>
      <w:r w:rsidRPr="00106694">
        <w:t>il a engagés aux fins de la procédure menée devant la Cour. Il produit des mémoires de provision sur frais d</w:t>
      </w:r>
      <w:r w:rsidRPr="00106694" w:rsidR="00106694">
        <w:t>’</w:t>
      </w:r>
      <w:r w:rsidRPr="00106694">
        <w:t>honoraires correspondant à ces montants.</w:t>
      </w:r>
    </w:p>
    <w:p w:rsidRPr="00106694" w:rsidR="00D062AC" w:rsidP="00106694" w:rsidRDefault="00D062AC" w14:paraId="513D0B81" w14:textId="6228AFDC">
      <w:pPr>
        <w:pStyle w:val="JuPara"/>
      </w:pPr>
      <w:r w:rsidRPr="00106694">
        <w:fldChar w:fldCharType="begin"/>
      </w:r>
      <w:r w:rsidRPr="00106694">
        <w:instrText xml:space="preserve"> SEQ level0 \*arabic </w:instrText>
      </w:r>
      <w:r w:rsidRPr="00106694">
        <w:fldChar w:fldCharType="separate"/>
      </w:r>
      <w:r w:rsidRPr="00106694" w:rsidR="00106694">
        <w:rPr>
          <w:noProof/>
        </w:rPr>
        <w:t>42</w:t>
      </w:r>
      <w:r w:rsidRPr="00106694">
        <w:fldChar w:fldCharType="end"/>
      </w:r>
      <w:r w:rsidRPr="00106694">
        <w:t>.  Le Gouvernement estime que cette demande est justifiée.</w:t>
      </w:r>
    </w:p>
    <w:p w:rsidRPr="00106694" w:rsidR="00D062AC" w:rsidP="00106694" w:rsidRDefault="00D062AC" w14:paraId="2DEF39EB" w14:textId="6AF075FF">
      <w:pPr>
        <w:pStyle w:val="JuPara"/>
      </w:pPr>
      <w:r w:rsidRPr="00106694">
        <w:fldChar w:fldCharType="begin"/>
      </w:r>
      <w:r w:rsidRPr="00106694">
        <w:instrText xml:space="preserve"> SEQ level0 \*arabic </w:instrText>
      </w:r>
      <w:r w:rsidRPr="00106694">
        <w:fldChar w:fldCharType="separate"/>
      </w:r>
      <w:r w:rsidRPr="00106694" w:rsidR="00106694">
        <w:rPr>
          <w:noProof/>
        </w:rPr>
        <w:t>43</w:t>
      </w:r>
      <w:r w:rsidRPr="00106694">
        <w:fldChar w:fldCharType="end"/>
      </w:r>
      <w:r w:rsidRPr="00106694">
        <w:t>.  Selon la jurisprudence de la Cour, un requérant ne peut obtenir le remboursement de ses frais et dépens que dans la mesure où se trouvent établis leur réalité, leur nécessité et le caractère raisonnable de leur taux. En l</w:t>
      </w:r>
      <w:r w:rsidRPr="00106694" w:rsidR="00106694">
        <w:t>’</w:t>
      </w:r>
      <w:r w:rsidRPr="00106694">
        <w:t>espèce, compte tenu des documents en sa possession, des critères susmentionnés, et de la position du Gouvernement, la Cour juge raisonnable d</w:t>
      </w:r>
      <w:r w:rsidRPr="00106694" w:rsidR="00106694">
        <w:t>’</w:t>
      </w:r>
      <w:r w:rsidRPr="00106694">
        <w:t>allouer au requérant la somme de 5</w:t>
      </w:r>
      <w:r w:rsidRPr="00106694" w:rsidR="00757FFA">
        <w:t> </w:t>
      </w:r>
      <w:r w:rsidRPr="00106694">
        <w:t>000</w:t>
      </w:r>
      <w:r w:rsidRPr="00106694" w:rsidR="00757FFA">
        <w:t xml:space="preserve"> </w:t>
      </w:r>
      <w:r w:rsidRPr="00106694">
        <w:t>EUR tous frais confondus pour les frais et dépens, plus tout montant pouvant être dû sur cette somme à titre d</w:t>
      </w:r>
      <w:r w:rsidRPr="00106694" w:rsidR="00106694">
        <w:t>’</w:t>
      </w:r>
      <w:r w:rsidRPr="00106694">
        <w:t>impôt.</w:t>
      </w:r>
    </w:p>
    <w:p w:rsidRPr="00106694" w:rsidR="00D062AC" w:rsidP="00106694" w:rsidRDefault="00D062AC" w14:paraId="4D8DAEFB" w14:textId="77777777">
      <w:pPr>
        <w:pStyle w:val="JuHA"/>
        <w:numPr>
          <w:ilvl w:val="2"/>
          <w:numId w:val="1"/>
        </w:numPr>
      </w:pPr>
      <w:r w:rsidRPr="00106694">
        <w:t>Intérêts moratoires</w:t>
      </w:r>
    </w:p>
    <w:p w:rsidRPr="00106694" w:rsidR="00D062AC" w:rsidP="00106694" w:rsidRDefault="00D062AC" w14:paraId="4F7EBF61" w14:textId="5A91B78C">
      <w:pPr>
        <w:pStyle w:val="JuPara"/>
      </w:pPr>
      <w:r w:rsidRPr="00106694">
        <w:fldChar w:fldCharType="begin"/>
      </w:r>
      <w:r w:rsidRPr="00106694">
        <w:instrText xml:space="preserve"> SEQ level0 \*arabic </w:instrText>
      </w:r>
      <w:r w:rsidRPr="00106694">
        <w:fldChar w:fldCharType="separate"/>
      </w:r>
      <w:r w:rsidRPr="00106694" w:rsidR="00106694">
        <w:rPr>
          <w:noProof/>
        </w:rPr>
        <w:t>44</w:t>
      </w:r>
      <w:r w:rsidRPr="00106694">
        <w:fldChar w:fldCharType="end"/>
      </w:r>
      <w:r w:rsidRPr="00106694">
        <w:t>.  La Cour juge approprié de calquer le taux des intérêts moratoires sur le taux d</w:t>
      </w:r>
      <w:r w:rsidRPr="00106694" w:rsidR="00106694">
        <w:t>’</w:t>
      </w:r>
      <w:r w:rsidRPr="00106694">
        <w:t>intérêt de la facilité de prêt marginal de la Banque centrale européenne majoré de trois points de pourcentage.</w:t>
      </w:r>
    </w:p>
    <w:p w:rsidRPr="00106694" w:rsidR="00D062AC" w:rsidP="00106694" w:rsidRDefault="00D062AC" w14:paraId="4C80D12B" w14:textId="77777777">
      <w:pPr>
        <w:pStyle w:val="JuPara"/>
      </w:pPr>
    </w:p>
    <w:p w:rsidRPr="00106694" w:rsidR="00D062AC" w:rsidP="00106694" w:rsidRDefault="00D062AC" w14:paraId="04E52BCD" w14:textId="37086535">
      <w:pPr>
        <w:pStyle w:val="JuHHead"/>
        <w:numPr>
          <w:ilvl w:val="0"/>
          <w:numId w:val="1"/>
        </w:numPr>
      </w:pPr>
      <w:r w:rsidRPr="00106694">
        <w:t xml:space="preserve">PAR CES MOTIFS, LA COUR, </w:t>
      </w:r>
      <w:r w:rsidRPr="00106694">
        <w:rPr>
          <w:caps w:val="0"/>
        </w:rPr>
        <w:t>À L</w:t>
      </w:r>
      <w:r w:rsidRPr="00106694" w:rsidR="00106694">
        <w:rPr>
          <w:caps w:val="0"/>
        </w:rPr>
        <w:t>’</w:t>
      </w:r>
      <w:r w:rsidRPr="00106694">
        <w:rPr>
          <w:caps w:val="0"/>
        </w:rPr>
        <w:t>UNANIMITÉ</w:t>
      </w:r>
      <w:r w:rsidRPr="00106694">
        <w:t>,</w:t>
      </w:r>
    </w:p>
    <w:p w:rsidRPr="00106694" w:rsidR="00D062AC" w:rsidP="00106694" w:rsidRDefault="00D062AC" w14:paraId="66CE0E65" w14:textId="77777777">
      <w:pPr>
        <w:pStyle w:val="JuList"/>
      </w:pPr>
      <w:r w:rsidRPr="00106694">
        <w:rPr>
          <w:i/>
        </w:rPr>
        <w:t>Déclare</w:t>
      </w:r>
      <w:r w:rsidRPr="00106694" w:rsidR="003743E7">
        <w:rPr>
          <w:i/>
        </w:rPr>
        <w:t xml:space="preserve"> </w:t>
      </w:r>
      <w:r w:rsidRPr="00106694">
        <w:t>la requête recevable ;</w:t>
      </w:r>
    </w:p>
    <w:p w:rsidRPr="00106694" w:rsidR="00D062AC" w:rsidP="00106694" w:rsidRDefault="00D062AC" w14:paraId="0A0B1801" w14:textId="19959158">
      <w:pPr>
        <w:pStyle w:val="JuList"/>
      </w:pPr>
      <w:bookmarkStart w:name="_Hlk72938587" w:id="10"/>
      <w:r w:rsidRPr="00106694">
        <w:rPr>
          <w:i/>
        </w:rPr>
        <w:t>Dit</w:t>
      </w:r>
      <w:bookmarkEnd w:id="10"/>
      <w:r w:rsidRPr="00106694">
        <w:t xml:space="preserve"> qu</w:t>
      </w:r>
      <w:r w:rsidRPr="00106694" w:rsidR="00106694">
        <w:t>’</w:t>
      </w:r>
      <w:r w:rsidRPr="00106694">
        <w:t>il y a eu violation de l</w:t>
      </w:r>
      <w:r w:rsidRPr="00106694" w:rsidR="00106694">
        <w:t>’</w:t>
      </w:r>
      <w:r w:rsidRPr="00106694">
        <w:t>article 6 §§ 1 et 3 b) de la Convention ;</w:t>
      </w:r>
    </w:p>
    <w:p w:rsidRPr="00106694" w:rsidR="00D062AC" w:rsidP="00106694" w:rsidRDefault="00D062AC" w14:paraId="66A493A3" w14:textId="77777777">
      <w:pPr>
        <w:pStyle w:val="JuList"/>
      </w:pPr>
      <w:r w:rsidRPr="00106694">
        <w:rPr>
          <w:i/>
          <w:iCs/>
        </w:rPr>
        <w:t>Dit</w:t>
      </w:r>
      <w:r w:rsidRPr="00106694">
        <w:t xml:space="preserve"> que le constat de violation constitue en soi une satisfaction équitable suffisante pour le dommage moral subi par le requérant ;</w:t>
      </w:r>
    </w:p>
    <w:p w:rsidRPr="00106694" w:rsidR="00D062AC" w:rsidP="00106694" w:rsidRDefault="00D062AC" w14:paraId="52C0B3AC" w14:textId="77777777">
      <w:pPr>
        <w:pStyle w:val="JuList"/>
      </w:pPr>
      <w:r w:rsidRPr="00106694">
        <w:rPr>
          <w:i/>
        </w:rPr>
        <w:t>Dit</w:t>
      </w:r>
    </w:p>
    <w:p w:rsidRPr="00106694" w:rsidR="00D062AC" w:rsidP="00106694" w:rsidRDefault="00D062AC" w14:paraId="45B9B70F" w14:textId="371E4DF6">
      <w:pPr>
        <w:pStyle w:val="JuLista"/>
      </w:pPr>
      <w:proofErr w:type="gramStart"/>
      <w:r w:rsidRPr="00106694">
        <w:t>que</w:t>
      </w:r>
      <w:proofErr w:type="gramEnd"/>
      <w:r w:rsidRPr="00106694">
        <w:t xml:space="preserve"> l</w:t>
      </w:r>
      <w:r w:rsidRPr="00106694" w:rsidR="00106694">
        <w:t>’</w:t>
      </w:r>
      <w:r w:rsidRPr="00106694">
        <w:t>État défendeur doit verser au requérant, dans un délai de trois mois à compter de la date à laquelle l</w:t>
      </w:r>
      <w:r w:rsidRPr="00106694" w:rsidR="00106694">
        <w:t>’</w:t>
      </w:r>
      <w:r w:rsidRPr="00106694">
        <w:t>arrêt sera devenu définitif conformément à l</w:t>
      </w:r>
      <w:r w:rsidRPr="00106694" w:rsidR="00106694">
        <w:t>’</w:t>
      </w:r>
      <w:r w:rsidRPr="00106694">
        <w:t>article 44 § 2 de la Convention, 5 000 EUR (cinq</w:t>
      </w:r>
      <w:r w:rsidRPr="00106694" w:rsidR="00757FFA">
        <w:t> </w:t>
      </w:r>
      <w:r w:rsidRPr="00106694">
        <w:t>mille euros), plus tout montant pouvant être dû sur cette somme par le requérant à titre d</w:t>
      </w:r>
      <w:r w:rsidRPr="00106694" w:rsidR="00106694">
        <w:t>’</w:t>
      </w:r>
      <w:r w:rsidRPr="00106694">
        <w:t>impôt, pour frais et dépens ;</w:t>
      </w:r>
    </w:p>
    <w:p w:rsidRPr="00106694" w:rsidR="00D062AC" w:rsidP="00106694" w:rsidRDefault="00D062AC" w14:paraId="00B091AC" w14:textId="569F30A9">
      <w:pPr>
        <w:pStyle w:val="JuLista"/>
      </w:pPr>
      <w:proofErr w:type="gramStart"/>
      <w:r w:rsidRPr="00106694">
        <w:t>qu</w:t>
      </w:r>
      <w:r w:rsidRPr="00106694" w:rsidR="00106694">
        <w:t>’</w:t>
      </w:r>
      <w:r w:rsidRPr="00106694">
        <w:t>à</w:t>
      </w:r>
      <w:proofErr w:type="gramEnd"/>
      <w:r w:rsidRPr="00106694">
        <w:t xml:space="preserve"> compter de l</w:t>
      </w:r>
      <w:r w:rsidRPr="00106694" w:rsidR="00106694">
        <w:t>’</w:t>
      </w:r>
      <w:r w:rsidRPr="00106694">
        <w:t>expiration dudit délai et jusqu</w:t>
      </w:r>
      <w:r w:rsidRPr="00106694" w:rsidR="00106694">
        <w:t>’</w:t>
      </w:r>
      <w:r w:rsidRPr="00106694">
        <w:t>au versement, ce montant sera à majorer d</w:t>
      </w:r>
      <w:r w:rsidRPr="00106694" w:rsidR="00106694">
        <w:t>’</w:t>
      </w:r>
      <w:r w:rsidRPr="00106694">
        <w:t>un intérêt simple à un taux égal à celui de la facilité de prêt marginal de la Banque centrale européenne applicable pendant cette période, augmenté de trois points de pourcentage ;</w:t>
      </w:r>
    </w:p>
    <w:p w:rsidRPr="00106694" w:rsidR="00876F03" w:rsidP="00106694" w:rsidRDefault="00D062AC" w14:paraId="10D11116" w14:textId="77777777">
      <w:pPr>
        <w:pStyle w:val="JuList"/>
      </w:pPr>
      <w:r w:rsidRPr="00106694">
        <w:rPr>
          <w:i/>
        </w:rPr>
        <w:t>Rejette</w:t>
      </w:r>
      <w:r w:rsidRPr="00106694">
        <w:t xml:space="preserve"> le surplus de la demande de satisfaction équitable.</w:t>
      </w:r>
    </w:p>
    <w:p w:rsidRPr="00106694" w:rsidR="00D062AC" w:rsidP="00106694" w:rsidRDefault="00893F30" w14:paraId="0B090574" w14:textId="7C8D52C6">
      <w:pPr>
        <w:pStyle w:val="JuParaLast"/>
      </w:pPr>
      <w:r w:rsidRPr="00106694">
        <w:t xml:space="preserve">Fait en français, puis communiqué par écrit le </w:t>
      </w:r>
      <w:r w:rsidRPr="00106694" w:rsidR="00D062AC">
        <w:t>9 septembre 2021</w:t>
      </w:r>
      <w:r w:rsidRPr="00106694">
        <w:t>, en application de l</w:t>
      </w:r>
      <w:r w:rsidRPr="00106694" w:rsidR="00106694">
        <w:t>’</w:t>
      </w:r>
      <w:r w:rsidRPr="00106694">
        <w:t>article 77 §§ 2 et 3 du règlement.</w:t>
      </w:r>
    </w:p>
    <w:p w:rsidRPr="00106694" w:rsidR="00757FFA" w:rsidP="00106694" w:rsidRDefault="00D062AC" w14:paraId="7B465DF0" w14:textId="47DE0674">
      <w:pPr>
        <w:pStyle w:val="JuSigned"/>
      </w:pPr>
      <w:r w:rsidRPr="00106694">
        <w:t>Martina Keller</w:t>
      </w:r>
      <w:r w:rsidRPr="00106694" w:rsidR="004344E6">
        <w:tab/>
      </w:r>
      <w:r w:rsidRPr="00106694">
        <w:t xml:space="preserve">Ganna Yudkivska </w:t>
      </w:r>
      <w:r w:rsidRPr="00106694" w:rsidR="004344E6">
        <w:br/>
      </w:r>
      <w:r w:rsidRPr="00106694" w:rsidR="004344E6">
        <w:tab/>
      </w:r>
      <w:r w:rsidRPr="00106694">
        <w:t>Greffière adjointe</w:t>
      </w:r>
      <w:r w:rsidRPr="00106694" w:rsidR="004344E6">
        <w:tab/>
      </w:r>
      <w:r w:rsidRPr="00106694">
        <w:t>Présidente</w:t>
      </w:r>
    </w:p>
    <w:sectPr w:rsidRPr="00106694" w:rsidR="00757FFA">
      <w:headerReference w:type="even" r:id="rId13"/>
      <w:headerReference w:type="default" r:id="rId14"/>
      <w:footerReference w:type="default" r:id="rId15"/>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AE751" w14:textId="77777777" w:rsidR="00D062AC" w:rsidRPr="00F25EFC" w:rsidRDefault="00D062AC" w:rsidP="00516B59">
      <w:r w:rsidRPr="00F25EFC">
        <w:separator/>
      </w:r>
    </w:p>
  </w:endnote>
  <w:endnote w:type="continuationSeparator" w:id="0">
    <w:p w14:paraId="1F712733" w14:textId="77777777" w:rsidR="00D062AC" w:rsidRPr="00F25EFC" w:rsidRDefault="00D062AC"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4025" w14:textId="77777777" w:rsidR="00954AD6" w:rsidRPr="00F25EFC" w:rsidRDefault="00D062AC" w:rsidP="00954AD6">
    <w:pPr>
      <w:pStyle w:val="JuHead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4667E" w14:textId="77777777" w:rsidR="00D062AC" w:rsidRPr="00150BFA" w:rsidRDefault="00D062AC" w:rsidP="0020718E">
    <w:pPr>
      <w:jc w:val="center"/>
    </w:pPr>
    <w:r>
      <w:rPr>
        <w:noProof/>
        <w:lang w:val="en-US" w:eastAsia="ja-JP"/>
      </w:rPr>
      <w:drawing>
        <wp:inline distT="0" distB="0" distL="0" distR="0" wp14:anchorId="1F7C6ACD" wp14:editId="0319F765">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CBCBF0D" w14:textId="77777777" w:rsidR="00F22D5C" w:rsidRPr="00F25EFC" w:rsidRDefault="00AD2617" w:rsidP="00F27D13">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50D8B" w14:textId="77777777" w:rsidR="00D062AC" w:rsidRPr="00150BFA" w:rsidRDefault="00D062AC" w:rsidP="0020718E">
    <w:pPr>
      <w:jc w:val="center"/>
    </w:pPr>
    <w:r>
      <w:rPr>
        <w:noProof/>
        <w:lang w:val="en-US" w:eastAsia="ja-JP"/>
      </w:rPr>
      <w:drawing>
        <wp:inline distT="0" distB="0" distL="0" distR="0" wp14:anchorId="4A6D49E6" wp14:editId="5DB8CFF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E3572CC" w14:textId="77777777" w:rsidR="00902601" w:rsidRPr="00F25EFC" w:rsidRDefault="00902601" w:rsidP="00902601">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5AEA5" w14:textId="77777777" w:rsidR="00F22D5C" w:rsidRPr="00D01935" w:rsidRDefault="00D062AC" w:rsidP="00662882">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EAA36" w14:textId="77777777" w:rsidR="00D062AC" w:rsidRPr="00F25EFC" w:rsidRDefault="00D062AC" w:rsidP="00516B59">
      <w:r w:rsidRPr="00F25EFC">
        <w:separator/>
      </w:r>
    </w:p>
  </w:footnote>
  <w:footnote w:type="continuationSeparator" w:id="0">
    <w:p w14:paraId="6427DF9F" w14:textId="77777777" w:rsidR="00D062AC" w:rsidRPr="00F25EFC" w:rsidRDefault="00D062AC" w:rsidP="00516B59">
      <w:r w:rsidRPr="00F25EF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C0282" w14:textId="77777777" w:rsidR="00D062AC" w:rsidRPr="00A45145" w:rsidRDefault="00D062AC" w:rsidP="00A45145">
    <w:pPr>
      <w:jc w:val="center"/>
    </w:pPr>
    <w:r>
      <w:rPr>
        <w:noProof/>
        <w:lang w:val="en-US" w:eastAsia="ja-JP"/>
      </w:rPr>
      <w:drawing>
        <wp:inline distT="0" distB="0" distL="0" distR="0" wp14:anchorId="542BBB54" wp14:editId="2CBE66D9">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DE920E5" w14:textId="77777777" w:rsidR="00F22D5C" w:rsidRPr="00F25EFC" w:rsidRDefault="00AD2617" w:rsidP="009840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26F90" w14:textId="77777777" w:rsidR="00D062AC" w:rsidRPr="00A45145" w:rsidRDefault="00D062AC" w:rsidP="00A45145">
    <w:pPr>
      <w:jc w:val="center"/>
    </w:pPr>
    <w:r>
      <w:rPr>
        <w:noProof/>
        <w:lang w:val="en-US" w:eastAsia="ja-JP"/>
      </w:rPr>
      <w:drawing>
        <wp:inline distT="0" distB="0" distL="0" distR="0" wp14:anchorId="163484A8" wp14:editId="77D1E5E4">
          <wp:extent cx="2962275" cy="1219200"/>
          <wp:effectExtent l="0" t="0" r="9525" b="0"/>
          <wp:docPr id="64" name="Picture 6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ABEA713" w14:textId="77777777" w:rsidR="00902601" w:rsidRPr="00F25EFC" w:rsidRDefault="00902601" w:rsidP="00902601">
    <w:pPr>
      <w:jc w:val="center"/>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76BF" w14:textId="77777777" w:rsidR="00F22D5C" w:rsidRPr="00D062AC" w:rsidRDefault="00A21624" w:rsidP="00A21624">
    <w:pPr>
      <w:pStyle w:val="JuHeader"/>
      <w:rPr>
        <w:lang w:val="es-ES"/>
      </w:rPr>
    </w:pPr>
    <w:r w:rsidRPr="00D062AC">
      <w:rPr>
        <w:lang w:val="es-ES"/>
      </w:rPr>
      <w:t>ARRÊT</w:t>
    </w:r>
    <w:r w:rsidR="00256F45" w:rsidRPr="00D062AC">
      <w:rPr>
        <w:lang w:val="es-ES"/>
      </w:rPr>
      <w:t xml:space="preserve"> </w:t>
    </w:r>
    <w:r w:rsidR="00D062AC" w:rsidRPr="00D062AC">
      <w:rPr>
        <w:lang w:val="es-ES"/>
      </w:rPr>
      <w:t>GARCIA Y RODRIGUEZ c. FRANCE</w:t>
    </w:r>
    <w:r w:rsidR="00D062AC" w:rsidRPr="00D062AC">
      <w:rPr>
        <w:noProof/>
        <w:lang w:val="es-E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86742" w14:textId="77777777" w:rsidR="00F22D5C" w:rsidRPr="00D062AC" w:rsidRDefault="00256F45" w:rsidP="00662882">
    <w:pPr>
      <w:pStyle w:val="JuHeader"/>
      <w:rPr>
        <w:lang w:val="es-ES"/>
      </w:rPr>
    </w:pPr>
    <w:r w:rsidRPr="00D062AC">
      <w:rPr>
        <w:lang w:val="es-ES"/>
      </w:rPr>
      <w:t>ARRÊT</w:t>
    </w:r>
    <w:r w:rsidR="00162967" w:rsidRPr="00D062AC">
      <w:rPr>
        <w:lang w:val="es-ES"/>
      </w:rPr>
      <w:t xml:space="preserve"> </w:t>
    </w:r>
    <w:r w:rsidR="00D062AC" w:rsidRPr="00D062AC">
      <w:rPr>
        <w:lang w:val="es-ES"/>
      </w:rPr>
      <w:t>GARCIA Y RODRIGUEZ c. FRANCE</w:t>
    </w:r>
    <w:r w:rsidR="007971FF" w:rsidRPr="00D062AC">
      <w:rPr>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D062AC"/>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06694"/>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82F8A"/>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43E7"/>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57FFA"/>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2AC"/>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4F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06694"/>
    <w:rPr>
      <w:sz w:val="24"/>
      <w:szCs w:val="24"/>
      <w:lang w:val="fr-FR"/>
    </w:rPr>
  </w:style>
  <w:style w:type="paragraph" w:styleId="Heading1">
    <w:name w:val="heading 1"/>
    <w:basedOn w:val="Normal"/>
    <w:next w:val="Normal"/>
    <w:link w:val="Heading1Char"/>
    <w:uiPriority w:val="98"/>
    <w:semiHidden/>
    <w:rsid w:val="0010669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10669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10669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10669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10669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10669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10669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10669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10669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106694"/>
    <w:rPr>
      <w:rFonts w:ascii="Tahoma" w:hAnsi="Tahoma" w:cs="Tahoma"/>
      <w:sz w:val="16"/>
      <w:szCs w:val="16"/>
    </w:rPr>
  </w:style>
  <w:style w:type="character" w:customStyle="1" w:styleId="BalloonTextChar">
    <w:name w:val="Balloon Text Char"/>
    <w:basedOn w:val="DefaultParagraphFont"/>
    <w:link w:val="BalloonText"/>
    <w:uiPriority w:val="98"/>
    <w:semiHidden/>
    <w:rsid w:val="00106694"/>
    <w:rPr>
      <w:rFonts w:ascii="Tahoma" w:hAnsi="Tahoma" w:cs="Tahoma"/>
      <w:sz w:val="16"/>
      <w:szCs w:val="16"/>
      <w:lang w:val="fr-FR"/>
    </w:rPr>
  </w:style>
  <w:style w:type="character" w:styleId="BookTitle">
    <w:name w:val="Book Title"/>
    <w:uiPriority w:val="98"/>
    <w:semiHidden/>
    <w:qFormat/>
    <w:rsid w:val="00106694"/>
    <w:rPr>
      <w:i/>
      <w:iCs/>
      <w:smallCaps/>
      <w:spacing w:val="5"/>
    </w:rPr>
  </w:style>
  <w:style w:type="paragraph" w:customStyle="1" w:styleId="JuHeader">
    <w:name w:val="Ju_Header"/>
    <w:aliases w:val="_Header"/>
    <w:basedOn w:val="Header"/>
    <w:uiPriority w:val="29"/>
    <w:qFormat/>
    <w:rsid w:val="00106694"/>
    <w:pPr>
      <w:tabs>
        <w:tab w:val="clear" w:pos="4536"/>
        <w:tab w:val="clear" w:pos="9072"/>
      </w:tabs>
      <w:jc w:val="center"/>
    </w:pPr>
    <w:rPr>
      <w:sz w:val="18"/>
    </w:rPr>
  </w:style>
  <w:style w:type="paragraph" w:customStyle="1" w:styleId="DummyStyle">
    <w:name w:val="Dummy_Style"/>
    <w:aliases w:val="_Dummy"/>
    <w:basedOn w:val="Normal"/>
    <w:semiHidden/>
    <w:qFormat/>
    <w:rsid w:val="00106694"/>
    <w:rPr>
      <w:color w:val="00B050"/>
      <w:sz w:val="22"/>
    </w:rPr>
  </w:style>
  <w:style w:type="character" w:styleId="Strong">
    <w:name w:val="Strong"/>
    <w:uiPriority w:val="98"/>
    <w:semiHidden/>
    <w:qFormat/>
    <w:rsid w:val="00106694"/>
    <w:rPr>
      <w:b/>
      <w:bCs/>
    </w:rPr>
  </w:style>
  <w:style w:type="paragraph" w:styleId="NoSpacing">
    <w:name w:val="No Spacing"/>
    <w:basedOn w:val="Normal"/>
    <w:link w:val="NoSpacingChar"/>
    <w:uiPriority w:val="98"/>
    <w:semiHidden/>
    <w:qFormat/>
    <w:rsid w:val="00106694"/>
  </w:style>
  <w:style w:type="character" w:customStyle="1" w:styleId="NoSpacingChar">
    <w:name w:val="No Spacing Char"/>
    <w:basedOn w:val="DefaultParagraphFont"/>
    <w:link w:val="NoSpacing"/>
    <w:uiPriority w:val="98"/>
    <w:semiHidden/>
    <w:rsid w:val="00106694"/>
    <w:rPr>
      <w:sz w:val="24"/>
      <w:szCs w:val="24"/>
      <w:lang w:val="fr-FR"/>
    </w:rPr>
  </w:style>
  <w:style w:type="paragraph" w:customStyle="1" w:styleId="JuQuot">
    <w:name w:val="Ju_Quot"/>
    <w:aliases w:val="_Quote"/>
    <w:basedOn w:val="NormalJustified"/>
    <w:uiPriority w:val="20"/>
    <w:qFormat/>
    <w:rsid w:val="00106694"/>
    <w:pPr>
      <w:spacing w:before="120" w:after="120"/>
      <w:ind w:left="425" w:firstLine="142"/>
    </w:pPr>
    <w:rPr>
      <w:sz w:val="20"/>
    </w:rPr>
  </w:style>
  <w:style w:type="paragraph" w:customStyle="1" w:styleId="JuList">
    <w:name w:val="Ju_List"/>
    <w:aliases w:val="_List_1"/>
    <w:basedOn w:val="NormalJustified"/>
    <w:uiPriority w:val="23"/>
    <w:qFormat/>
    <w:rsid w:val="00106694"/>
    <w:pPr>
      <w:numPr>
        <w:numId w:val="7"/>
      </w:numPr>
      <w:spacing w:before="280" w:after="60"/>
    </w:pPr>
  </w:style>
  <w:style w:type="paragraph" w:customStyle="1" w:styleId="JuLista">
    <w:name w:val="Ju_List_a"/>
    <w:aliases w:val="_List_2"/>
    <w:basedOn w:val="NormalJustified"/>
    <w:uiPriority w:val="23"/>
    <w:rsid w:val="00106694"/>
    <w:pPr>
      <w:numPr>
        <w:ilvl w:val="1"/>
        <w:numId w:val="7"/>
      </w:numPr>
    </w:pPr>
  </w:style>
  <w:style w:type="paragraph" w:customStyle="1" w:styleId="JuListi">
    <w:name w:val="Ju_List_i"/>
    <w:aliases w:val="_List_3"/>
    <w:basedOn w:val="NormalJustified"/>
    <w:uiPriority w:val="23"/>
    <w:rsid w:val="00106694"/>
    <w:pPr>
      <w:numPr>
        <w:ilvl w:val="2"/>
        <w:numId w:val="7"/>
      </w:numPr>
    </w:pPr>
  </w:style>
  <w:style w:type="paragraph" w:customStyle="1" w:styleId="DecHTitle">
    <w:name w:val="Dec_H_Title"/>
    <w:aliases w:val="_Title_1"/>
    <w:basedOn w:val="JuPara"/>
    <w:next w:val="JuPara"/>
    <w:uiPriority w:val="38"/>
    <w:qFormat/>
    <w:rsid w:val="00106694"/>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106694"/>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106694"/>
    <w:pPr>
      <w:keepNext/>
      <w:keepLines/>
      <w:tabs>
        <w:tab w:val="right" w:pos="7938"/>
      </w:tabs>
      <w:ind w:firstLine="0"/>
      <w:jc w:val="center"/>
    </w:pPr>
    <w:rPr>
      <w:i/>
    </w:rPr>
  </w:style>
  <w:style w:type="numbering" w:customStyle="1" w:styleId="ECHRA1StyleBulletedSquare">
    <w:name w:val="ECHR_A1_Style_Bulleted_Square"/>
    <w:basedOn w:val="NoList"/>
    <w:rsid w:val="00106694"/>
    <w:pPr>
      <w:numPr>
        <w:numId w:val="6"/>
      </w:numPr>
    </w:pPr>
  </w:style>
  <w:style w:type="paragraph" w:customStyle="1" w:styleId="JuHHead">
    <w:name w:val="Ju_H_Head"/>
    <w:aliases w:val="_Head_1"/>
    <w:basedOn w:val="Heading1"/>
    <w:next w:val="JuPara"/>
    <w:uiPriority w:val="17"/>
    <w:qFormat/>
    <w:rsid w:val="00106694"/>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106694"/>
    <w:pPr>
      <w:numPr>
        <w:numId w:val="7"/>
      </w:numPr>
    </w:pPr>
  </w:style>
  <w:style w:type="paragraph" w:customStyle="1" w:styleId="JuSigned">
    <w:name w:val="Ju_Signed"/>
    <w:aliases w:val="_Signature"/>
    <w:basedOn w:val="Normal"/>
    <w:next w:val="JuPara"/>
    <w:uiPriority w:val="31"/>
    <w:qFormat/>
    <w:rsid w:val="00106694"/>
    <w:pPr>
      <w:tabs>
        <w:tab w:val="center" w:pos="851"/>
        <w:tab w:val="center" w:pos="6407"/>
      </w:tabs>
      <w:spacing w:before="720"/>
    </w:pPr>
  </w:style>
  <w:style w:type="paragraph" w:styleId="Title">
    <w:name w:val="Title"/>
    <w:basedOn w:val="Normal"/>
    <w:next w:val="Normal"/>
    <w:link w:val="TitleChar"/>
    <w:uiPriority w:val="98"/>
    <w:semiHidden/>
    <w:qFormat/>
    <w:rsid w:val="0010669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106694"/>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106694"/>
    <w:pPr>
      <w:numPr>
        <w:numId w:val="8"/>
      </w:numPr>
    </w:pPr>
  </w:style>
  <w:style w:type="table" w:customStyle="1" w:styleId="ECHRTable2019">
    <w:name w:val="ECHR_Table_2019"/>
    <w:basedOn w:val="TableNormal"/>
    <w:uiPriority w:val="99"/>
    <w:rsid w:val="0010669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32"/>
    <w:qFormat/>
    <w:rsid w:val="00106694"/>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106694"/>
    <w:pPr>
      <w:tabs>
        <w:tab w:val="center" w:pos="6407"/>
      </w:tabs>
      <w:spacing w:before="720"/>
      <w:jc w:val="right"/>
    </w:pPr>
  </w:style>
  <w:style w:type="paragraph" w:customStyle="1" w:styleId="JuHIRoman">
    <w:name w:val="Ju_H_I_Roman"/>
    <w:aliases w:val="_Head_2"/>
    <w:basedOn w:val="Heading2"/>
    <w:next w:val="JuPara"/>
    <w:uiPriority w:val="17"/>
    <w:qFormat/>
    <w:rsid w:val="00106694"/>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106694"/>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106694"/>
    <w:pPr>
      <w:keepNext/>
      <w:keepLines/>
      <w:numPr>
        <w:ilvl w:val="3"/>
        <w:numId w:val="2"/>
      </w:numPr>
      <w:spacing w:before="100" w:beforeAutospacing="1" w:after="120"/>
      <w:jc w:val="both"/>
    </w:pPr>
    <w:rPr>
      <w:b w:val="0"/>
      <w:color w:val="auto"/>
      <w:sz w:val="24"/>
    </w:rPr>
  </w:style>
  <w:style w:type="paragraph" w:styleId="Header">
    <w:name w:val="header"/>
    <w:basedOn w:val="Normal"/>
    <w:link w:val="HeaderChar"/>
    <w:uiPriority w:val="98"/>
    <w:semiHidden/>
    <w:rsid w:val="00106694"/>
    <w:pPr>
      <w:tabs>
        <w:tab w:val="center" w:pos="4536"/>
        <w:tab w:val="right" w:pos="9072"/>
      </w:tabs>
    </w:pPr>
  </w:style>
  <w:style w:type="character" w:customStyle="1" w:styleId="HeaderChar">
    <w:name w:val="Header Char"/>
    <w:basedOn w:val="DefaultParagraphFont"/>
    <w:link w:val="Header"/>
    <w:uiPriority w:val="98"/>
    <w:semiHidden/>
    <w:rsid w:val="00106694"/>
    <w:rPr>
      <w:sz w:val="24"/>
      <w:szCs w:val="24"/>
      <w:lang w:val="fr-FR"/>
    </w:rPr>
  </w:style>
  <w:style w:type="character" w:customStyle="1" w:styleId="Heading1Char">
    <w:name w:val="Heading 1 Char"/>
    <w:basedOn w:val="DefaultParagraphFont"/>
    <w:link w:val="Heading1"/>
    <w:uiPriority w:val="98"/>
    <w:semiHidden/>
    <w:rsid w:val="00106694"/>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Heading5"/>
    <w:next w:val="JuPara"/>
    <w:uiPriority w:val="17"/>
    <w:rsid w:val="00106694"/>
    <w:pPr>
      <w:keepNext/>
      <w:keepLines/>
      <w:numPr>
        <w:ilvl w:val="4"/>
        <w:numId w:val="2"/>
      </w:numPr>
      <w:spacing w:before="100" w:beforeAutospacing="1" w:after="120"/>
      <w:jc w:val="both"/>
    </w:pPr>
    <w:rPr>
      <w:color w:val="auto"/>
      <w:sz w:val="20"/>
    </w:rPr>
  </w:style>
  <w:style w:type="paragraph" w:customStyle="1" w:styleId="JuHi">
    <w:name w:val="Ju_H_i"/>
    <w:aliases w:val="_Head_6"/>
    <w:basedOn w:val="Heading6"/>
    <w:next w:val="JuPara"/>
    <w:uiPriority w:val="17"/>
    <w:rsid w:val="00106694"/>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106694"/>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Heading7"/>
    <w:next w:val="JuPara"/>
    <w:uiPriority w:val="17"/>
    <w:rsid w:val="00106694"/>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106694"/>
    <w:pPr>
      <w:keepNext/>
      <w:keepLines/>
      <w:numPr>
        <w:ilvl w:val="7"/>
        <w:numId w:val="2"/>
      </w:numPr>
      <w:spacing w:before="100" w:beforeAutospacing="1" w:after="120"/>
      <w:jc w:val="both"/>
    </w:pPr>
    <w:rPr>
      <w:i/>
    </w:rPr>
  </w:style>
  <w:style w:type="character" w:customStyle="1" w:styleId="Heading3Char">
    <w:name w:val="Heading 3 Char"/>
    <w:basedOn w:val="DefaultParagraphFont"/>
    <w:link w:val="Heading3"/>
    <w:uiPriority w:val="98"/>
    <w:semiHidden/>
    <w:rsid w:val="00106694"/>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106694"/>
    <w:pPr>
      <w:keepNext/>
      <w:keepLines/>
      <w:spacing w:before="240" w:after="240"/>
      <w:ind w:firstLine="284"/>
    </w:pPr>
  </w:style>
  <w:style w:type="paragraph" w:customStyle="1" w:styleId="JuJudges">
    <w:name w:val="Ju_Judges"/>
    <w:aliases w:val="_Judges"/>
    <w:basedOn w:val="Normal"/>
    <w:uiPriority w:val="32"/>
    <w:qFormat/>
    <w:rsid w:val="00106694"/>
    <w:pPr>
      <w:tabs>
        <w:tab w:val="left" w:pos="567"/>
        <w:tab w:val="left" w:pos="1134"/>
      </w:tabs>
    </w:pPr>
  </w:style>
  <w:style w:type="character" w:customStyle="1" w:styleId="Heading4Char">
    <w:name w:val="Heading 4 Char"/>
    <w:basedOn w:val="DefaultParagraphFont"/>
    <w:link w:val="Heading4"/>
    <w:uiPriority w:val="98"/>
    <w:semiHidden/>
    <w:rsid w:val="00106694"/>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54"/>
    <w:qFormat/>
    <w:rsid w:val="00106694"/>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106694"/>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106694"/>
    <w:rPr>
      <w:caps w:val="0"/>
      <w:smallCaps/>
    </w:rPr>
  </w:style>
  <w:style w:type="paragraph" w:customStyle="1" w:styleId="NormalJustified">
    <w:name w:val="Normal_Justified"/>
    <w:basedOn w:val="Normal"/>
    <w:semiHidden/>
    <w:rsid w:val="00106694"/>
    <w:pPr>
      <w:jc w:val="both"/>
    </w:pPr>
  </w:style>
  <w:style w:type="character" w:styleId="SubtleEmphasis">
    <w:name w:val="Subtle Emphasis"/>
    <w:uiPriority w:val="98"/>
    <w:semiHidden/>
    <w:qFormat/>
    <w:rsid w:val="00106694"/>
    <w:rPr>
      <w:i/>
      <w:iCs/>
    </w:rPr>
  </w:style>
  <w:style w:type="table" w:customStyle="1" w:styleId="ECHRTable">
    <w:name w:val="ECHR_Table"/>
    <w:basedOn w:val="TableNormal"/>
    <w:rsid w:val="0010669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10669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106694"/>
    <w:rPr>
      <w:b/>
      <w:bCs/>
      <w:i/>
      <w:iCs/>
      <w:spacing w:val="10"/>
      <w:bdr w:val="none" w:sz="0" w:space="0" w:color="auto"/>
      <w:shd w:val="clear" w:color="auto" w:fill="auto"/>
    </w:rPr>
  </w:style>
  <w:style w:type="paragraph" w:styleId="Footer0">
    <w:name w:val="footer"/>
    <w:basedOn w:val="Normal"/>
    <w:link w:val="FooterChar"/>
    <w:uiPriority w:val="98"/>
    <w:semiHidden/>
    <w:rsid w:val="00106694"/>
    <w:pPr>
      <w:tabs>
        <w:tab w:val="center" w:pos="3686"/>
        <w:tab w:val="right" w:pos="7371"/>
      </w:tabs>
    </w:pPr>
  </w:style>
  <w:style w:type="character" w:customStyle="1" w:styleId="FooterChar">
    <w:name w:val="Footer Char"/>
    <w:basedOn w:val="DefaultParagraphFont"/>
    <w:link w:val="Footer0"/>
    <w:uiPriority w:val="98"/>
    <w:semiHidden/>
    <w:rsid w:val="00106694"/>
    <w:rPr>
      <w:sz w:val="24"/>
      <w:szCs w:val="24"/>
      <w:lang w:val="fr-FR"/>
    </w:rPr>
  </w:style>
  <w:style w:type="character" w:styleId="FootnoteReference">
    <w:name w:val="footnote reference"/>
    <w:basedOn w:val="DefaultParagraphFont"/>
    <w:uiPriority w:val="98"/>
    <w:semiHidden/>
    <w:rsid w:val="00106694"/>
    <w:rPr>
      <w:vertAlign w:val="superscript"/>
    </w:rPr>
  </w:style>
  <w:style w:type="paragraph" w:styleId="FootnoteText">
    <w:name w:val="footnote text"/>
    <w:basedOn w:val="Normal"/>
    <w:link w:val="FootnoteTextChar"/>
    <w:uiPriority w:val="98"/>
    <w:semiHidden/>
    <w:rsid w:val="00106694"/>
    <w:rPr>
      <w:sz w:val="20"/>
      <w:szCs w:val="20"/>
    </w:rPr>
  </w:style>
  <w:style w:type="character" w:customStyle="1" w:styleId="FootnoteTextChar">
    <w:name w:val="Footnote Text Char"/>
    <w:basedOn w:val="DefaultParagraphFont"/>
    <w:link w:val="FootnoteText"/>
    <w:uiPriority w:val="98"/>
    <w:semiHidden/>
    <w:rsid w:val="00106694"/>
    <w:rPr>
      <w:sz w:val="20"/>
      <w:szCs w:val="20"/>
      <w:lang w:val="fr-FR"/>
    </w:rPr>
  </w:style>
  <w:style w:type="character" w:customStyle="1" w:styleId="Heading6Char">
    <w:name w:val="Heading 6 Char"/>
    <w:basedOn w:val="DefaultParagraphFont"/>
    <w:link w:val="Heading6"/>
    <w:uiPriority w:val="98"/>
    <w:semiHidden/>
    <w:rsid w:val="00106694"/>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8"/>
    <w:semiHidden/>
    <w:rsid w:val="00106694"/>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8"/>
    <w:semiHidden/>
    <w:rsid w:val="00106694"/>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106694"/>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8"/>
    <w:semiHidden/>
    <w:rsid w:val="00106694"/>
    <w:rPr>
      <w:color w:val="0072BC" w:themeColor="hyperlink"/>
      <w:u w:val="single"/>
    </w:rPr>
  </w:style>
  <w:style w:type="character" w:styleId="IntenseEmphasis">
    <w:name w:val="Intense Emphasis"/>
    <w:uiPriority w:val="98"/>
    <w:semiHidden/>
    <w:qFormat/>
    <w:rsid w:val="00106694"/>
    <w:rPr>
      <w:b/>
      <w:bCs/>
    </w:rPr>
  </w:style>
  <w:style w:type="paragraph" w:styleId="IntenseQuote">
    <w:name w:val="Intense Quote"/>
    <w:basedOn w:val="Normal"/>
    <w:next w:val="Normal"/>
    <w:link w:val="IntenseQuoteChar"/>
    <w:uiPriority w:val="98"/>
    <w:semiHidden/>
    <w:qFormat/>
    <w:rsid w:val="0010669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106694"/>
    <w:rPr>
      <w:b/>
      <w:bCs/>
      <w:i/>
      <w:iCs/>
      <w:sz w:val="24"/>
      <w:szCs w:val="24"/>
      <w:lang w:val="fr-FR" w:bidi="en-US"/>
    </w:rPr>
  </w:style>
  <w:style w:type="character" w:styleId="IntenseReference">
    <w:name w:val="Intense Reference"/>
    <w:uiPriority w:val="98"/>
    <w:semiHidden/>
    <w:qFormat/>
    <w:rsid w:val="00106694"/>
    <w:rPr>
      <w:smallCaps/>
      <w:spacing w:val="5"/>
      <w:u w:val="single"/>
    </w:rPr>
  </w:style>
  <w:style w:type="paragraph" w:styleId="ListParagraph">
    <w:name w:val="List Paragraph"/>
    <w:basedOn w:val="Normal"/>
    <w:uiPriority w:val="98"/>
    <w:semiHidden/>
    <w:qFormat/>
    <w:rsid w:val="00106694"/>
    <w:pPr>
      <w:ind w:left="720"/>
      <w:contextualSpacing/>
    </w:pPr>
  </w:style>
  <w:style w:type="table" w:customStyle="1" w:styleId="LtrTableAddress">
    <w:name w:val="Ltr_Table_Address"/>
    <w:aliases w:val="ECHR_Ltr_Table_Address"/>
    <w:basedOn w:val="TableNormal"/>
    <w:uiPriority w:val="99"/>
    <w:rsid w:val="00106694"/>
    <w:rPr>
      <w:sz w:val="24"/>
      <w:szCs w:val="24"/>
    </w:rPr>
    <w:tblPr>
      <w:tblInd w:w="5103" w:type="dxa"/>
    </w:tblPr>
  </w:style>
  <w:style w:type="paragraph" w:styleId="Quote">
    <w:name w:val="Quote"/>
    <w:basedOn w:val="Normal"/>
    <w:next w:val="Normal"/>
    <w:link w:val="QuoteChar"/>
    <w:uiPriority w:val="98"/>
    <w:semiHidden/>
    <w:qFormat/>
    <w:rsid w:val="00106694"/>
    <w:pPr>
      <w:spacing w:before="200"/>
      <w:ind w:left="360" w:right="360"/>
    </w:pPr>
    <w:rPr>
      <w:i/>
      <w:iCs/>
      <w:lang w:bidi="en-US"/>
    </w:rPr>
  </w:style>
  <w:style w:type="character" w:customStyle="1" w:styleId="QuoteChar">
    <w:name w:val="Quote Char"/>
    <w:basedOn w:val="DefaultParagraphFont"/>
    <w:link w:val="Quote"/>
    <w:uiPriority w:val="98"/>
    <w:semiHidden/>
    <w:rsid w:val="00106694"/>
    <w:rPr>
      <w:i/>
      <w:iCs/>
      <w:sz w:val="24"/>
      <w:szCs w:val="24"/>
      <w:lang w:val="fr-FR" w:bidi="en-US"/>
    </w:rPr>
  </w:style>
  <w:style w:type="character" w:styleId="SubtleReference">
    <w:name w:val="Subtle Reference"/>
    <w:uiPriority w:val="98"/>
    <w:semiHidden/>
    <w:qFormat/>
    <w:rsid w:val="00106694"/>
    <w:rPr>
      <w:smallCaps/>
    </w:rPr>
  </w:style>
  <w:style w:type="table" w:styleId="TableGrid">
    <w:name w:val="Table Grid"/>
    <w:basedOn w:val="TableNormal"/>
    <w:uiPriority w:val="59"/>
    <w:semiHidden/>
    <w:rsid w:val="0010669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10669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10669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10669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10669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10669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10669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10669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10669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10669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10669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10669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10669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10669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10669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106694"/>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106694"/>
    <w:pPr>
      <w:numPr>
        <w:numId w:val="3"/>
      </w:numPr>
    </w:pPr>
  </w:style>
  <w:style w:type="paragraph" w:customStyle="1" w:styleId="JuPara">
    <w:name w:val="Ju_Para"/>
    <w:aliases w:val="_Para"/>
    <w:basedOn w:val="NormalJustified"/>
    <w:link w:val="JuParaChar"/>
    <w:uiPriority w:val="4"/>
    <w:qFormat/>
    <w:rsid w:val="00106694"/>
    <w:pPr>
      <w:ind w:firstLine="284"/>
    </w:pPr>
  </w:style>
  <w:style w:type="numbering" w:styleId="1ai">
    <w:name w:val="Outline List 1"/>
    <w:basedOn w:val="NoList"/>
    <w:uiPriority w:val="99"/>
    <w:semiHidden/>
    <w:unhideWhenUsed/>
    <w:rsid w:val="00106694"/>
    <w:pPr>
      <w:numPr>
        <w:numId w:val="4"/>
      </w:numPr>
    </w:pPr>
  </w:style>
  <w:style w:type="table" w:customStyle="1" w:styleId="ECHRTableSimpleBox">
    <w:name w:val="ECHR_Table_Simple_Box"/>
    <w:basedOn w:val="TableNormal"/>
    <w:uiPriority w:val="99"/>
    <w:rsid w:val="0010669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10669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106694"/>
    <w:pPr>
      <w:numPr>
        <w:numId w:val="5"/>
      </w:numPr>
    </w:pPr>
  </w:style>
  <w:style w:type="table" w:customStyle="1" w:styleId="ECHRTableForInternalUse">
    <w:name w:val="ECHR_Table_For_Internal_Use"/>
    <w:basedOn w:val="TableNormal"/>
    <w:uiPriority w:val="99"/>
    <w:rsid w:val="0010669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0669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106694"/>
  </w:style>
  <w:style w:type="paragraph" w:styleId="BlockText">
    <w:name w:val="Block Text"/>
    <w:basedOn w:val="Normal"/>
    <w:uiPriority w:val="98"/>
    <w:semiHidden/>
    <w:rsid w:val="0010669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10669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106694"/>
    <w:pPr>
      <w:spacing w:after="120"/>
    </w:pPr>
  </w:style>
  <w:style w:type="character" w:customStyle="1" w:styleId="BodyTextChar">
    <w:name w:val="Body Text Char"/>
    <w:basedOn w:val="DefaultParagraphFont"/>
    <w:link w:val="BodyText"/>
    <w:uiPriority w:val="98"/>
    <w:semiHidden/>
    <w:rsid w:val="00106694"/>
    <w:rPr>
      <w:sz w:val="24"/>
      <w:szCs w:val="24"/>
      <w:lang w:val="fr-FR"/>
    </w:rPr>
  </w:style>
  <w:style w:type="table" w:customStyle="1" w:styleId="ECHRTableOddBanded">
    <w:name w:val="ECHR_Table_Odd_Banded"/>
    <w:basedOn w:val="TableNormal"/>
    <w:uiPriority w:val="99"/>
    <w:rsid w:val="0010669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106694"/>
    <w:pPr>
      <w:spacing w:after="120" w:line="480" w:lineRule="auto"/>
    </w:pPr>
  </w:style>
  <w:style w:type="table" w:customStyle="1" w:styleId="ECHRHeaderTableReduced">
    <w:name w:val="ECHR_Header_Table_Reduced"/>
    <w:basedOn w:val="TableNormal"/>
    <w:uiPriority w:val="99"/>
    <w:rsid w:val="0010669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106694"/>
    <w:pPr>
      <w:ind w:firstLine="284"/>
    </w:pPr>
    <w:rPr>
      <w:b/>
    </w:rPr>
  </w:style>
  <w:style w:type="character" w:styleId="PageNumber">
    <w:name w:val="page number"/>
    <w:uiPriority w:val="98"/>
    <w:semiHidden/>
    <w:rsid w:val="00106694"/>
    <w:rPr>
      <w:sz w:val="18"/>
    </w:rPr>
  </w:style>
  <w:style w:type="paragraph" w:styleId="ListBullet2">
    <w:name w:val="List Bullet 2"/>
    <w:basedOn w:val="Normal"/>
    <w:uiPriority w:val="98"/>
    <w:semiHidden/>
    <w:rsid w:val="00106694"/>
    <w:pPr>
      <w:numPr>
        <w:numId w:val="10"/>
      </w:numPr>
      <w:contextualSpacing/>
    </w:pPr>
  </w:style>
  <w:style w:type="character" w:customStyle="1" w:styleId="BodyText2Char">
    <w:name w:val="Body Text 2 Char"/>
    <w:basedOn w:val="DefaultParagraphFont"/>
    <w:link w:val="BodyText2"/>
    <w:uiPriority w:val="98"/>
    <w:semiHidden/>
    <w:rsid w:val="00106694"/>
    <w:rPr>
      <w:sz w:val="24"/>
      <w:szCs w:val="24"/>
      <w:lang w:val="fr-FR"/>
    </w:rPr>
  </w:style>
  <w:style w:type="paragraph" w:styleId="BodyText3">
    <w:name w:val="Body Text 3"/>
    <w:basedOn w:val="Normal"/>
    <w:link w:val="BodyText3Char"/>
    <w:uiPriority w:val="98"/>
    <w:semiHidden/>
    <w:rsid w:val="00106694"/>
    <w:pPr>
      <w:spacing w:after="120"/>
    </w:pPr>
    <w:rPr>
      <w:sz w:val="16"/>
      <w:szCs w:val="16"/>
    </w:rPr>
  </w:style>
  <w:style w:type="character" w:customStyle="1" w:styleId="BodyText3Char">
    <w:name w:val="Body Text 3 Char"/>
    <w:basedOn w:val="DefaultParagraphFont"/>
    <w:link w:val="BodyText3"/>
    <w:uiPriority w:val="98"/>
    <w:semiHidden/>
    <w:rsid w:val="00106694"/>
    <w:rPr>
      <w:sz w:val="16"/>
      <w:szCs w:val="16"/>
      <w:lang w:val="fr-FR"/>
    </w:rPr>
  </w:style>
  <w:style w:type="paragraph" w:styleId="BodyTextFirstIndent">
    <w:name w:val="Body Text First Indent"/>
    <w:basedOn w:val="BodyText"/>
    <w:link w:val="BodyTextFirstIndentChar"/>
    <w:uiPriority w:val="98"/>
    <w:semiHidden/>
    <w:rsid w:val="00106694"/>
    <w:pPr>
      <w:spacing w:after="0"/>
      <w:ind w:firstLine="360"/>
    </w:pPr>
  </w:style>
  <w:style w:type="character" w:customStyle="1" w:styleId="BodyTextFirstIndentChar">
    <w:name w:val="Body Text First Indent Char"/>
    <w:basedOn w:val="BodyTextChar"/>
    <w:link w:val="BodyTextFirstIndent"/>
    <w:uiPriority w:val="98"/>
    <w:semiHidden/>
    <w:rsid w:val="00106694"/>
    <w:rPr>
      <w:sz w:val="24"/>
      <w:szCs w:val="24"/>
      <w:lang w:val="fr-FR"/>
    </w:rPr>
  </w:style>
  <w:style w:type="paragraph" w:styleId="BodyTextIndent">
    <w:name w:val="Body Text Indent"/>
    <w:basedOn w:val="Normal"/>
    <w:link w:val="BodyTextIndentChar"/>
    <w:uiPriority w:val="98"/>
    <w:semiHidden/>
    <w:rsid w:val="00106694"/>
    <w:pPr>
      <w:spacing w:after="120"/>
      <w:ind w:left="283"/>
    </w:pPr>
  </w:style>
  <w:style w:type="character" w:customStyle="1" w:styleId="BodyTextIndentChar">
    <w:name w:val="Body Text Indent Char"/>
    <w:basedOn w:val="DefaultParagraphFont"/>
    <w:link w:val="BodyTextIndent"/>
    <w:uiPriority w:val="98"/>
    <w:semiHidden/>
    <w:rsid w:val="00106694"/>
    <w:rPr>
      <w:sz w:val="24"/>
      <w:szCs w:val="24"/>
      <w:lang w:val="fr-FR"/>
    </w:rPr>
  </w:style>
  <w:style w:type="paragraph" w:styleId="BodyTextFirstIndent2">
    <w:name w:val="Body Text First Indent 2"/>
    <w:basedOn w:val="BodyTextIndent"/>
    <w:link w:val="BodyTextFirstIndent2Char"/>
    <w:uiPriority w:val="98"/>
    <w:semiHidden/>
    <w:rsid w:val="00106694"/>
    <w:pPr>
      <w:spacing w:after="0"/>
      <w:ind w:left="360" w:firstLine="360"/>
    </w:pPr>
  </w:style>
  <w:style w:type="character" w:customStyle="1" w:styleId="BodyTextFirstIndent2Char">
    <w:name w:val="Body Text First Indent 2 Char"/>
    <w:basedOn w:val="BodyTextIndentChar"/>
    <w:link w:val="BodyTextFirstIndent2"/>
    <w:uiPriority w:val="98"/>
    <w:semiHidden/>
    <w:rsid w:val="00106694"/>
    <w:rPr>
      <w:sz w:val="24"/>
      <w:szCs w:val="24"/>
      <w:lang w:val="fr-FR"/>
    </w:rPr>
  </w:style>
  <w:style w:type="paragraph" w:styleId="BodyTextIndent2">
    <w:name w:val="Body Text Indent 2"/>
    <w:basedOn w:val="Normal"/>
    <w:link w:val="BodyTextIndent2Char"/>
    <w:uiPriority w:val="98"/>
    <w:semiHidden/>
    <w:rsid w:val="00106694"/>
    <w:pPr>
      <w:spacing w:after="120" w:line="480" w:lineRule="auto"/>
      <w:ind w:left="283"/>
    </w:pPr>
  </w:style>
  <w:style w:type="character" w:customStyle="1" w:styleId="BodyTextIndent2Char">
    <w:name w:val="Body Text Indent 2 Char"/>
    <w:basedOn w:val="DefaultParagraphFont"/>
    <w:link w:val="BodyTextIndent2"/>
    <w:uiPriority w:val="98"/>
    <w:semiHidden/>
    <w:rsid w:val="00106694"/>
    <w:rPr>
      <w:sz w:val="24"/>
      <w:szCs w:val="24"/>
      <w:lang w:val="fr-FR"/>
    </w:rPr>
  </w:style>
  <w:style w:type="paragraph" w:styleId="BodyTextIndent3">
    <w:name w:val="Body Text Indent 3"/>
    <w:basedOn w:val="Normal"/>
    <w:link w:val="BodyTextIndent3Char"/>
    <w:uiPriority w:val="98"/>
    <w:semiHidden/>
    <w:rsid w:val="0010669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106694"/>
    <w:rPr>
      <w:sz w:val="16"/>
      <w:szCs w:val="16"/>
      <w:lang w:val="fr-FR"/>
    </w:rPr>
  </w:style>
  <w:style w:type="paragraph" w:styleId="Caption">
    <w:name w:val="caption"/>
    <w:basedOn w:val="Normal"/>
    <w:next w:val="Normal"/>
    <w:uiPriority w:val="98"/>
    <w:semiHidden/>
    <w:qFormat/>
    <w:rsid w:val="00106694"/>
    <w:pPr>
      <w:spacing w:after="200"/>
    </w:pPr>
    <w:rPr>
      <w:b/>
      <w:bCs/>
      <w:color w:val="0072BC" w:themeColor="accent1"/>
      <w:sz w:val="18"/>
      <w:szCs w:val="18"/>
    </w:rPr>
  </w:style>
  <w:style w:type="paragraph" w:styleId="Closing">
    <w:name w:val="Closing"/>
    <w:basedOn w:val="Normal"/>
    <w:link w:val="ClosingChar"/>
    <w:uiPriority w:val="98"/>
    <w:semiHidden/>
    <w:rsid w:val="00106694"/>
    <w:pPr>
      <w:ind w:left="4252"/>
    </w:pPr>
  </w:style>
  <w:style w:type="character" w:customStyle="1" w:styleId="ClosingChar">
    <w:name w:val="Closing Char"/>
    <w:basedOn w:val="DefaultParagraphFont"/>
    <w:link w:val="Closing"/>
    <w:uiPriority w:val="98"/>
    <w:semiHidden/>
    <w:rsid w:val="00106694"/>
    <w:rPr>
      <w:sz w:val="24"/>
      <w:szCs w:val="24"/>
      <w:lang w:val="fr-FR"/>
    </w:rPr>
  </w:style>
  <w:style w:type="table" w:styleId="ColorfulGrid">
    <w:name w:val="Colorful Grid"/>
    <w:basedOn w:val="TableNormal"/>
    <w:uiPriority w:val="73"/>
    <w:semiHidden/>
    <w:rsid w:val="0010669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10669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10669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10669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10669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10669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10669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10669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10669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10669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10669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10669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10669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10669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10669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10669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10669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10669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10669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10669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10669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106694"/>
    <w:rPr>
      <w:sz w:val="16"/>
      <w:szCs w:val="16"/>
    </w:rPr>
  </w:style>
  <w:style w:type="paragraph" w:styleId="CommentText">
    <w:name w:val="annotation text"/>
    <w:basedOn w:val="Normal"/>
    <w:link w:val="CommentTextChar"/>
    <w:uiPriority w:val="98"/>
    <w:semiHidden/>
    <w:rsid w:val="00106694"/>
    <w:rPr>
      <w:sz w:val="20"/>
      <w:szCs w:val="20"/>
    </w:rPr>
  </w:style>
  <w:style w:type="character" w:customStyle="1" w:styleId="CommentTextChar">
    <w:name w:val="Comment Text Char"/>
    <w:basedOn w:val="DefaultParagraphFont"/>
    <w:link w:val="CommentText"/>
    <w:uiPriority w:val="98"/>
    <w:semiHidden/>
    <w:rsid w:val="00106694"/>
    <w:rPr>
      <w:sz w:val="20"/>
      <w:szCs w:val="20"/>
      <w:lang w:val="fr-FR"/>
    </w:rPr>
  </w:style>
  <w:style w:type="paragraph" w:styleId="CommentSubject">
    <w:name w:val="annotation subject"/>
    <w:basedOn w:val="CommentText"/>
    <w:next w:val="CommentText"/>
    <w:link w:val="CommentSubjectChar"/>
    <w:uiPriority w:val="98"/>
    <w:semiHidden/>
    <w:rsid w:val="00106694"/>
    <w:rPr>
      <w:b/>
      <w:bCs/>
    </w:rPr>
  </w:style>
  <w:style w:type="character" w:customStyle="1" w:styleId="CommentSubjectChar">
    <w:name w:val="Comment Subject Char"/>
    <w:basedOn w:val="CommentTextChar"/>
    <w:link w:val="CommentSubject"/>
    <w:uiPriority w:val="98"/>
    <w:semiHidden/>
    <w:rsid w:val="00106694"/>
    <w:rPr>
      <w:b/>
      <w:bCs/>
      <w:sz w:val="20"/>
      <w:szCs w:val="20"/>
      <w:lang w:val="fr-FR"/>
    </w:rPr>
  </w:style>
  <w:style w:type="table" w:styleId="DarkList">
    <w:name w:val="Dark List"/>
    <w:basedOn w:val="TableNormal"/>
    <w:uiPriority w:val="70"/>
    <w:semiHidden/>
    <w:rsid w:val="0010669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10669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10669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10669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10669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10669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10669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106694"/>
  </w:style>
  <w:style w:type="character" w:customStyle="1" w:styleId="DateChar">
    <w:name w:val="Date Char"/>
    <w:basedOn w:val="DefaultParagraphFont"/>
    <w:link w:val="Date"/>
    <w:uiPriority w:val="98"/>
    <w:semiHidden/>
    <w:rsid w:val="00106694"/>
    <w:rPr>
      <w:sz w:val="24"/>
      <w:szCs w:val="24"/>
      <w:lang w:val="fr-FR"/>
    </w:rPr>
  </w:style>
  <w:style w:type="paragraph" w:styleId="DocumentMap">
    <w:name w:val="Document Map"/>
    <w:basedOn w:val="Normal"/>
    <w:link w:val="DocumentMapChar"/>
    <w:uiPriority w:val="98"/>
    <w:semiHidden/>
    <w:rsid w:val="00106694"/>
    <w:rPr>
      <w:rFonts w:ascii="Tahoma" w:hAnsi="Tahoma" w:cs="Tahoma"/>
      <w:sz w:val="16"/>
      <w:szCs w:val="16"/>
    </w:rPr>
  </w:style>
  <w:style w:type="character" w:customStyle="1" w:styleId="DocumentMapChar">
    <w:name w:val="Document Map Char"/>
    <w:basedOn w:val="DefaultParagraphFont"/>
    <w:link w:val="DocumentMap"/>
    <w:uiPriority w:val="98"/>
    <w:semiHidden/>
    <w:rsid w:val="00106694"/>
    <w:rPr>
      <w:rFonts w:ascii="Tahoma" w:hAnsi="Tahoma" w:cs="Tahoma"/>
      <w:sz w:val="16"/>
      <w:szCs w:val="16"/>
      <w:lang w:val="fr-FR"/>
    </w:rPr>
  </w:style>
  <w:style w:type="paragraph" w:styleId="E-mailSignature">
    <w:name w:val="E-mail Signature"/>
    <w:basedOn w:val="Normal"/>
    <w:link w:val="E-mailSignatureChar"/>
    <w:uiPriority w:val="98"/>
    <w:semiHidden/>
    <w:rsid w:val="00106694"/>
  </w:style>
  <w:style w:type="character" w:customStyle="1" w:styleId="E-mailSignatureChar">
    <w:name w:val="E-mail Signature Char"/>
    <w:basedOn w:val="DefaultParagraphFont"/>
    <w:link w:val="E-mailSignature"/>
    <w:uiPriority w:val="98"/>
    <w:semiHidden/>
    <w:rsid w:val="00106694"/>
    <w:rPr>
      <w:sz w:val="24"/>
      <w:szCs w:val="24"/>
      <w:lang w:val="fr-FR"/>
    </w:rPr>
  </w:style>
  <w:style w:type="character" w:styleId="EndnoteReference">
    <w:name w:val="endnote reference"/>
    <w:basedOn w:val="DefaultParagraphFont"/>
    <w:uiPriority w:val="98"/>
    <w:semiHidden/>
    <w:rsid w:val="00106694"/>
    <w:rPr>
      <w:vertAlign w:val="superscript"/>
    </w:rPr>
  </w:style>
  <w:style w:type="paragraph" w:styleId="EndnoteText">
    <w:name w:val="endnote text"/>
    <w:basedOn w:val="Normal"/>
    <w:link w:val="EndnoteTextChar"/>
    <w:uiPriority w:val="98"/>
    <w:semiHidden/>
    <w:rsid w:val="00106694"/>
    <w:rPr>
      <w:sz w:val="20"/>
      <w:szCs w:val="20"/>
    </w:rPr>
  </w:style>
  <w:style w:type="character" w:customStyle="1" w:styleId="EndnoteTextChar">
    <w:name w:val="Endnote Text Char"/>
    <w:basedOn w:val="DefaultParagraphFont"/>
    <w:link w:val="EndnoteText"/>
    <w:uiPriority w:val="98"/>
    <w:semiHidden/>
    <w:rsid w:val="00106694"/>
    <w:rPr>
      <w:sz w:val="20"/>
      <w:szCs w:val="20"/>
      <w:lang w:val="fr-FR"/>
    </w:rPr>
  </w:style>
  <w:style w:type="paragraph" w:styleId="EnvelopeAddress">
    <w:name w:val="envelope address"/>
    <w:basedOn w:val="Normal"/>
    <w:uiPriority w:val="98"/>
    <w:semiHidden/>
    <w:rsid w:val="0010669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10669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106694"/>
    <w:rPr>
      <w:color w:val="7030A0" w:themeColor="followedHyperlink"/>
      <w:u w:val="single"/>
    </w:rPr>
  </w:style>
  <w:style w:type="character" w:styleId="HTMLAcronym">
    <w:name w:val="HTML Acronym"/>
    <w:basedOn w:val="DefaultParagraphFont"/>
    <w:uiPriority w:val="98"/>
    <w:semiHidden/>
    <w:rsid w:val="00106694"/>
  </w:style>
  <w:style w:type="paragraph" w:styleId="HTMLAddress">
    <w:name w:val="HTML Address"/>
    <w:basedOn w:val="Normal"/>
    <w:link w:val="HTMLAddressChar"/>
    <w:uiPriority w:val="98"/>
    <w:semiHidden/>
    <w:rsid w:val="00106694"/>
    <w:rPr>
      <w:i/>
      <w:iCs/>
    </w:rPr>
  </w:style>
  <w:style w:type="character" w:customStyle="1" w:styleId="HTMLAddressChar">
    <w:name w:val="HTML Address Char"/>
    <w:basedOn w:val="DefaultParagraphFont"/>
    <w:link w:val="HTMLAddress"/>
    <w:uiPriority w:val="98"/>
    <w:semiHidden/>
    <w:rsid w:val="00106694"/>
    <w:rPr>
      <w:i/>
      <w:iCs/>
      <w:sz w:val="24"/>
      <w:szCs w:val="24"/>
      <w:lang w:val="fr-FR"/>
    </w:rPr>
  </w:style>
  <w:style w:type="character" w:styleId="HTMLCite">
    <w:name w:val="HTML Cite"/>
    <w:basedOn w:val="DefaultParagraphFont"/>
    <w:uiPriority w:val="98"/>
    <w:semiHidden/>
    <w:rsid w:val="00106694"/>
    <w:rPr>
      <w:i/>
      <w:iCs/>
    </w:rPr>
  </w:style>
  <w:style w:type="character" w:styleId="HTMLCode">
    <w:name w:val="HTML Code"/>
    <w:basedOn w:val="DefaultParagraphFont"/>
    <w:uiPriority w:val="98"/>
    <w:semiHidden/>
    <w:rsid w:val="00106694"/>
    <w:rPr>
      <w:rFonts w:ascii="Consolas" w:hAnsi="Consolas" w:cs="Consolas"/>
      <w:sz w:val="20"/>
      <w:szCs w:val="20"/>
    </w:rPr>
  </w:style>
  <w:style w:type="character" w:styleId="HTMLDefinition">
    <w:name w:val="HTML Definition"/>
    <w:basedOn w:val="DefaultParagraphFont"/>
    <w:uiPriority w:val="98"/>
    <w:semiHidden/>
    <w:rsid w:val="00106694"/>
    <w:rPr>
      <w:i/>
      <w:iCs/>
    </w:rPr>
  </w:style>
  <w:style w:type="character" w:styleId="HTMLKeyboard">
    <w:name w:val="HTML Keyboard"/>
    <w:basedOn w:val="DefaultParagraphFont"/>
    <w:uiPriority w:val="98"/>
    <w:semiHidden/>
    <w:rsid w:val="00106694"/>
    <w:rPr>
      <w:rFonts w:ascii="Consolas" w:hAnsi="Consolas" w:cs="Consolas"/>
      <w:sz w:val="20"/>
      <w:szCs w:val="20"/>
    </w:rPr>
  </w:style>
  <w:style w:type="paragraph" w:styleId="HTMLPreformatted">
    <w:name w:val="HTML Preformatted"/>
    <w:basedOn w:val="Normal"/>
    <w:link w:val="HTMLPreformattedChar"/>
    <w:uiPriority w:val="98"/>
    <w:semiHidden/>
    <w:rsid w:val="0010669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106694"/>
    <w:rPr>
      <w:rFonts w:ascii="Consolas" w:hAnsi="Consolas" w:cs="Consolas"/>
      <w:sz w:val="20"/>
      <w:szCs w:val="20"/>
      <w:lang w:val="fr-FR"/>
    </w:rPr>
  </w:style>
  <w:style w:type="character" w:styleId="HTMLSample">
    <w:name w:val="HTML Sample"/>
    <w:basedOn w:val="DefaultParagraphFont"/>
    <w:uiPriority w:val="98"/>
    <w:semiHidden/>
    <w:rsid w:val="00106694"/>
    <w:rPr>
      <w:rFonts w:ascii="Consolas" w:hAnsi="Consolas" w:cs="Consolas"/>
      <w:sz w:val="24"/>
      <w:szCs w:val="24"/>
    </w:rPr>
  </w:style>
  <w:style w:type="character" w:styleId="HTMLTypewriter">
    <w:name w:val="HTML Typewriter"/>
    <w:basedOn w:val="DefaultParagraphFont"/>
    <w:uiPriority w:val="98"/>
    <w:semiHidden/>
    <w:rsid w:val="00106694"/>
    <w:rPr>
      <w:rFonts w:ascii="Consolas" w:hAnsi="Consolas" w:cs="Consolas"/>
      <w:sz w:val="20"/>
      <w:szCs w:val="20"/>
    </w:rPr>
  </w:style>
  <w:style w:type="character" w:styleId="HTMLVariable">
    <w:name w:val="HTML Variable"/>
    <w:basedOn w:val="DefaultParagraphFont"/>
    <w:uiPriority w:val="98"/>
    <w:semiHidden/>
    <w:rsid w:val="00106694"/>
    <w:rPr>
      <w:i/>
      <w:iCs/>
    </w:rPr>
  </w:style>
  <w:style w:type="paragraph" w:styleId="Index1">
    <w:name w:val="index 1"/>
    <w:basedOn w:val="Normal"/>
    <w:next w:val="Normal"/>
    <w:autoRedefine/>
    <w:uiPriority w:val="98"/>
    <w:semiHidden/>
    <w:rsid w:val="00106694"/>
    <w:pPr>
      <w:ind w:left="240" w:hanging="240"/>
    </w:pPr>
  </w:style>
  <w:style w:type="paragraph" w:styleId="Index2">
    <w:name w:val="index 2"/>
    <w:basedOn w:val="Normal"/>
    <w:next w:val="Normal"/>
    <w:autoRedefine/>
    <w:uiPriority w:val="98"/>
    <w:semiHidden/>
    <w:rsid w:val="00106694"/>
    <w:pPr>
      <w:ind w:left="480" w:hanging="240"/>
    </w:pPr>
  </w:style>
  <w:style w:type="paragraph" w:styleId="Index3">
    <w:name w:val="index 3"/>
    <w:basedOn w:val="Normal"/>
    <w:next w:val="Normal"/>
    <w:autoRedefine/>
    <w:uiPriority w:val="98"/>
    <w:semiHidden/>
    <w:rsid w:val="00106694"/>
    <w:pPr>
      <w:ind w:left="720" w:hanging="240"/>
    </w:pPr>
  </w:style>
  <w:style w:type="paragraph" w:styleId="Index4">
    <w:name w:val="index 4"/>
    <w:basedOn w:val="Normal"/>
    <w:next w:val="Normal"/>
    <w:autoRedefine/>
    <w:uiPriority w:val="98"/>
    <w:semiHidden/>
    <w:rsid w:val="00106694"/>
    <w:pPr>
      <w:ind w:left="960" w:hanging="240"/>
    </w:pPr>
  </w:style>
  <w:style w:type="paragraph" w:styleId="Index5">
    <w:name w:val="index 5"/>
    <w:basedOn w:val="Normal"/>
    <w:next w:val="Normal"/>
    <w:autoRedefine/>
    <w:uiPriority w:val="98"/>
    <w:semiHidden/>
    <w:rsid w:val="00106694"/>
    <w:pPr>
      <w:ind w:left="1200" w:hanging="240"/>
    </w:pPr>
  </w:style>
  <w:style w:type="paragraph" w:styleId="Index6">
    <w:name w:val="index 6"/>
    <w:basedOn w:val="Normal"/>
    <w:next w:val="Normal"/>
    <w:autoRedefine/>
    <w:uiPriority w:val="98"/>
    <w:semiHidden/>
    <w:rsid w:val="00106694"/>
    <w:pPr>
      <w:ind w:left="1440" w:hanging="240"/>
    </w:pPr>
  </w:style>
  <w:style w:type="paragraph" w:styleId="Index7">
    <w:name w:val="index 7"/>
    <w:basedOn w:val="Normal"/>
    <w:next w:val="Normal"/>
    <w:autoRedefine/>
    <w:uiPriority w:val="98"/>
    <w:semiHidden/>
    <w:rsid w:val="00106694"/>
    <w:pPr>
      <w:ind w:left="1680" w:hanging="240"/>
    </w:pPr>
  </w:style>
  <w:style w:type="paragraph" w:styleId="Index8">
    <w:name w:val="index 8"/>
    <w:basedOn w:val="Normal"/>
    <w:next w:val="Normal"/>
    <w:autoRedefine/>
    <w:uiPriority w:val="98"/>
    <w:semiHidden/>
    <w:rsid w:val="00106694"/>
    <w:pPr>
      <w:ind w:left="1920" w:hanging="240"/>
    </w:pPr>
  </w:style>
  <w:style w:type="paragraph" w:styleId="Index9">
    <w:name w:val="index 9"/>
    <w:basedOn w:val="Normal"/>
    <w:next w:val="Normal"/>
    <w:autoRedefine/>
    <w:uiPriority w:val="98"/>
    <w:semiHidden/>
    <w:rsid w:val="00106694"/>
    <w:pPr>
      <w:ind w:left="2160" w:hanging="240"/>
    </w:pPr>
  </w:style>
  <w:style w:type="paragraph" w:styleId="IndexHeading">
    <w:name w:val="index heading"/>
    <w:basedOn w:val="Normal"/>
    <w:next w:val="Index1"/>
    <w:uiPriority w:val="98"/>
    <w:semiHidden/>
    <w:rsid w:val="00106694"/>
    <w:rPr>
      <w:rFonts w:asciiTheme="majorHAnsi" w:eastAsiaTheme="majorEastAsia" w:hAnsiTheme="majorHAnsi" w:cstheme="majorBidi"/>
      <w:b/>
      <w:bCs/>
    </w:rPr>
  </w:style>
  <w:style w:type="table" w:styleId="LightGrid">
    <w:name w:val="Light Grid"/>
    <w:basedOn w:val="TableNormal"/>
    <w:uiPriority w:val="62"/>
    <w:semiHidden/>
    <w:rsid w:val="0010669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10669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10669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10669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10669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10669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10669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10669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10669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10669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10669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10669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10669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10669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10669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10669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10669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10669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10669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10669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10669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106694"/>
  </w:style>
  <w:style w:type="paragraph" w:styleId="List">
    <w:name w:val="List"/>
    <w:basedOn w:val="Normal"/>
    <w:uiPriority w:val="98"/>
    <w:semiHidden/>
    <w:rsid w:val="00106694"/>
    <w:pPr>
      <w:ind w:left="283" w:hanging="283"/>
      <w:contextualSpacing/>
    </w:pPr>
  </w:style>
  <w:style w:type="paragraph" w:styleId="List2">
    <w:name w:val="List 2"/>
    <w:basedOn w:val="Normal"/>
    <w:uiPriority w:val="98"/>
    <w:semiHidden/>
    <w:rsid w:val="00106694"/>
    <w:pPr>
      <w:ind w:left="566" w:hanging="283"/>
      <w:contextualSpacing/>
    </w:pPr>
  </w:style>
  <w:style w:type="paragraph" w:styleId="List3">
    <w:name w:val="List 3"/>
    <w:basedOn w:val="Normal"/>
    <w:uiPriority w:val="98"/>
    <w:semiHidden/>
    <w:rsid w:val="00106694"/>
    <w:pPr>
      <w:ind w:left="849" w:hanging="283"/>
      <w:contextualSpacing/>
    </w:pPr>
  </w:style>
  <w:style w:type="paragraph" w:styleId="List4">
    <w:name w:val="List 4"/>
    <w:basedOn w:val="Normal"/>
    <w:uiPriority w:val="98"/>
    <w:semiHidden/>
    <w:rsid w:val="00106694"/>
    <w:pPr>
      <w:ind w:left="1132" w:hanging="283"/>
      <w:contextualSpacing/>
    </w:pPr>
  </w:style>
  <w:style w:type="paragraph" w:styleId="List5">
    <w:name w:val="List 5"/>
    <w:basedOn w:val="Normal"/>
    <w:uiPriority w:val="98"/>
    <w:semiHidden/>
    <w:rsid w:val="00106694"/>
    <w:pPr>
      <w:ind w:left="1415" w:hanging="283"/>
      <w:contextualSpacing/>
    </w:pPr>
  </w:style>
  <w:style w:type="paragraph" w:styleId="ListBullet">
    <w:name w:val="List Bullet"/>
    <w:basedOn w:val="Normal"/>
    <w:uiPriority w:val="98"/>
    <w:semiHidden/>
    <w:rsid w:val="00106694"/>
    <w:pPr>
      <w:numPr>
        <w:numId w:val="9"/>
      </w:numPr>
    </w:pPr>
  </w:style>
  <w:style w:type="paragraph" w:styleId="ListBullet3">
    <w:name w:val="List Bullet 3"/>
    <w:basedOn w:val="Normal"/>
    <w:uiPriority w:val="98"/>
    <w:semiHidden/>
    <w:rsid w:val="00106694"/>
    <w:pPr>
      <w:numPr>
        <w:numId w:val="11"/>
      </w:numPr>
      <w:contextualSpacing/>
    </w:pPr>
  </w:style>
  <w:style w:type="paragraph" w:styleId="ListBullet4">
    <w:name w:val="List Bullet 4"/>
    <w:basedOn w:val="Normal"/>
    <w:uiPriority w:val="98"/>
    <w:semiHidden/>
    <w:rsid w:val="00106694"/>
    <w:pPr>
      <w:numPr>
        <w:numId w:val="12"/>
      </w:numPr>
      <w:contextualSpacing/>
    </w:pPr>
  </w:style>
  <w:style w:type="paragraph" w:styleId="ListBullet5">
    <w:name w:val="List Bullet 5"/>
    <w:basedOn w:val="Normal"/>
    <w:uiPriority w:val="98"/>
    <w:semiHidden/>
    <w:rsid w:val="00106694"/>
    <w:pPr>
      <w:numPr>
        <w:numId w:val="13"/>
      </w:numPr>
      <w:contextualSpacing/>
    </w:pPr>
  </w:style>
  <w:style w:type="paragraph" w:styleId="ListContinue">
    <w:name w:val="List Continue"/>
    <w:basedOn w:val="Normal"/>
    <w:uiPriority w:val="98"/>
    <w:semiHidden/>
    <w:rsid w:val="00106694"/>
    <w:pPr>
      <w:spacing w:after="120"/>
      <w:ind w:left="283"/>
      <w:contextualSpacing/>
    </w:pPr>
  </w:style>
  <w:style w:type="paragraph" w:styleId="ListContinue2">
    <w:name w:val="List Continue 2"/>
    <w:basedOn w:val="Normal"/>
    <w:uiPriority w:val="98"/>
    <w:semiHidden/>
    <w:rsid w:val="00106694"/>
    <w:pPr>
      <w:spacing w:after="120"/>
      <w:ind w:left="566"/>
      <w:contextualSpacing/>
    </w:pPr>
  </w:style>
  <w:style w:type="paragraph" w:styleId="ListContinue3">
    <w:name w:val="List Continue 3"/>
    <w:basedOn w:val="Normal"/>
    <w:uiPriority w:val="98"/>
    <w:semiHidden/>
    <w:rsid w:val="00106694"/>
    <w:pPr>
      <w:spacing w:after="120"/>
      <w:ind w:left="849"/>
      <w:contextualSpacing/>
    </w:pPr>
  </w:style>
  <w:style w:type="paragraph" w:styleId="ListContinue4">
    <w:name w:val="List Continue 4"/>
    <w:basedOn w:val="Normal"/>
    <w:uiPriority w:val="98"/>
    <w:semiHidden/>
    <w:rsid w:val="00106694"/>
    <w:pPr>
      <w:spacing w:after="120"/>
      <w:ind w:left="1132"/>
      <w:contextualSpacing/>
    </w:pPr>
  </w:style>
  <w:style w:type="paragraph" w:styleId="ListContinue5">
    <w:name w:val="List Continue 5"/>
    <w:basedOn w:val="Normal"/>
    <w:uiPriority w:val="98"/>
    <w:semiHidden/>
    <w:rsid w:val="00106694"/>
    <w:pPr>
      <w:spacing w:after="120"/>
      <w:ind w:left="1415"/>
      <w:contextualSpacing/>
    </w:pPr>
  </w:style>
  <w:style w:type="paragraph" w:styleId="ListNumber">
    <w:name w:val="List Number"/>
    <w:basedOn w:val="Normal"/>
    <w:uiPriority w:val="98"/>
    <w:semiHidden/>
    <w:rsid w:val="00106694"/>
    <w:pPr>
      <w:numPr>
        <w:numId w:val="14"/>
      </w:numPr>
      <w:contextualSpacing/>
    </w:pPr>
  </w:style>
  <w:style w:type="paragraph" w:styleId="ListNumber2">
    <w:name w:val="List Number 2"/>
    <w:basedOn w:val="Normal"/>
    <w:uiPriority w:val="98"/>
    <w:semiHidden/>
    <w:rsid w:val="00106694"/>
    <w:pPr>
      <w:numPr>
        <w:numId w:val="15"/>
      </w:numPr>
      <w:contextualSpacing/>
    </w:pPr>
  </w:style>
  <w:style w:type="paragraph" w:styleId="ListNumber3">
    <w:name w:val="List Number 3"/>
    <w:basedOn w:val="Normal"/>
    <w:uiPriority w:val="98"/>
    <w:semiHidden/>
    <w:rsid w:val="00106694"/>
    <w:pPr>
      <w:numPr>
        <w:numId w:val="16"/>
      </w:numPr>
      <w:contextualSpacing/>
    </w:pPr>
  </w:style>
  <w:style w:type="paragraph" w:styleId="ListNumber4">
    <w:name w:val="List Number 4"/>
    <w:basedOn w:val="Normal"/>
    <w:uiPriority w:val="98"/>
    <w:semiHidden/>
    <w:rsid w:val="00106694"/>
    <w:pPr>
      <w:numPr>
        <w:numId w:val="17"/>
      </w:numPr>
      <w:contextualSpacing/>
    </w:pPr>
  </w:style>
  <w:style w:type="paragraph" w:styleId="ListNumber5">
    <w:name w:val="List Number 5"/>
    <w:basedOn w:val="Normal"/>
    <w:uiPriority w:val="98"/>
    <w:semiHidden/>
    <w:rsid w:val="00106694"/>
    <w:pPr>
      <w:numPr>
        <w:numId w:val="18"/>
      </w:numPr>
      <w:contextualSpacing/>
    </w:pPr>
  </w:style>
  <w:style w:type="paragraph" w:styleId="MacroText">
    <w:name w:val="macro"/>
    <w:link w:val="MacroTextChar"/>
    <w:uiPriority w:val="98"/>
    <w:semiHidden/>
    <w:rsid w:val="0010669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106694"/>
    <w:rPr>
      <w:rFonts w:ascii="Consolas" w:eastAsiaTheme="minorEastAsia" w:hAnsi="Consolas" w:cs="Consolas"/>
      <w:sz w:val="20"/>
      <w:szCs w:val="20"/>
    </w:rPr>
  </w:style>
  <w:style w:type="table" w:styleId="MediumGrid1">
    <w:name w:val="Medium Grid 1"/>
    <w:basedOn w:val="TableNormal"/>
    <w:uiPriority w:val="67"/>
    <w:semiHidden/>
    <w:rsid w:val="0010669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10669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10669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10669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10669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10669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10669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1066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1066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1066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1066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1066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1066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10669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10669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10669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10669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10669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10669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10669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10669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0669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10669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0669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0669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0669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0669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0669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0669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066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066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066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066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066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066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0669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10669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106694"/>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106694"/>
    <w:rPr>
      <w:rFonts w:ascii="Times New Roman" w:hAnsi="Times New Roman" w:cs="Times New Roman"/>
    </w:rPr>
  </w:style>
  <w:style w:type="paragraph" w:styleId="NormalIndent">
    <w:name w:val="Normal Indent"/>
    <w:basedOn w:val="Normal"/>
    <w:uiPriority w:val="98"/>
    <w:semiHidden/>
    <w:rsid w:val="00106694"/>
    <w:pPr>
      <w:ind w:left="720"/>
    </w:pPr>
  </w:style>
  <w:style w:type="paragraph" w:styleId="NoteHeading">
    <w:name w:val="Note Heading"/>
    <w:basedOn w:val="Normal"/>
    <w:next w:val="Normal"/>
    <w:link w:val="NoteHeadingChar"/>
    <w:uiPriority w:val="98"/>
    <w:semiHidden/>
    <w:rsid w:val="00106694"/>
  </w:style>
  <w:style w:type="character" w:customStyle="1" w:styleId="NoteHeadingChar">
    <w:name w:val="Note Heading Char"/>
    <w:basedOn w:val="DefaultParagraphFont"/>
    <w:link w:val="NoteHeading"/>
    <w:uiPriority w:val="98"/>
    <w:semiHidden/>
    <w:rsid w:val="00106694"/>
    <w:rPr>
      <w:sz w:val="24"/>
      <w:szCs w:val="24"/>
      <w:lang w:val="fr-FR"/>
    </w:rPr>
  </w:style>
  <w:style w:type="character" w:styleId="PlaceholderText">
    <w:name w:val="Placeholder Text"/>
    <w:basedOn w:val="DefaultParagraphFont"/>
    <w:uiPriority w:val="98"/>
    <w:semiHidden/>
    <w:rsid w:val="0010669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106694"/>
    <w:rPr>
      <w:rFonts w:ascii="Consolas" w:hAnsi="Consolas" w:cs="Consolas"/>
      <w:sz w:val="21"/>
      <w:szCs w:val="21"/>
    </w:rPr>
  </w:style>
  <w:style w:type="character" w:customStyle="1" w:styleId="PlainTextChar">
    <w:name w:val="Plain Text Char"/>
    <w:basedOn w:val="DefaultParagraphFont"/>
    <w:link w:val="PlainText"/>
    <w:uiPriority w:val="98"/>
    <w:semiHidden/>
    <w:rsid w:val="00106694"/>
    <w:rPr>
      <w:rFonts w:ascii="Consolas" w:hAnsi="Consolas" w:cs="Consolas"/>
      <w:sz w:val="21"/>
      <w:szCs w:val="21"/>
      <w:lang w:val="fr-FR"/>
    </w:rPr>
  </w:style>
  <w:style w:type="paragraph" w:styleId="Salutation">
    <w:name w:val="Salutation"/>
    <w:basedOn w:val="Normal"/>
    <w:next w:val="Normal"/>
    <w:link w:val="SalutationChar"/>
    <w:uiPriority w:val="98"/>
    <w:semiHidden/>
    <w:rsid w:val="00106694"/>
  </w:style>
  <w:style w:type="character" w:customStyle="1" w:styleId="SalutationChar">
    <w:name w:val="Salutation Char"/>
    <w:basedOn w:val="DefaultParagraphFont"/>
    <w:link w:val="Salutation"/>
    <w:uiPriority w:val="98"/>
    <w:semiHidden/>
    <w:rsid w:val="00106694"/>
    <w:rPr>
      <w:sz w:val="24"/>
      <w:szCs w:val="24"/>
      <w:lang w:val="fr-FR"/>
    </w:rPr>
  </w:style>
  <w:style w:type="paragraph" w:styleId="Signature">
    <w:name w:val="Signature"/>
    <w:basedOn w:val="Normal"/>
    <w:link w:val="SignatureChar"/>
    <w:uiPriority w:val="98"/>
    <w:semiHidden/>
    <w:rsid w:val="00106694"/>
    <w:pPr>
      <w:ind w:left="4252"/>
    </w:pPr>
  </w:style>
  <w:style w:type="character" w:customStyle="1" w:styleId="SignatureChar">
    <w:name w:val="Signature Char"/>
    <w:basedOn w:val="DefaultParagraphFont"/>
    <w:link w:val="Signature"/>
    <w:uiPriority w:val="98"/>
    <w:semiHidden/>
    <w:rsid w:val="00106694"/>
    <w:rPr>
      <w:sz w:val="24"/>
      <w:szCs w:val="24"/>
      <w:lang w:val="fr-FR"/>
    </w:rPr>
  </w:style>
  <w:style w:type="table" w:styleId="Table3Deffects1">
    <w:name w:val="Table 3D effects 1"/>
    <w:basedOn w:val="TableNormal"/>
    <w:uiPriority w:val="99"/>
    <w:semiHidden/>
    <w:unhideWhenUsed/>
    <w:rsid w:val="0010669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0669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0669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0669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0669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0669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0669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0669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0669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0669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0669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0669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0669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0669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0669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0669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0669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0669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0669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0669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0669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0669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0669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0669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0669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0669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0669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0669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0669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0669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0669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0669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0669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06694"/>
    <w:pPr>
      <w:ind w:left="240" w:hanging="240"/>
    </w:pPr>
  </w:style>
  <w:style w:type="paragraph" w:styleId="TableofFigures">
    <w:name w:val="table of figures"/>
    <w:basedOn w:val="Normal"/>
    <w:next w:val="Normal"/>
    <w:uiPriority w:val="98"/>
    <w:semiHidden/>
    <w:rsid w:val="00106694"/>
  </w:style>
  <w:style w:type="table" w:styleId="TableProfessional">
    <w:name w:val="Table Professional"/>
    <w:basedOn w:val="TableNormal"/>
    <w:uiPriority w:val="99"/>
    <w:semiHidden/>
    <w:unhideWhenUsed/>
    <w:rsid w:val="0010669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0669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0669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0669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0669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0669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0669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0669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0669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0669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10669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10669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106694"/>
    <w:pPr>
      <w:spacing w:after="100"/>
      <w:ind w:left="1680"/>
    </w:pPr>
  </w:style>
  <w:style w:type="paragraph" w:styleId="TOC9">
    <w:name w:val="toc 9"/>
    <w:basedOn w:val="Normal"/>
    <w:next w:val="Normal"/>
    <w:autoRedefine/>
    <w:uiPriority w:val="98"/>
    <w:semiHidden/>
    <w:rsid w:val="00106694"/>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
    <w:basedOn w:val="Normal"/>
    <w:next w:val="Normal"/>
    <w:uiPriority w:val="29"/>
    <w:semiHidden/>
    <w:rsid w:val="0010669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106694"/>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10669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10669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106694"/>
    <w:pPr>
      <w:numPr>
        <w:numId w:val="6"/>
      </w:numPr>
      <w:spacing w:before="60" w:after="60"/>
    </w:pPr>
  </w:style>
  <w:style w:type="paragraph" w:customStyle="1" w:styleId="ECHRBullet2">
    <w:name w:val="ECHR_Bullet_2"/>
    <w:aliases w:val="_Bul_2"/>
    <w:basedOn w:val="ECHRBullet1"/>
    <w:uiPriority w:val="23"/>
    <w:semiHidden/>
    <w:rsid w:val="00106694"/>
    <w:pPr>
      <w:numPr>
        <w:ilvl w:val="1"/>
      </w:numPr>
    </w:pPr>
  </w:style>
  <w:style w:type="paragraph" w:customStyle="1" w:styleId="ECHRBullet3">
    <w:name w:val="ECHR_Bullet_3"/>
    <w:aliases w:val="_Bul_3"/>
    <w:basedOn w:val="ECHRBullet2"/>
    <w:uiPriority w:val="23"/>
    <w:semiHidden/>
    <w:rsid w:val="00106694"/>
    <w:pPr>
      <w:numPr>
        <w:ilvl w:val="2"/>
      </w:numPr>
    </w:pPr>
  </w:style>
  <w:style w:type="paragraph" w:customStyle="1" w:styleId="ECHRBullet4">
    <w:name w:val="ECHR_Bullet_4"/>
    <w:aliases w:val="_Bul_4"/>
    <w:basedOn w:val="ECHRBullet3"/>
    <w:uiPriority w:val="23"/>
    <w:semiHidden/>
    <w:rsid w:val="00106694"/>
    <w:pPr>
      <w:numPr>
        <w:ilvl w:val="3"/>
      </w:numPr>
    </w:pPr>
  </w:style>
  <w:style w:type="paragraph" w:customStyle="1" w:styleId="ECHRConfidential">
    <w:name w:val="ECHR_Confidential"/>
    <w:aliases w:val="_Confidential"/>
    <w:basedOn w:val="Normal"/>
    <w:next w:val="Normal"/>
    <w:uiPriority w:val="42"/>
    <w:semiHidden/>
    <w:qFormat/>
    <w:rsid w:val="00106694"/>
    <w:pPr>
      <w:jc w:val="right"/>
    </w:pPr>
    <w:rPr>
      <w:color w:val="C00000"/>
      <w:sz w:val="20"/>
    </w:rPr>
  </w:style>
  <w:style w:type="paragraph" w:customStyle="1" w:styleId="ECHRDecisionBody">
    <w:name w:val="ECHR_Decision_Body"/>
    <w:aliases w:val="_Decision_Body"/>
    <w:basedOn w:val="NormalJustified"/>
    <w:uiPriority w:val="54"/>
    <w:semiHidden/>
    <w:rsid w:val="0010669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10669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106694"/>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10669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106694"/>
    <w:pPr>
      <w:jc w:val="right"/>
    </w:pPr>
    <w:rPr>
      <w:sz w:val="20"/>
    </w:rPr>
  </w:style>
  <w:style w:type="paragraph" w:customStyle="1" w:styleId="ECHRHeaderRefIt">
    <w:name w:val="ECHR_Header_Ref_It"/>
    <w:aliases w:val="_Ref_Ital"/>
    <w:basedOn w:val="Normal"/>
    <w:next w:val="ECHRHeaderDate"/>
    <w:uiPriority w:val="43"/>
    <w:qFormat/>
    <w:rsid w:val="00106694"/>
    <w:pPr>
      <w:jc w:val="right"/>
    </w:pPr>
    <w:rPr>
      <w:i/>
      <w:sz w:val="20"/>
    </w:rPr>
  </w:style>
  <w:style w:type="paragraph" w:customStyle="1" w:styleId="ECHRHeading9">
    <w:name w:val="ECHR_Heading_9"/>
    <w:aliases w:val="_Head_9"/>
    <w:basedOn w:val="Heading9"/>
    <w:uiPriority w:val="17"/>
    <w:semiHidden/>
    <w:rsid w:val="00106694"/>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10669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106694"/>
    <w:pPr>
      <w:numPr>
        <w:numId w:val="8"/>
      </w:numPr>
      <w:spacing w:before="60" w:after="60"/>
    </w:pPr>
  </w:style>
  <w:style w:type="paragraph" w:customStyle="1" w:styleId="ECHRNumberedList2">
    <w:name w:val="ECHR_Numbered_List_2"/>
    <w:aliases w:val="_Num_2"/>
    <w:basedOn w:val="ECHRNumberedList1"/>
    <w:uiPriority w:val="23"/>
    <w:semiHidden/>
    <w:rsid w:val="00106694"/>
    <w:pPr>
      <w:numPr>
        <w:ilvl w:val="1"/>
      </w:numPr>
    </w:pPr>
  </w:style>
  <w:style w:type="paragraph" w:customStyle="1" w:styleId="ECHRNumberedList3">
    <w:name w:val="ECHR_Numbered_List_3"/>
    <w:aliases w:val="_Num_3"/>
    <w:basedOn w:val="ECHRNumberedList2"/>
    <w:uiPriority w:val="23"/>
    <w:semiHidden/>
    <w:rsid w:val="00106694"/>
    <w:pPr>
      <w:numPr>
        <w:ilvl w:val="2"/>
      </w:numPr>
    </w:pPr>
  </w:style>
  <w:style w:type="paragraph" w:customStyle="1" w:styleId="ECHRParaHanging">
    <w:name w:val="ECHR_Para_Hanging"/>
    <w:aliases w:val="_Hanging"/>
    <w:basedOn w:val="Normal"/>
    <w:uiPriority w:val="8"/>
    <w:semiHidden/>
    <w:qFormat/>
    <w:rsid w:val="00106694"/>
    <w:pPr>
      <w:ind w:left="567" w:hanging="567"/>
      <w:jc w:val="both"/>
    </w:pPr>
  </w:style>
  <w:style w:type="paragraph" w:customStyle="1" w:styleId="ECHRParaIndent">
    <w:name w:val="ECHR_Para_Indent"/>
    <w:aliases w:val="_Indent"/>
    <w:basedOn w:val="Normal"/>
    <w:uiPriority w:val="7"/>
    <w:semiHidden/>
    <w:qFormat/>
    <w:rsid w:val="00106694"/>
    <w:pPr>
      <w:spacing w:before="120" w:after="120"/>
      <w:ind w:left="567"/>
      <w:jc w:val="both"/>
    </w:pPr>
  </w:style>
  <w:style w:type="character" w:customStyle="1" w:styleId="ECHRRed">
    <w:name w:val="ECHR_Red"/>
    <w:aliases w:val="_Red"/>
    <w:basedOn w:val="DefaultParagraphFont"/>
    <w:uiPriority w:val="15"/>
    <w:semiHidden/>
    <w:qFormat/>
    <w:rsid w:val="00106694"/>
    <w:rPr>
      <w:color w:val="C00000" w:themeColor="accent2"/>
    </w:rPr>
  </w:style>
  <w:style w:type="paragraph" w:customStyle="1" w:styleId="DecList">
    <w:name w:val="Dec_List"/>
    <w:aliases w:val="_List"/>
    <w:basedOn w:val="JuList"/>
    <w:uiPriority w:val="22"/>
    <w:rsid w:val="00106694"/>
    <w:pPr>
      <w:numPr>
        <w:numId w:val="0"/>
      </w:numPr>
      <w:ind w:left="284"/>
    </w:pPr>
  </w:style>
  <w:style w:type="table" w:customStyle="1" w:styleId="ECHRTable2">
    <w:name w:val="ECHR_Table_2"/>
    <w:basedOn w:val="TableNormal"/>
    <w:uiPriority w:val="99"/>
    <w:rsid w:val="0010669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10669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10669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10669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10669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10669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10669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10669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106694"/>
    <w:pPr>
      <w:outlineLvl w:val="0"/>
    </w:pPr>
  </w:style>
  <w:style w:type="paragraph" w:customStyle="1" w:styleId="ECHRTitleTOC1">
    <w:name w:val="ECHR_Title_TOC_1"/>
    <w:aliases w:val="_Title_L_TOC"/>
    <w:basedOn w:val="ECHRTitle1"/>
    <w:next w:val="Normal"/>
    <w:uiPriority w:val="27"/>
    <w:semiHidden/>
    <w:qFormat/>
    <w:rsid w:val="00106694"/>
    <w:pPr>
      <w:outlineLvl w:val="0"/>
    </w:pPr>
  </w:style>
  <w:style w:type="paragraph" w:customStyle="1" w:styleId="ECHRPlaceholder">
    <w:name w:val="ECHR_Placeholder"/>
    <w:aliases w:val="_Placeholder"/>
    <w:basedOn w:val="JuSigned"/>
    <w:uiPriority w:val="31"/>
    <w:rsid w:val="00106694"/>
    <w:rPr>
      <w:color w:val="FFFFFF"/>
    </w:rPr>
  </w:style>
  <w:style w:type="paragraph" w:customStyle="1" w:styleId="ECHRSpacer">
    <w:name w:val="ECHR_Spacer"/>
    <w:aliases w:val="_Spacer"/>
    <w:basedOn w:val="Normal"/>
    <w:uiPriority w:val="45"/>
    <w:semiHidden/>
    <w:rsid w:val="00106694"/>
    <w:rPr>
      <w:sz w:val="4"/>
    </w:rPr>
  </w:style>
  <w:style w:type="table" w:customStyle="1" w:styleId="ECHRTableGrey">
    <w:name w:val="ECHR_Table_Grey"/>
    <w:basedOn w:val="TableNormal"/>
    <w:uiPriority w:val="99"/>
    <w:rsid w:val="0010669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D062AC"/>
    <w:rPr>
      <w:sz w:val="24"/>
      <w:szCs w:val="24"/>
      <w:lang w:val="fr-FR"/>
    </w:rPr>
  </w:style>
  <w:style w:type="character" w:customStyle="1" w:styleId="JuNames0">
    <w:name w:val="Ju_Names"/>
    <w:rsid w:val="00D062AC"/>
    <w:rPr>
      <w:smallCaps/>
    </w:rPr>
  </w:style>
  <w:style w:type="paragraph" w:customStyle="1" w:styleId="JuList4">
    <w:name w:val="Ju_List_4"/>
    <w:aliases w:val="N_Bul_4"/>
    <w:basedOn w:val="JuListi"/>
    <w:uiPriority w:val="19"/>
    <w:rsid w:val="00D062AC"/>
    <w:pPr>
      <w:numPr>
        <w:ilvl w:val="0"/>
        <w:numId w:val="0"/>
      </w:numPr>
      <w:tabs>
        <w:tab w:val="num" w:pos="1701"/>
      </w:tabs>
      <w:spacing w:before="60" w:after="60" w:line="240" w:lineRule="exact"/>
      <w:ind w:left="1703" w:hanging="284"/>
      <w:contextualSpacing/>
    </w:pPr>
    <w:rPr>
      <w:sz w:val="22"/>
      <w:lang w:eastAsia="fr-FR"/>
    </w:rPr>
  </w:style>
  <w:style w:type="character" w:customStyle="1" w:styleId="UnresolvedMention">
    <w:name w:val="Unresolved Mention"/>
    <w:basedOn w:val="DefaultParagraphFont"/>
    <w:uiPriority w:val="99"/>
    <w:semiHidden/>
    <w:unhideWhenUsed/>
    <w:rsid w:val="00D062AC"/>
    <w:rPr>
      <w:color w:val="605E5C"/>
      <w:shd w:val="clear" w:color="auto" w:fill="E1DFDD"/>
    </w:rPr>
  </w:style>
  <w:style w:type="table" w:styleId="GridTable1Light">
    <w:name w:val="Grid Table 1 Light"/>
    <w:basedOn w:val="TableNormal"/>
    <w:uiPriority w:val="46"/>
    <w:semiHidden/>
    <w:rsid w:val="0010669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10669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10669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10669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10669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10669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10669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10669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10669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10669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10669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10669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10669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10669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1066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10669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10669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10669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10669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10669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10669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1066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10669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10669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10669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10669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10669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10669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1066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1066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1066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1066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1066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1066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10669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10669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10669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10669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10669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10669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10669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10669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10669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10669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10669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10669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10669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10669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10669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106694"/>
    <w:rPr>
      <w:color w:val="2B579A"/>
      <w:shd w:val="clear" w:color="auto" w:fill="E1DFDD"/>
    </w:rPr>
  </w:style>
  <w:style w:type="table" w:styleId="ListTable1Light">
    <w:name w:val="List Table 1 Light"/>
    <w:basedOn w:val="TableNormal"/>
    <w:uiPriority w:val="46"/>
    <w:semiHidden/>
    <w:rsid w:val="0010669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10669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10669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10669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10669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10669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10669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10669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10669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10669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10669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10669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10669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10669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10669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10669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10669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10669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10669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10669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10669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10669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10669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10669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10669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10669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10669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10669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10669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10669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10669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10669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10669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10669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10669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10669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10669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10669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10669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10669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10669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10669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10669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10669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10669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10669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10669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10669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10669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106694"/>
    <w:rPr>
      <w:color w:val="2B579A"/>
      <w:shd w:val="clear" w:color="auto" w:fill="E1DFDD"/>
    </w:rPr>
  </w:style>
  <w:style w:type="table" w:styleId="PlainTable1">
    <w:name w:val="Plain Table 1"/>
    <w:basedOn w:val="TableNormal"/>
    <w:uiPriority w:val="41"/>
    <w:semiHidden/>
    <w:rsid w:val="0010669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1066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10669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1066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10669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106694"/>
    <w:rPr>
      <w:u w:val="dotted"/>
    </w:rPr>
  </w:style>
  <w:style w:type="character" w:customStyle="1" w:styleId="SmartLink">
    <w:name w:val="Smart Link"/>
    <w:basedOn w:val="DefaultParagraphFont"/>
    <w:uiPriority w:val="99"/>
    <w:semiHidden/>
    <w:unhideWhenUsed/>
    <w:rsid w:val="00106694"/>
    <w:rPr>
      <w:color w:val="0000FF"/>
      <w:u w:val="single"/>
      <w:shd w:val="clear" w:color="auto" w:fill="F3F2F1"/>
    </w:rPr>
  </w:style>
  <w:style w:type="table" w:styleId="TableGridLight">
    <w:name w:val="Grid Table Light"/>
    <w:basedOn w:val="TableNormal"/>
    <w:uiPriority w:val="40"/>
    <w:semiHidden/>
    <w:rsid w:val="0010669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B1439-99D3-4DF9-8DE7-1CAEDC79A125}">
  <ds:schemaRefs>
    <ds:schemaRef ds:uri="http://schemas.openxmlformats.org/officeDocument/2006/bibliography"/>
  </ds:schemaRefs>
</ds:datastoreItem>
</file>

<file path=customXml/itemProps2.xml><?xml version="1.0" encoding="utf-8"?>
<ds:datastoreItem xmlns:ds="http://schemas.openxmlformats.org/officeDocument/2006/customXml" ds:itemID="{698CC42F-8204-4A2B-99DD-D2B60AC4A397}"/>
</file>

<file path=customXml/itemProps3.xml><?xml version="1.0" encoding="utf-8"?>
<ds:datastoreItem xmlns:ds="http://schemas.openxmlformats.org/officeDocument/2006/customXml" ds:itemID="{A92577F6-279A-48D1-9540-C5AF47712F39}"/>
</file>

<file path=customXml/itemProps4.xml><?xml version="1.0" encoding="utf-8"?>
<ds:datastoreItem xmlns:ds="http://schemas.openxmlformats.org/officeDocument/2006/customXml" ds:itemID="{6CB29A50-2A6E-4B4F-859D-91790448186B}"/>
</file>

<file path=docProps/app.xml><?xml version="1.0" encoding="utf-8"?>
<Properties xmlns="http://schemas.openxmlformats.org/officeDocument/2006/extended-properties" xmlns:vt="http://schemas.openxmlformats.org/officeDocument/2006/docPropsVTypes">
  <Template>Normal.dotm</Template>
  <TotalTime>0</TotalTime>
  <Pages>1</Pages>
  <Words>4479</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Arrêt</vt:lpstr>
    </vt:vector>
  </TitlesOfParts>
  <Manager/>
  <Company/>
  <LinksUpToDate>false</LinksUpToDate>
  <CharactersWithSpaces>29956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2021-09-09T07:51:00Z</dcterms:created>
  <dcterms:modified xsi:type="dcterms:W3CDTF">2021-09-09T07:51:00Z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31051/16</vt:lpwstr>
  </property>
  <property fmtid="{D5CDD505-2E9C-101B-9397-08002B2CF9AE}" pid="4" name="CASEID">
    <vt:lpwstr>1204497</vt:lpwstr>
  </property>
  <property fmtid="{D5CDD505-2E9C-101B-9397-08002B2CF9AE}" pid="5" name="ContentTypeId">
    <vt:lpwstr>0x010100558EB02BDB9E204AB350EDD385B68E10</vt:lpwstr>
  </property>
</Properties>
</file>