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E00AD" w:rsidR="003C67EE" w:rsidP="001E00AD" w:rsidRDefault="003C67EE" w14:paraId="06112749" w14:textId="77777777">
      <w:pPr>
        <w:rPr>
          <w:rFonts w:ascii="Times New Roman" w:hAnsi="Times New Roman" w:cs="Times New Roman"/>
        </w:rPr>
      </w:pPr>
    </w:p>
    <w:p w:rsidRPr="001E00AD" w:rsidR="007A4070" w:rsidP="001E00AD" w:rsidRDefault="003C67EE" w14:paraId="5770D108" w14:textId="7FEF051E">
      <w:pPr>
        <w:pStyle w:val="DecHCase"/>
      </w:pPr>
      <w:r w:rsidRPr="001E00AD">
        <w:t>TROISIÈME SECTION</w:t>
      </w:r>
    </w:p>
    <w:p w:rsidRPr="001E00AD" w:rsidR="007A4070" w:rsidP="001E00AD" w:rsidRDefault="007A4070" w14:paraId="1E101193" w14:textId="2BB91D2E">
      <w:pPr>
        <w:pStyle w:val="JuTitle"/>
      </w:pPr>
      <w:r w:rsidRPr="001E00AD">
        <w:t xml:space="preserve">AFFAIRE </w:t>
      </w:r>
      <w:r w:rsidRPr="001E00AD" w:rsidR="003C67EE">
        <w:t>DOMENECH FIGUEROA c. ESPAGNE</w:t>
      </w:r>
    </w:p>
    <w:p w:rsidRPr="001E00AD" w:rsidR="007A4070" w:rsidP="001E00AD" w:rsidRDefault="007A4070" w14:paraId="47BA3012" w14:textId="36C1C296">
      <w:pPr>
        <w:pStyle w:val="ECHRCoverTitle4"/>
      </w:pPr>
      <w:r w:rsidRPr="001E00AD">
        <w:t>(</w:t>
      </w:r>
      <w:r w:rsidRPr="001E00AD" w:rsidR="003C67EE">
        <w:t>Requête n</w:t>
      </w:r>
      <w:r w:rsidRPr="001E00AD" w:rsidR="003C67EE">
        <w:rPr>
          <w:vertAlign w:val="superscript"/>
        </w:rPr>
        <w:t>o</w:t>
      </w:r>
      <w:r w:rsidRPr="001E00AD">
        <w:t xml:space="preserve"> </w:t>
      </w:r>
      <w:r w:rsidRPr="001E00AD" w:rsidR="003C67EE">
        <w:t>54696/18</w:t>
      </w:r>
      <w:r w:rsidRPr="001E00AD">
        <w:t>)</w:t>
      </w:r>
    </w:p>
    <w:p w:rsidRPr="001E00AD" w:rsidR="007A4070" w:rsidP="001E00AD" w:rsidRDefault="007A4070" w14:paraId="4CD2F4CF" w14:textId="77777777">
      <w:pPr>
        <w:pStyle w:val="DecHCase"/>
      </w:pPr>
    </w:p>
    <w:p w:rsidRPr="001E00AD" w:rsidR="007A4070" w:rsidP="001E00AD" w:rsidRDefault="007A4070" w14:paraId="540693F9" w14:textId="77777777">
      <w:pPr>
        <w:pStyle w:val="DecHCase"/>
      </w:pPr>
    </w:p>
    <w:p w:rsidRPr="001E00AD" w:rsidR="007A4070" w:rsidP="001E00AD" w:rsidRDefault="007A4070" w14:paraId="1B678B14" w14:textId="77777777">
      <w:pPr>
        <w:pStyle w:val="DecHCase"/>
      </w:pPr>
    </w:p>
    <w:p w:rsidRPr="001E00AD" w:rsidR="007A4070" w:rsidP="001E00AD" w:rsidRDefault="007A4070" w14:paraId="6E4F4D03" w14:textId="77777777">
      <w:pPr>
        <w:pStyle w:val="DecHCase"/>
      </w:pPr>
    </w:p>
    <w:p w:rsidRPr="001E00AD" w:rsidR="007A4070" w:rsidP="001E00AD" w:rsidRDefault="007A4070" w14:paraId="734A689E" w14:textId="77777777">
      <w:pPr>
        <w:pStyle w:val="DecHCase"/>
      </w:pPr>
    </w:p>
    <w:p w:rsidRPr="001E00AD" w:rsidR="007A4070" w:rsidP="001E00AD" w:rsidRDefault="007A4070" w14:paraId="089C7169" w14:textId="77777777">
      <w:pPr>
        <w:pStyle w:val="DecHCase"/>
      </w:pPr>
    </w:p>
    <w:p w:rsidRPr="001E00AD" w:rsidR="007A4070" w:rsidP="001E00AD" w:rsidRDefault="007A4070" w14:paraId="74B76DEE" w14:textId="6B562D7E">
      <w:pPr>
        <w:pStyle w:val="DecHCase"/>
      </w:pPr>
      <w:r w:rsidRPr="001E00AD">
        <w:t>ARRÊT</w:t>
      </w:r>
      <w:r w:rsidRPr="001E00AD">
        <w:br/>
      </w:r>
    </w:p>
    <w:p w:rsidRPr="001E00AD" w:rsidR="007A4070" w:rsidP="001E00AD" w:rsidRDefault="007A4070" w14:paraId="3C014AC8" w14:textId="77777777">
      <w:pPr>
        <w:pStyle w:val="DecHCase"/>
      </w:pPr>
      <w:r w:rsidRPr="001E00AD">
        <w:t>STRASBOURG</w:t>
      </w:r>
    </w:p>
    <w:p w:rsidRPr="001E00AD" w:rsidR="007A4070" w:rsidP="001E00AD" w:rsidRDefault="003C67EE" w14:paraId="189EB64C" w14:textId="4D76CF86">
      <w:pPr>
        <w:pStyle w:val="DecHCase"/>
      </w:pPr>
      <w:r w:rsidRPr="001E00AD">
        <w:t>28 septembre 2021</w:t>
      </w:r>
    </w:p>
    <w:p w:rsidRPr="001E00AD" w:rsidR="007A4070" w:rsidP="001E00AD" w:rsidRDefault="007A4070" w14:paraId="1BC43AB5" w14:textId="77777777">
      <w:pPr>
        <w:pStyle w:val="DecHCase"/>
      </w:pPr>
    </w:p>
    <w:p w:rsidRPr="001E00AD" w:rsidR="00516B59" w:rsidP="001E00AD" w:rsidRDefault="007A4070" w14:paraId="520CF4F7" w14:textId="6B3C94F4">
      <w:pPr>
        <w:rPr>
          <w:rFonts w:ascii="Times New Roman" w:hAnsi="Times New Roman" w:cs="Times New Roman"/>
          <w:i/>
          <w:sz w:val="22"/>
        </w:rPr>
      </w:pPr>
      <w:r w:rsidRPr="001E00AD">
        <w:rPr>
          <w:i/>
          <w:sz w:val="22"/>
        </w:rPr>
        <w:t xml:space="preserve">Cet arrêt </w:t>
      </w:r>
      <w:r w:rsidRPr="001E00AD" w:rsidR="003C67EE">
        <w:rPr>
          <w:i/>
          <w:sz w:val="22"/>
        </w:rPr>
        <w:t>est définitif</w:t>
      </w:r>
      <w:r w:rsidRPr="001E00AD">
        <w:rPr>
          <w:i/>
          <w:sz w:val="22"/>
        </w:rPr>
        <w:t>. Il peut subir des retouches de fo</w:t>
      </w:r>
      <w:r w:rsidRPr="001E00AD" w:rsidR="00516B59">
        <w:rPr>
          <w:rFonts w:ascii="Times New Roman" w:hAnsi="Times New Roman" w:cs="Times New Roman"/>
          <w:i/>
          <w:sz w:val="22"/>
        </w:rPr>
        <w:t>rme.</w:t>
      </w:r>
    </w:p>
    <w:p w:rsidRPr="001E00AD" w:rsidR="00516B59" w:rsidP="001E00AD" w:rsidRDefault="00516B59" w14:paraId="561E7EF2" w14:textId="77777777">
      <w:pPr>
        <w:ind w:left="720"/>
        <w:rPr>
          <w:rFonts w:ascii="Times New Roman" w:hAnsi="Times New Roman" w:cs="Times New Roman"/>
          <w:sz w:val="22"/>
        </w:rPr>
        <w:sectPr w:rsidRPr="001E00AD" w:rsidR="00516B59" w:rsidSect="00902601">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1E00AD" w:rsidR="004344E6" w:rsidP="001E00AD" w:rsidRDefault="004344E6" w14:paraId="6AF8F43C" w14:textId="60A00498">
      <w:pPr>
        <w:pStyle w:val="JuCase"/>
      </w:pPr>
      <w:r w:rsidRPr="001E00AD">
        <w:t>En l</w:t>
      </w:r>
      <w:r w:rsidRPr="001E00AD" w:rsidR="001E00AD">
        <w:t>’</w:t>
      </w:r>
      <w:r w:rsidRPr="001E00AD">
        <w:t xml:space="preserve">affaire </w:t>
      </w:r>
      <w:r w:rsidRPr="001E00AD" w:rsidR="003C67EE">
        <w:t>Domenech Figueroa c. Espagne</w:t>
      </w:r>
      <w:r w:rsidRPr="001E00AD">
        <w:t>,</w:t>
      </w:r>
    </w:p>
    <w:p w:rsidRPr="001E00AD" w:rsidR="004344E6" w:rsidP="001E00AD" w:rsidRDefault="004344E6" w14:paraId="6BBE9855" w14:textId="40AB2D86">
      <w:pPr>
        <w:pStyle w:val="JuPara"/>
      </w:pPr>
      <w:r w:rsidRPr="001E00AD">
        <w:t>La Cour européenne des droits de l</w:t>
      </w:r>
      <w:r w:rsidRPr="001E00AD" w:rsidR="001E00AD">
        <w:t>’</w:t>
      </w:r>
      <w:r w:rsidRPr="001E00AD">
        <w:t>homme (</w:t>
      </w:r>
      <w:r w:rsidRPr="001E00AD" w:rsidR="003C67EE">
        <w:t>troisième section</w:t>
      </w:r>
      <w:r w:rsidRPr="001E00AD">
        <w:t xml:space="preserve">), siégeant en </w:t>
      </w:r>
      <w:r w:rsidRPr="001E00AD" w:rsidR="003C67EE">
        <w:rPr>
          <w:color w:val="000000"/>
        </w:rPr>
        <w:t xml:space="preserve">un </w:t>
      </w:r>
      <w:r w:rsidRPr="001E00AD" w:rsidR="003C67EE">
        <w:t>comité composé</w:t>
      </w:r>
      <w:r w:rsidRPr="001E00AD">
        <w:t xml:space="preserve"> de :</w:t>
      </w:r>
    </w:p>
    <w:p w:rsidRPr="001E00AD" w:rsidR="004344E6" w:rsidP="001E00AD" w:rsidRDefault="005C5A4E" w14:paraId="09E6DC82" w14:textId="5EB8838E">
      <w:pPr>
        <w:pStyle w:val="JuJudges"/>
        <w:rPr>
          <w:i/>
        </w:rPr>
      </w:pPr>
      <w:r w:rsidRPr="001E00AD">
        <w:tab/>
        <w:t>Georgios A. Serghides,</w:t>
      </w:r>
      <w:r w:rsidRPr="001E00AD">
        <w:rPr>
          <w:i/>
        </w:rPr>
        <w:t xml:space="preserve"> président,</w:t>
      </w:r>
      <w:r w:rsidRPr="001E00AD" w:rsidR="001E00AD">
        <w:rPr>
          <w:i/>
        </w:rPr>
        <w:t xml:space="preserve"> </w:t>
      </w:r>
      <w:r w:rsidRPr="001E00AD" w:rsidR="001E00AD">
        <w:rPr>
          <w:i/>
        </w:rPr>
        <w:br/>
      </w:r>
      <w:r w:rsidRPr="001E00AD">
        <w:tab/>
        <w:t>María Elósegui,</w:t>
      </w:r>
      <w:r w:rsidRPr="001E00AD" w:rsidR="001E00AD">
        <w:rPr>
          <w:i/>
        </w:rPr>
        <w:t xml:space="preserve"> </w:t>
      </w:r>
      <w:r w:rsidRPr="001E00AD" w:rsidR="001E00AD">
        <w:rPr>
          <w:i/>
        </w:rPr>
        <w:br/>
      </w:r>
      <w:r w:rsidRPr="001E00AD">
        <w:tab/>
        <w:t>Andreas Zünd,</w:t>
      </w:r>
      <w:r w:rsidRPr="001E00AD">
        <w:rPr>
          <w:i/>
        </w:rPr>
        <w:t xml:space="preserve"> juges,</w:t>
      </w:r>
      <w:r w:rsidRPr="001E00AD" w:rsidR="001E00AD">
        <w:rPr>
          <w:i/>
        </w:rPr>
        <w:br/>
      </w:r>
      <w:r w:rsidRPr="001E00AD" w:rsidR="004344E6">
        <w:t xml:space="preserve">et de </w:t>
      </w:r>
      <w:r w:rsidRPr="001E00AD" w:rsidR="003C67EE">
        <w:t>Olga Chernishova</w:t>
      </w:r>
      <w:r w:rsidRPr="001E00AD" w:rsidR="004344E6">
        <w:t xml:space="preserve">, </w:t>
      </w:r>
      <w:r w:rsidRPr="001E00AD" w:rsidR="003C67EE">
        <w:rPr>
          <w:i/>
        </w:rPr>
        <w:t>greffière adjointe</w:t>
      </w:r>
      <w:r w:rsidRPr="001E00AD" w:rsidR="003C67EE">
        <w:rPr>
          <w:iCs/>
        </w:rPr>
        <w:t xml:space="preserve"> </w:t>
      </w:r>
      <w:r w:rsidRPr="001E00AD" w:rsidR="003C67EE">
        <w:rPr>
          <w:i/>
          <w:iCs/>
        </w:rPr>
        <w:t>d</w:t>
      </w:r>
      <w:r w:rsidRPr="001E00AD" w:rsidR="003C67EE">
        <w:rPr>
          <w:i/>
        </w:rPr>
        <w:t>e section</w:t>
      </w:r>
      <w:r w:rsidRPr="001E00AD" w:rsidR="004344E6">
        <w:t>,</w:t>
      </w:r>
    </w:p>
    <w:p w:rsidRPr="001E00AD" w:rsidR="003C67EE" w:rsidP="001E00AD" w:rsidRDefault="003C67EE" w14:paraId="78A622CB" w14:textId="77777777">
      <w:pPr>
        <w:pStyle w:val="JuPara"/>
      </w:pPr>
      <w:r w:rsidRPr="001E00AD">
        <w:t>Vu :</w:t>
      </w:r>
    </w:p>
    <w:p w:rsidRPr="001E00AD" w:rsidR="003C67EE" w:rsidP="001E00AD" w:rsidRDefault="003C67EE" w14:paraId="1891AF19" w14:textId="2E3DF138">
      <w:pPr>
        <w:pStyle w:val="JuPara"/>
      </w:pPr>
      <w:r w:rsidRPr="001E00AD">
        <w:t>la requête (n</w:t>
      </w:r>
      <w:r w:rsidRPr="001E00AD">
        <w:rPr>
          <w:vertAlign w:val="superscript"/>
        </w:rPr>
        <w:t>o</w:t>
      </w:r>
      <w:r w:rsidRPr="001E00AD">
        <w:t> 54696/18) dirigée contre le Royaume d</w:t>
      </w:r>
      <w:r w:rsidRPr="001E00AD" w:rsidR="001E00AD">
        <w:t>’</w:t>
      </w:r>
      <w:r w:rsidRPr="001E00AD">
        <w:t xml:space="preserve">Espagne et dont un ressortissant de cet État, M. Ignacio Domenech Figueroa (« le requérant ») a </w:t>
      </w:r>
      <w:bookmarkStart w:name="_Hlk36124016" w:id="0"/>
      <w:r w:rsidRPr="001E00AD">
        <w:t>saisi la Cour le 13 novembre 2018 en vertu de l</w:t>
      </w:r>
      <w:r w:rsidRPr="001E00AD" w:rsidR="001E00AD">
        <w:t>’</w:t>
      </w:r>
      <w:r w:rsidRPr="001E00AD">
        <w:t>article 34 de la Convention de sauvegarde des droits de l</w:t>
      </w:r>
      <w:r w:rsidRPr="001E00AD" w:rsidR="001E00AD">
        <w:t>’</w:t>
      </w:r>
      <w:r w:rsidRPr="001E00AD">
        <w:t>homme et des libertés fondamentales (« la Convention »)</w:t>
      </w:r>
      <w:bookmarkEnd w:id="0"/>
      <w:r w:rsidRPr="001E00AD">
        <w:t>,</w:t>
      </w:r>
    </w:p>
    <w:p w:rsidRPr="001E00AD" w:rsidR="003C67EE" w:rsidP="001E00AD" w:rsidRDefault="003C67EE" w14:paraId="27F7148C" w14:textId="77777777">
      <w:pPr>
        <w:pStyle w:val="JuPara"/>
      </w:pPr>
      <w:r w:rsidRPr="001E00AD">
        <w:t>Notant que le 2 septembre 2019 la requête a été communiquée au Gouvernement,</w:t>
      </w:r>
    </w:p>
    <w:p w:rsidRPr="001E00AD" w:rsidR="003C67EE" w:rsidP="001E00AD" w:rsidRDefault="003C67EE" w14:paraId="4CDBF6C1" w14:textId="77777777">
      <w:pPr>
        <w:pStyle w:val="JuPara"/>
      </w:pPr>
      <w:r w:rsidRPr="001E00AD">
        <w:t>Vu les observations des parties,</w:t>
      </w:r>
    </w:p>
    <w:p w:rsidRPr="001E00AD" w:rsidR="004344E6" w:rsidP="001E00AD" w:rsidRDefault="004344E6" w14:paraId="2D963749" w14:textId="6FF319AD">
      <w:pPr>
        <w:pStyle w:val="JuPara"/>
      </w:pPr>
      <w:r w:rsidRPr="001E00AD">
        <w:t xml:space="preserve">Après en avoir délibéré en chambre du conseil le </w:t>
      </w:r>
      <w:r w:rsidRPr="001E00AD" w:rsidR="00365B91">
        <w:t>7</w:t>
      </w:r>
      <w:r w:rsidRPr="001E00AD" w:rsidR="003C67EE">
        <w:t xml:space="preserve"> septembre 2021</w:t>
      </w:r>
      <w:r w:rsidRPr="001E00AD">
        <w:t>,</w:t>
      </w:r>
    </w:p>
    <w:p w:rsidRPr="001E00AD" w:rsidR="00876F03" w:rsidP="001E00AD" w:rsidRDefault="004344E6" w14:paraId="76D3B7F2" w14:textId="471ABE0C">
      <w:pPr>
        <w:pStyle w:val="JuPara"/>
      </w:pPr>
      <w:r w:rsidRPr="001E00AD">
        <w:t>Rend l</w:t>
      </w:r>
      <w:r w:rsidRPr="001E00AD" w:rsidR="001E00AD">
        <w:t>’</w:t>
      </w:r>
      <w:r w:rsidRPr="001E00AD">
        <w:t>arrêt que voici</w:t>
      </w:r>
      <w:r w:rsidRPr="001E00AD" w:rsidR="00876F03">
        <w:t>, adopté à cette date :</w:t>
      </w:r>
    </w:p>
    <w:p w:rsidRPr="001E00AD" w:rsidR="003C67EE" w:rsidP="001E00AD" w:rsidRDefault="003C67EE" w14:paraId="3344A33F" w14:textId="77777777">
      <w:pPr>
        <w:pStyle w:val="JuHHead"/>
      </w:pPr>
      <w:r w:rsidRPr="001E00AD">
        <w:rPr>
          <w:caps w:val="0"/>
        </w:rPr>
        <w:t>INTRODUCTION</w:t>
      </w:r>
    </w:p>
    <w:p w:rsidRPr="001E00AD" w:rsidR="003C67EE" w:rsidP="001E00AD" w:rsidRDefault="003C67EE" w14:paraId="6B3763C1" w14:textId="5622177C">
      <w:pPr>
        <w:pStyle w:val="JuPara"/>
      </w:pPr>
      <w:r w:rsidRPr="001E00AD">
        <w:fldChar w:fldCharType="begin"/>
      </w:r>
      <w:r w:rsidRPr="001E00AD">
        <w:instrText xml:space="preserve"> SEQ level0 \*arabic </w:instrText>
      </w:r>
      <w:r w:rsidRPr="001E00AD">
        <w:fldChar w:fldCharType="separate"/>
      </w:r>
      <w:r w:rsidRPr="001E00AD" w:rsidR="001E00AD">
        <w:rPr>
          <w:noProof/>
        </w:rPr>
        <w:t>1</w:t>
      </w:r>
      <w:r w:rsidRPr="001E00AD">
        <w:fldChar w:fldCharType="end"/>
      </w:r>
      <w:r w:rsidRPr="001E00AD">
        <w:t>.  L</w:t>
      </w:r>
      <w:r w:rsidRPr="001E00AD" w:rsidR="001E00AD">
        <w:t>’</w:t>
      </w:r>
      <w:r w:rsidRPr="001E00AD">
        <w:t>affaire concerne une procédure civile entamée par le requérant pour contester la légalité du licenciement collectif mis</w:t>
      </w:r>
      <w:r w:rsidRPr="001E00AD" w:rsidR="004C2AB1">
        <w:t xml:space="preserve"> en</w:t>
      </w:r>
      <w:r w:rsidRPr="001E00AD" w:rsidR="00353ECE">
        <w:t xml:space="preserve"> </w:t>
      </w:r>
      <w:r w:rsidRPr="001E00AD">
        <w:t>œuvre p</w:t>
      </w:r>
      <w:r w:rsidRPr="001E00AD">
        <w:rPr>
          <w:lang w:val="ca-ES"/>
        </w:rPr>
        <w:t>ar son employeur</w:t>
      </w:r>
      <w:r w:rsidRPr="001E00AD">
        <w:t>. Le requérant se plaint que les juridictions internes aient commis une erreur qui a postérieurement entraîné l</w:t>
      </w:r>
      <w:r w:rsidRPr="001E00AD" w:rsidR="001E00AD">
        <w:t>’</w:t>
      </w:r>
      <w:r w:rsidRPr="001E00AD">
        <w:t>irrecevabilité du pourvoi en cassation formé par lui devant le Tribunal suprême. Il a de ce fait été privé de son droit d</w:t>
      </w:r>
      <w:r w:rsidRPr="001E00AD" w:rsidR="001E00AD">
        <w:t>’</w:t>
      </w:r>
      <w:r w:rsidRPr="001E00AD">
        <w:t>accès à la juridiction suprême. Est en cause l</w:t>
      </w:r>
      <w:r w:rsidRPr="001E00AD" w:rsidR="001E00AD">
        <w:t>’</w:t>
      </w:r>
      <w:r w:rsidRPr="001E00AD">
        <w:t>article 6 § 1 de la Convention.</w:t>
      </w:r>
    </w:p>
    <w:p w:rsidRPr="001E00AD" w:rsidR="003C67EE" w:rsidP="001E00AD" w:rsidRDefault="003C67EE" w14:paraId="46FAC1F9" w14:textId="77777777">
      <w:pPr>
        <w:pStyle w:val="JuHHead"/>
      </w:pPr>
      <w:bookmarkStart w:name="_Hlk36126677" w:id="1"/>
      <w:r w:rsidRPr="001E00AD">
        <w:t>EN FAIT</w:t>
      </w:r>
    </w:p>
    <w:bookmarkEnd w:id="1"/>
    <w:p w:rsidRPr="001E00AD" w:rsidR="003C67EE" w:rsidP="001E00AD" w:rsidRDefault="003C67EE" w14:paraId="1CF045CD" w14:textId="399DFF91">
      <w:pPr>
        <w:pStyle w:val="JuPara"/>
      </w:pPr>
      <w:r w:rsidRPr="001E00AD">
        <w:fldChar w:fldCharType="begin"/>
      </w:r>
      <w:r w:rsidRPr="001E00AD">
        <w:instrText xml:space="preserve"> SEQ level0 \*arabic </w:instrText>
      </w:r>
      <w:r w:rsidRPr="001E00AD">
        <w:fldChar w:fldCharType="separate"/>
      </w:r>
      <w:r w:rsidRPr="001E00AD" w:rsidR="001E00AD">
        <w:rPr>
          <w:noProof/>
        </w:rPr>
        <w:t>2</w:t>
      </w:r>
      <w:r w:rsidRPr="001E00AD">
        <w:fldChar w:fldCharType="end"/>
      </w:r>
      <w:r w:rsidRPr="001E00AD">
        <w:t>.  Le requérant est né en 1973 et réside à Mijas. Il a été représenté par M</w:t>
      </w:r>
      <w:r w:rsidRPr="001E00AD">
        <w:rPr>
          <w:vertAlign w:val="superscript"/>
        </w:rPr>
        <w:t>e</w:t>
      </w:r>
      <w:r w:rsidRPr="001E00AD">
        <w:t> </w:t>
      </w:r>
      <w:bookmarkStart w:name="_Hlk83388623" w:id="2"/>
      <w:r w:rsidRPr="001E00AD">
        <w:t>A.M. Vázquez Meiriño</w:t>
      </w:r>
      <w:bookmarkEnd w:id="2"/>
      <w:r w:rsidRPr="001E00AD">
        <w:t>, avocate.</w:t>
      </w:r>
    </w:p>
    <w:p w:rsidRPr="001E00AD" w:rsidR="003C67EE" w:rsidP="001E00AD" w:rsidRDefault="003C67EE" w14:paraId="48B282DE" w14:textId="34D2896C">
      <w:pPr>
        <w:pStyle w:val="JuPara"/>
      </w:pPr>
      <w:r w:rsidRPr="001E00AD">
        <w:fldChar w:fldCharType="begin"/>
      </w:r>
      <w:r w:rsidRPr="001E00AD">
        <w:instrText xml:space="preserve"> SEQ level0 \*arabic </w:instrText>
      </w:r>
      <w:r w:rsidRPr="001E00AD">
        <w:fldChar w:fldCharType="separate"/>
      </w:r>
      <w:r w:rsidRPr="001E00AD" w:rsidR="001E00AD">
        <w:rPr>
          <w:noProof/>
        </w:rPr>
        <w:t>3</w:t>
      </w:r>
      <w:r w:rsidRPr="001E00AD">
        <w:fldChar w:fldCharType="end"/>
      </w:r>
      <w:r w:rsidRPr="001E00AD">
        <w:t>.  </w:t>
      </w:r>
      <w:bookmarkStart w:name="_Hlk36127123" w:id="3"/>
      <w:r w:rsidRPr="001E00AD">
        <w:t>Le Gouvernement a été représenté par son agent, M. A. B. Brezmes Martínez de Villareal, avocat de l</w:t>
      </w:r>
      <w:r w:rsidRPr="001E00AD" w:rsidR="001E00AD">
        <w:t>’</w:t>
      </w:r>
      <w:r w:rsidRPr="001E00AD">
        <w:t>État et chef du service juridique des droits de l</w:t>
      </w:r>
      <w:r w:rsidRPr="001E00AD" w:rsidR="001E00AD">
        <w:t>’</w:t>
      </w:r>
      <w:r w:rsidRPr="001E00AD">
        <w:t>homme au ministère de la Justice.</w:t>
      </w:r>
      <w:bookmarkEnd w:id="3"/>
    </w:p>
    <w:p w:rsidRPr="001E00AD" w:rsidR="003C67EE" w:rsidP="001E00AD" w:rsidRDefault="003C67EE" w14:paraId="03535DBD" w14:textId="798F3C91">
      <w:pPr>
        <w:pStyle w:val="JuPara"/>
      </w:pPr>
      <w:r w:rsidRPr="001E00AD">
        <w:fldChar w:fldCharType="begin"/>
      </w:r>
      <w:r w:rsidRPr="001E00AD">
        <w:instrText xml:space="preserve"> SEQ level0 \*arabic </w:instrText>
      </w:r>
      <w:r w:rsidRPr="001E00AD">
        <w:fldChar w:fldCharType="separate"/>
      </w:r>
      <w:r w:rsidRPr="001E00AD" w:rsidR="001E00AD">
        <w:rPr>
          <w:noProof/>
        </w:rPr>
        <w:t>4</w:t>
      </w:r>
      <w:r w:rsidRPr="001E00AD">
        <w:fldChar w:fldCharType="end"/>
      </w:r>
      <w:r w:rsidRPr="001E00AD">
        <w:t>.  Les faits de la cause, tels qu</w:t>
      </w:r>
      <w:r w:rsidRPr="001E00AD" w:rsidR="001E00AD">
        <w:t>’</w:t>
      </w:r>
      <w:r w:rsidRPr="001E00AD">
        <w:t>ils ont été exposés par les parties, peuvent se résumer comme suit.</w:t>
      </w:r>
    </w:p>
    <w:p w:rsidRPr="001E00AD" w:rsidR="003C67EE" w:rsidP="001E00AD" w:rsidRDefault="003C67EE" w14:paraId="303FBC08" w14:textId="072208B2">
      <w:pPr>
        <w:pStyle w:val="JuPara"/>
      </w:pPr>
      <w:r w:rsidRPr="001E00AD">
        <w:fldChar w:fldCharType="begin"/>
      </w:r>
      <w:r w:rsidRPr="001E00AD">
        <w:instrText xml:space="preserve"> SEQ level0 \*arabic </w:instrText>
      </w:r>
      <w:r w:rsidRPr="001E00AD">
        <w:fldChar w:fldCharType="separate"/>
      </w:r>
      <w:r w:rsidRPr="001E00AD" w:rsidR="001E00AD">
        <w:rPr>
          <w:noProof/>
        </w:rPr>
        <w:t>5</w:t>
      </w:r>
      <w:r w:rsidRPr="001E00AD">
        <w:fldChar w:fldCharType="end"/>
      </w:r>
      <w:r w:rsidRPr="001E00AD">
        <w:t xml:space="preserve">.  Le requérant était employé </w:t>
      </w:r>
      <w:r w:rsidRPr="001E00AD">
        <w:rPr>
          <w:lang w:val="ca-ES"/>
        </w:rPr>
        <w:t>dans un</w:t>
      </w:r>
      <w:r w:rsidRPr="001E00AD">
        <w:t xml:space="preserve"> établissement bancaire et, au vu de l</w:t>
      </w:r>
      <w:r w:rsidRPr="001E00AD" w:rsidR="001E00AD">
        <w:t>’</w:t>
      </w:r>
      <w:r w:rsidRPr="001E00AD">
        <w:t>annonce de la fermeture de toutes les agences, il décida d</w:t>
      </w:r>
      <w:r w:rsidRPr="001E00AD" w:rsidR="001E00AD">
        <w:t>’</w:t>
      </w:r>
      <w:r w:rsidRPr="001E00AD">
        <w:t>adhérer volontairement au licenciement collectif qui avait été convenu avec l</w:t>
      </w:r>
      <w:r w:rsidRPr="001E00AD" w:rsidR="001E00AD">
        <w:t>’</w:t>
      </w:r>
      <w:r w:rsidRPr="001E00AD">
        <w:t>entreprise. Après un certain temps, aucune agence n</w:t>
      </w:r>
      <w:r w:rsidRPr="001E00AD" w:rsidR="001E00AD">
        <w:t>’</w:t>
      </w:r>
      <w:r w:rsidRPr="001E00AD">
        <w:t>ayant finalement été fermée, le requérant entama une procédure civile ordinaire, demandant à titre principal la nullité de son adhésion au plan de licenciement collectif pour cause de vice de consentement (articles 1265, 1269, 1270 et 1300 du code civil espagnol) et, à titre subsidiaire, l</w:t>
      </w:r>
      <w:r w:rsidRPr="001E00AD" w:rsidR="001E00AD">
        <w:t>’</w:t>
      </w:r>
      <w:r w:rsidRPr="001E00AD">
        <w:t>indemnisation du préjudice subi (article 1101 du code civil espagnol). Au cours de la procédure orale, il renonça expressément à la prétention subsidiaire et maintint la prétention principale.</w:t>
      </w:r>
    </w:p>
    <w:p w:rsidRPr="001E00AD" w:rsidR="003C67EE" w:rsidP="001E00AD" w:rsidRDefault="003C67EE" w14:paraId="181D445F" w14:textId="608C2FF9">
      <w:pPr>
        <w:pStyle w:val="JuPara"/>
      </w:pPr>
      <w:r w:rsidRPr="001E00AD">
        <w:fldChar w:fldCharType="begin"/>
      </w:r>
      <w:r w:rsidRPr="001E00AD">
        <w:instrText xml:space="preserve"> SEQ level0 \*arabic </w:instrText>
      </w:r>
      <w:r w:rsidRPr="001E00AD">
        <w:fldChar w:fldCharType="separate"/>
      </w:r>
      <w:r w:rsidRPr="001E00AD" w:rsidR="001E00AD">
        <w:rPr>
          <w:noProof/>
        </w:rPr>
        <w:t>6</w:t>
      </w:r>
      <w:r w:rsidRPr="001E00AD">
        <w:fldChar w:fldCharType="end"/>
      </w:r>
      <w:r w:rsidRPr="001E00AD">
        <w:t>.  Par un jugement du 23 décembre 2015, le juge des affaires sociales n</w:t>
      </w:r>
      <w:r w:rsidRPr="001E00AD">
        <w:rPr>
          <w:vertAlign w:val="superscript"/>
        </w:rPr>
        <w:t>o</w:t>
      </w:r>
      <w:r w:rsidRPr="001E00AD">
        <w:t> 13 de Málaga débouta le requérant. Il déclara par erreur que celui-ci avait retiré sa demande en nullité formée à titre principal et qu</w:t>
      </w:r>
      <w:r w:rsidRPr="001E00AD" w:rsidR="001E00AD">
        <w:t>’</w:t>
      </w:r>
      <w:r w:rsidRPr="001E00AD">
        <w:t>il avait maintenu la demande d</w:t>
      </w:r>
      <w:r w:rsidRPr="001E00AD" w:rsidR="001E00AD">
        <w:t>’</w:t>
      </w:r>
      <w:r w:rsidRPr="001E00AD">
        <w:t>indemnisation formée à titre subsidiaire. En tout état de cause, la prétention principale fut également tranchée au fond puisque le juge conclut que l</w:t>
      </w:r>
      <w:r w:rsidRPr="001E00AD" w:rsidR="001E00AD">
        <w:t>’</w:t>
      </w:r>
      <w:r w:rsidRPr="001E00AD">
        <w:t>existence d</w:t>
      </w:r>
      <w:r w:rsidRPr="001E00AD" w:rsidR="001E00AD">
        <w:t>’</w:t>
      </w:r>
      <w:r w:rsidRPr="001E00AD">
        <w:t>un vice de consentement n</w:t>
      </w:r>
      <w:r w:rsidRPr="001E00AD" w:rsidR="001E00AD">
        <w:t>’</w:t>
      </w:r>
      <w:r w:rsidRPr="001E00AD">
        <w:t>avait pas été prouvée.</w:t>
      </w:r>
    </w:p>
    <w:p w:rsidRPr="001E00AD" w:rsidR="003C67EE" w:rsidP="001E00AD" w:rsidRDefault="003C67EE" w14:paraId="35D4A33D" w14:textId="0DA66452">
      <w:pPr>
        <w:pStyle w:val="JuPara"/>
      </w:pPr>
      <w:r w:rsidRPr="001E00AD">
        <w:fldChar w:fldCharType="begin"/>
      </w:r>
      <w:r w:rsidRPr="001E00AD">
        <w:instrText xml:space="preserve"> SEQ level0 \*arabic </w:instrText>
      </w:r>
      <w:r w:rsidRPr="001E00AD">
        <w:fldChar w:fldCharType="separate"/>
      </w:r>
      <w:r w:rsidRPr="001E00AD" w:rsidR="001E00AD">
        <w:rPr>
          <w:noProof/>
        </w:rPr>
        <w:t>7</w:t>
      </w:r>
      <w:r w:rsidRPr="001E00AD">
        <w:fldChar w:fldCharType="end"/>
      </w:r>
      <w:r w:rsidRPr="001E00AD">
        <w:t>.  À la suite d</w:t>
      </w:r>
      <w:r w:rsidRPr="001E00AD" w:rsidR="001E00AD">
        <w:t>’</w:t>
      </w:r>
      <w:r w:rsidRPr="001E00AD">
        <w:t>une demande du requérant, le juge des affaires sociales rendit le 26 janvier 2016 une décision qui corrigeait cette erreur et précisait que la prétention que l</w:t>
      </w:r>
      <w:r w:rsidRPr="001E00AD" w:rsidR="001E00AD">
        <w:t>’</w:t>
      </w:r>
      <w:r w:rsidRPr="001E00AD">
        <w:t>intéressé avait maintenue et qui avait été tranchée était bien la demande en nullité formée à titre principal.</w:t>
      </w:r>
    </w:p>
    <w:p w:rsidRPr="001E00AD" w:rsidR="003C67EE" w:rsidP="001E00AD" w:rsidRDefault="003C67EE" w14:paraId="398733E0" w14:textId="3F924FDD">
      <w:pPr>
        <w:pStyle w:val="JuPara"/>
      </w:pPr>
      <w:r w:rsidRPr="001E00AD">
        <w:fldChar w:fldCharType="begin"/>
      </w:r>
      <w:r w:rsidRPr="001E00AD">
        <w:instrText xml:space="preserve"> SEQ level0 \*arabic </w:instrText>
      </w:r>
      <w:r w:rsidRPr="001E00AD">
        <w:fldChar w:fldCharType="separate"/>
      </w:r>
      <w:bookmarkStart w:name="paragraph00008" w:id="4"/>
      <w:r w:rsidRPr="001E00AD" w:rsidR="001E00AD">
        <w:rPr>
          <w:noProof/>
        </w:rPr>
        <w:t>8</w:t>
      </w:r>
      <w:bookmarkEnd w:id="4"/>
      <w:r w:rsidRPr="001E00AD">
        <w:fldChar w:fldCharType="end"/>
      </w:r>
      <w:r w:rsidRPr="001E00AD">
        <w:t>.  Le requérant fit appel (</w:t>
      </w:r>
      <w:r w:rsidRPr="001E00AD">
        <w:rPr>
          <w:i/>
          <w:iCs/>
        </w:rPr>
        <w:t>suplicación</w:t>
      </w:r>
      <w:r w:rsidRPr="001E00AD">
        <w:t>) du jugement de première instance. Il exposa explicitement que la procédure concernait une action en nullité et fit expressément mention de la décision corrigeant l</w:t>
      </w:r>
      <w:r w:rsidRPr="001E00AD" w:rsidR="001E00AD">
        <w:t>’</w:t>
      </w:r>
      <w:r w:rsidRPr="001E00AD">
        <w:t>erreur commise dans le jugement. De même, il indiqua que par son recours devant la juridiction d</w:t>
      </w:r>
      <w:r w:rsidRPr="001E00AD" w:rsidR="001E00AD">
        <w:t>’</w:t>
      </w:r>
      <w:r w:rsidRPr="001E00AD">
        <w:t>appel il entendait bien faire déclarer nulle son adhésion au licenciement collectif et obtenir sa réintégration à son poste.</w:t>
      </w:r>
    </w:p>
    <w:p w:rsidRPr="001E00AD" w:rsidR="003C67EE" w:rsidP="001E00AD" w:rsidRDefault="003C67EE" w14:paraId="12DDF49D" w14:textId="74924AF6">
      <w:pPr>
        <w:pStyle w:val="JuPara"/>
      </w:pPr>
      <w:r w:rsidRPr="001E00AD">
        <w:fldChar w:fldCharType="begin"/>
      </w:r>
      <w:r w:rsidRPr="001E00AD">
        <w:instrText xml:space="preserve"> SEQ level0 \*arabic </w:instrText>
      </w:r>
      <w:r w:rsidRPr="001E00AD">
        <w:fldChar w:fldCharType="separate"/>
      </w:r>
      <w:r w:rsidRPr="001E00AD" w:rsidR="001E00AD">
        <w:rPr>
          <w:noProof/>
        </w:rPr>
        <w:t>9</w:t>
      </w:r>
      <w:r w:rsidRPr="001E00AD">
        <w:fldChar w:fldCharType="end"/>
      </w:r>
      <w:r w:rsidRPr="001E00AD">
        <w:t>.  Par un arrêt daté du 11 janvier 2017, le Tribunal supérieur de justice d</w:t>
      </w:r>
      <w:r w:rsidRPr="001E00AD" w:rsidR="001E00AD">
        <w:t>’</w:t>
      </w:r>
      <w:r w:rsidRPr="001E00AD">
        <w:t>Andalousie débouta le requérant de son appel. Il commit la même erreur que celle faite précédemment et exposa que le requérant avait maintenu sa demande subsidiaire et retiré sa demande principale. Le requérant fit une demande de rectification, qui fut rejetée par une décision du 1</w:t>
      </w:r>
      <w:r w:rsidRPr="001E00AD">
        <w:rPr>
          <w:vertAlign w:val="superscript"/>
        </w:rPr>
        <w:t>er</w:t>
      </w:r>
      <w:r w:rsidRPr="001E00AD">
        <w:t> février 2017. La juridiction d</w:t>
      </w:r>
      <w:r w:rsidRPr="001E00AD" w:rsidR="001E00AD">
        <w:t>’</w:t>
      </w:r>
      <w:r w:rsidRPr="001E00AD">
        <w:t>appel déclara que l</w:t>
      </w:r>
      <w:r w:rsidRPr="001E00AD" w:rsidR="001E00AD">
        <w:t>’</w:t>
      </w:r>
      <w:r w:rsidRPr="001E00AD">
        <w:t>erreur éventuellement commise était imputable au requérant et qu</w:t>
      </w:r>
      <w:r w:rsidRPr="001E00AD" w:rsidR="001E00AD">
        <w:t>’</w:t>
      </w:r>
      <w:r w:rsidRPr="001E00AD">
        <w:t>en tout état de cause la demande en nullité, à supposer qu</w:t>
      </w:r>
      <w:r w:rsidRPr="001E00AD" w:rsidR="001E00AD">
        <w:t>’</w:t>
      </w:r>
      <w:r w:rsidRPr="001E00AD">
        <w:t>elle eût été maintenue, aurait été rejetée car elle aurait dû être invoquée dans le cadre d</w:t>
      </w:r>
      <w:r w:rsidRPr="001E00AD" w:rsidR="001E00AD">
        <w:t>’</w:t>
      </w:r>
      <w:r w:rsidRPr="001E00AD">
        <w:t>une procédure de règlement des conflits du travail et non d</w:t>
      </w:r>
      <w:r w:rsidRPr="001E00AD" w:rsidR="001E00AD">
        <w:t>’</w:t>
      </w:r>
      <w:r w:rsidRPr="001E00AD">
        <w:t>une procédure ordinaire telle qu</w:t>
      </w:r>
      <w:r w:rsidRPr="001E00AD" w:rsidR="001E00AD">
        <w:t>’</w:t>
      </w:r>
      <w:r w:rsidRPr="001E00AD">
        <w:t>en l</w:t>
      </w:r>
      <w:r w:rsidRPr="001E00AD" w:rsidR="001E00AD">
        <w:t>’</w:t>
      </w:r>
      <w:r w:rsidRPr="001E00AD">
        <w:t>espèce. La demande en nullité introduite ultérieurement par le requérant fut rejetée le 29 mars 2017 par la même juridiction.</w:t>
      </w:r>
    </w:p>
    <w:p w:rsidRPr="001E00AD" w:rsidR="003C67EE" w:rsidP="001E00AD" w:rsidRDefault="003C67EE" w14:paraId="67FDF583" w14:textId="3D3FAC70">
      <w:pPr>
        <w:pStyle w:val="JuPara"/>
      </w:pPr>
      <w:r w:rsidRPr="001E00AD">
        <w:fldChar w:fldCharType="begin"/>
      </w:r>
      <w:r w:rsidRPr="001E00AD">
        <w:instrText xml:space="preserve"> SEQ level0 \*arabic </w:instrText>
      </w:r>
      <w:r w:rsidRPr="001E00AD">
        <w:fldChar w:fldCharType="separate"/>
      </w:r>
      <w:r w:rsidRPr="001E00AD" w:rsidR="001E00AD">
        <w:rPr>
          <w:noProof/>
        </w:rPr>
        <w:t>10</w:t>
      </w:r>
      <w:r w:rsidRPr="001E00AD">
        <w:fldChar w:fldCharType="end"/>
      </w:r>
      <w:r w:rsidRPr="001E00AD">
        <w:t>.  Le requérant se pourvut en cassation. En faisant une demande d</w:t>
      </w:r>
      <w:r w:rsidRPr="001E00AD" w:rsidR="001E00AD">
        <w:t>’</w:t>
      </w:r>
      <w:r w:rsidRPr="001E00AD">
        <w:t>harmonisation de la jurisprudence, il exposa que l</w:t>
      </w:r>
      <w:r w:rsidRPr="001E00AD" w:rsidR="001E00AD">
        <w:t>’</w:t>
      </w:r>
      <w:r w:rsidRPr="001E00AD">
        <w:t>arrêt rendu par le Tribunal supérieur de justice était en contradiction avec les conclusions formulées par d</w:t>
      </w:r>
      <w:r w:rsidRPr="001E00AD" w:rsidR="001E00AD">
        <w:t>’</w:t>
      </w:r>
      <w:r w:rsidRPr="001E00AD">
        <w:t>autres tribunaux supérieurs de justice espagnols. Selon lui, la question juridique objet de décisions contradictoires était celle de savoir si une demande en nullité d</w:t>
      </w:r>
      <w:r w:rsidRPr="001E00AD" w:rsidR="001E00AD">
        <w:t>’</w:t>
      </w:r>
      <w:r w:rsidRPr="001E00AD">
        <w:t>un licenciement pouvait être formée dans le cadre d</w:t>
      </w:r>
      <w:r w:rsidRPr="001E00AD" w:rsidR="001E00AD">
        <w:t>’</w:t>
      </w:r>
      <w:r w:rsidRPr="001E00AD">
        <w:t>une procédure ordinaire ou si elle exigeait le déclenchement d</w:t>
      </w:r>
      <w:r w:rsidRPr="001E00AD" w:rsidR="001E00AD">
        <w:t>’</w:t>
      </w:r>
      <w:r w:rsidRPr="001E00AD">
        <w:t>une procédure de règlement des conflits du travail.</w:t>
      </w:r>
    </w:p>
    <w:p w:rsidRPr="001E00AD" w:rsidR="003C67EE" w:rsidP="001E00AD" w:rsidRDefault="003C67EE" w14:paraId="14C09190" w14:textId="667FBA29">
      <w:pPr>
        <w:pStyle w:val="JuPara"/>
        <w:rPr>
          <w:lang w:val="ca-ES"/>
        </w:rPr>
      </w:pPr>
      <w:r w:rsidRPr="001E00AD">
        <w:fldChar w:fldCharType="begin"/>
      </w:r>
      <w:r w:rsidRPr="001E00AD">
        <w:instrText xml:space="preserve"> SEQ level0 \*arabic </w:instrText>
      </w:r>
      <w:r w:rsidRPr="001E00AD">
        <w:fldChar w:fldCharType="separate"/>
      </w:r>
      <w:bookmarkStart w:name="paragraph00011" w:id="5"/>
      <w:r w:rsidRPr="001E00AD" w:rsidR="001E00AD">
        <w:rPr>
          <w:noProof/>
        </w:rPr>
        <w:t>11</w:t>
      </w:r>
      <w:bookmarkEnd w:id="5"/>
      <w:r w:rsidRPr="001E00AD">
        <w:fldChar w:fldCharType="end"/>
      </w:r>
      <w:r w:rsidRPr="001E00AD">
        <w:t>.  Par une décision rendue le 12 décembre 2017, le Tribunal suprême déclara le pourvoi en cassation irrecevable. Il exposa que, dès lors que les arguments rendus par le Tribunal supérieur de justice dans la décision du 1</w:t>
      </w:r>
      <w:r w:rsidRPr="001E00AD">
        <w:rPr>
          <w:vertAlign w:val="superscript"/>
        </w:rPr>
        <w:t>er</w:t>
      </w:r>
      <w:r w:rsidRPr="001E00AD">
        <w:t> février 2017 concernant l</w:t>
      </w:r>
      <w:r w:rsidRPr="001E00AD" w:rsidR="001E00AD">
        <w:t>’</w:t>
      </w:r>
      <w:r w:rsidRPr="001E00AD">
        <w:t xml:space="preserve">inadéquation de la procédure civile ordinaire étaient des </w:t>
      </w:r>
      <w:r w:rsidRPr="001E00AD">
        <w:rPr>
          <w:i/>
          <w:iCs/>
        </w:rPr>
        <w:t>obiter dicta</w:t>
      </w:r>
      <w:r w:rsidRPr="001E00AD">
        <w:t>, la contradiction jurisprudentielle n</w:t>
      </w:r>
      <w:r w:rsidRPr="001E00AD" w:rsidR="001E00AD">
        <w:t>’</w:t>
      </w:r>
      <w:r w:rsidRPr="001E00AD">
        <w:t>était pas réelle en l</w:t>
      </w:r>
      <w:r w:rsidRPr="001E00AD" w:rsidR="001E00AD">
        <w:t>’</w:t>
      </w:r>
      <w:r w:rsidRPr="001E00AD">
        <w:t xml:space="preserve">espèce mais hypothétique. </w:t>
      </w:r>
      <w:r w:rsidRPr="001E00AD">
        <w:rPr>
          <w:lang w:val="ca-ES"/>
        </w:rPr>
        <w:t>Ainsi, il n</w:t>
      </w:r>
      <w:r w:rsidRPr="001E00AD" w:rsidR="001E00AD">
        <w:rPr>
          <w:lang w:val="ca-ES"/>
        </w:rPr>
        <w:t>’</w:t>
      </w:r>
      <w:r w:rsidRPr="001E00AD">
        <w:rPr>
          <w:lang w:val="ca-ES"/>
        </w:rPr>
        <w:t>était pas possible d</w:t>
      </w:r>
      <w:r w:rsidRPr="001E00AD" w:rsidR="001E00AD">
        <w:rPr>
          <w:lang w:val="ca-ES"/>
        </w:rPr>
        <w:t>’</w:t>
      </w:r>
      <w:r w:rsidRPr="001E00AD">
        <w:rPr>
          <w:lang w:val="ca-ES"/>
        </w:rPr>
        <w:t>examiner la contradiction jurisprudentielle alléguée par le requérant.</w:t>
      </w:r>
    </w:p>
    <w:p w:rsidRPr="001E00AD" w:rsidR="003C67EE" w:rsidP="001E00AD" w:rsidRDefault="003C67EE" w14:paraId="3A9CF52A" w14:textId="2225B2C5">
      <w:pPr>
        <w:pStyle w:val="JuPara"/>
        <w:rPr>
          <w:lang w:val="ca-ES"/>
        </w:rPr>
      </w:pPr>
      <w:r w:rsidRPr="001E00AD">
        <w:fldChar w:fldCharType="begin"/>
      </w:r>
      <w:r w:rsidRPr="001E00AD">
        <w:instrText xml:space="preserve"> SEQ level0 \*arabic </w:instrText>
      </w:r>
      <w:r w:rsidRPr="001E00AD">
        <w:fldChar w:fldCharType="separate"/>
      </w:r>
      <w:r w:rsidRPr="001E00AD" w:rsidR="001E00AD">
        <w:rPr>
          <w:noProof/>
        </w:rPr>
        <w:t>12</w:t>
      </w:r>
      <w:r w:rsidRPr="001E00AD">
        <w:fldChar w:fldCharType="end"/>
      </w:r>
      <w:r w:rsidRPr="001E00AD">
        <w:t>.  </w:t>
      </w:r>
      <w:r w:rsidRPr="001E00AD">
        <w:rPr>
          <w:lang w:val="ca-ES"/>
        </w:rPr>
        <w:t>Le requérant forma un recours d</w:t>
      </w:r>
      <w:r w:rsidRPr="001E00AD" w:rsidR="001E00AD">
        <w:rPr>
          <w:lang w:val="ca-ES"/>
        </w:rPr>
        <w:t>’</w:t>
      </w:r>
      <w:r w:rsidRPr="001E00AD">
        <w:rPr>
          <w:i/>
          <w:iCs/>
          <w:lang w:val="ca-ES"/>
        </w:rPr>
        <w:t>amparo</w:t>
      </w:r>
      <w:r w:rsidRPr="001E00AD">
        <w:rPr>
          <w:lang w:val="ca-ES"/>
        </w:rPr>
        <w:t xml:space="preserve"> devant le Tribunal constitutionnel. Par une décision rendue le 29 mai 2018, signifiée au requérant le 1</w:t>
      </w:r>
      <w:r w:rsidRPr="001E00AD">
        <w:rPr>
          <w:vertAlign w:val="superscript"/>
          <w:lang w:val="ca-ES"/>
        </w:rPr>
        <w:t>er</w:t>
      </w:r>
      <w:r w:rsidRPr="001E00AD">
        <w:rPr>
          <w:lang w:val="ca-ES"/>
        </w:rPr>
        <w:t xml:space="preserve"> juin 2018, cette haute juridiction déclara irrecevable le recours d</w:t>
      </w:r>
      <w:r w:rsidRPr="001E00AD" w:rsidR="001E00AD">
        <w:rPr>
          <w:lang w:val="ca-ES"/>
        </w:rPr>
        <w:t>’</w:t>
      </w:r>
      <w:r w:rsidRPr="001E00AD">
        <w:rPr>
          <w:i/>
          <w:iCs/>
          <w:lang w:val="ca-ES"/>
        </w:rPr>
        <w:t>amparo</w:t>
      </w:r>
      <w:r w:rsidRPr="001E00AD">
        <w:rPr>
          <w:lang w:val="ca-ES"/>
        </w:rPr>
        <w:t>, estimant qu</w:t>
      </w:r>
      <w:r w:rsidRPr="001E00AD" w:rsidR="001E00AD">
        <w:rPr>
          <w:lang w:val="ca-ES"/>
        </w:rPr>
        <w:t>’</w:t>
      </w:r>
      <w:r w:rsidRPr="001E00AD">
        <w:rPr>
          <w:lang w:val="ca-ES"/>
        </w:rPr>
        <w:t>il n</w:t>
      </w:r>
      <w:r w:rsidRPr="001E00AD" w:rsidR="001E00AD">
        <w:rPr>
          <w:lang w:val="ca-ES"/>
        </w:rPr>
        <w:t>’</w:t>
      </w:r>
      <w:r w:rsidRPr="001E00AD">
        <w:rPr>
          <w:lang w:val="ca-ES"/>
        </w:rPr>
        <w:t>avait pas de pertinence constitutionnelle particulière.</w:t>
      </w:r>
    </w:p>
    <w:p w:rsidRPr="001E00AD" w:rsidR="003C67EE" w:rsidP="001E00AD" w:rsidRDefault="003C67EE" w14:paraId="77DFF2ED" w14:textId="77777777">
      <w:pPr>
        <w:pStyle w:val="JuHHead"/>
        <w:numPr>
          <w:ilvl w:val="0"/>
          <w:numId w:val="1"/>
        </w:numPr>
      </w:pPr>
      <w:bookmarkStart w:name="_Hlk36127227" w:id="6"/>
      <w:r w:rsidRPr="001E00AD">
        <w:rPr>
          <w:caps w:val="0"/>
        </w:rPr>
        <w:t>LE CADRE JURIDIQUE ET LA PRATIQUE INTERNES PERTINENTS</w:t>
      </w:r>
    </w:p>
    <w:bookmarkEnd w:id="6"/>
    <w:p w:rsidRPr="001E00AD" w:rsidR="003C67EE" w:rsidP="001E00AD" w:rsidRDefault="003C67EE" w14:paraId="6577648F" w14:textId="79B63ED0">
      <w:pPr>
        <w:pStyle w:val="JuPara"/>
      </w:pPr>
      <w:r w:rsidRPr="001E00AD">
        <w:fldChar w:fldCharType="begin"/>
      </w:r>
      <w:r w:rsidRPr="001E00AD">
        <w:instrText xml:space="preserve"> SEQ level0 \*arabic </w:instrText>
      </w:r>
      <w:r w:rsidRPr="001E00AD">
        <w:fldChar w:fldCharType="separate"/>
      </w:r>
      <w:r w:rsidRPr="001E00AD" w:rsidR="001E00AD">
        <w:rPr>
          <w:noProof/>
        </w:rPr>
        <w:t>13</w:t>
      </w:r>
      <w:r w:rsidRPr="001E00AD">
        <w:fldChar w:fldCharType="end"/>
      </w:r>
      <w:r w:rsidRPr="001E00AD">
        <w:t>.  </w:t>
      </w:r>
      <w:bookmarkStart w:name="_Hlk36127236" w:id="7"/>
      <w:r w:rsidRPr="001E00AD">
        <w:t>Les dispositions pertinentes en l</w:t>
      </w:r>
      <w:r w:rsidRPr="001E00AD" w:rsidR="001E00AD">
        <w:t>’</w:t>
      </w:r>
      <w:r w:rsidRPr="001E00AD">
        <w:t>espèce de la loi n</w:t>
      </w:r>
      <w:r w:rsidRPr="001E00AD">
        <w:rPr>
          <w:vertAlign w:val="superscript"/>
        </w:rPr>
        <w:t>o</w:t>
      </w:r>
      <w:r w:rsidRPr="001E00AD">
        <w:t xml:space="preserve"> 36/2011 du 10</w:t>
      </w:r>
      <w:r w:rsidRPr="001E00AD" w:rsidR="00736F7A">
        <w:t> </w:t>
      </w:r>
      <w:r w:rsidRPr="001E00AD">
        <w:t>octobre 2011 régissant la juridiction sociale étaient ainsi rédigées à l</w:t>
      </w:r>
      <w:r w:rsidRPr="001E00AD" w:rsidR="001E00AD">
        <w:t>’</w:t>
      </w:r>
      <w:r w:rsidRPr="001E00AD">
        <w:t>époque des faits :</w:t>
      </w:r>
      <w:bookmarkEnd w:id="7"/>
    </w:p>
    <w:p w:rsidRPr="001E00AD" w:rsidR="003C67EE" w:rsidP="001E00AD" w:rsidRDefault="003C67EE" w14:paraId="3059A288" w14:textId="77777777">
      <w:pPr>
        <w:pStyle w:val="JuHArticle"/>
      </w:pPr>
      <w:r w:rsidRPr="001E00AD">
        <w:t>Article 219</w:t>
      </w:r>
    </w:p>
    <w:p w:rsidRPr="001E00AD" w:rsidR="003C67EE" w:rsidP="001E00AD" w:rsidRDefault="003C67EE" w14:paraId="79BD1A6A" w14:textId="6D1B5F0A">
      <w:pPr>
        <w:pStyle w:val="JuQuot"/>
      </w:pPr>
      <w:r w:rsidRPr="001E00AD">
        <w:t>« 1. L</w:t>
      </w:r>
      <w:r w:rsidRPr="001E00AD" w:rsidR="001E00AD">
        <w:t>’</w:t>
      </w:r>
      <w:r w:rsidRPr="001E00AD">
        <w:t>objet du pourvoi en cassation est l</w:t>
      </w:r>
      <w:r w:rsidRPr="001E00AD" w:rsidR="001E00AD">
        <w:t>’</w:t>
      </w:r>
      <w:r w:rsidRPr="001E00AD">
        <w:t>harmonisation de la jurisprudence dans le contexte de jugements rendus en appel (</w:t>
      </w:r>
      <w:r w:rsidRPr="001E00AD">
        <w:rPr>
          <w:i/>
          <w:iCs/>
        </w:rPr>
        <w:t>suplicación</w:t>
      </w:r>
      <w:r w:rsidRPr="001E00AD">
        <w:t>) par les chambres des affaires sociales des tribunaux supérieurs de justice, qui sont soit contradictoires entre eux, soit en contradiction avec ceux rendus par une ou plusieurs chambres des tribunaux supérieurs de justice ou par le Tribunal suprême, à l</w:t>
      </w:r>
      <w:r w:rsidRPr="001E00AD" w:rsidR="001E00AD">
        <w:t>’</w:t>
      </w:r>
      <w:r w:rsidRPr="001E00AD">
        <w:t>égard des mêmes parties au litige ou d</w:t>
      </w:r>
      <w:r w:rsidRPr="001E00AD" w:rsidR="001E00AD">
        <w:t>’</w:t>
      </w:r>
      <w:r w:rsidRPr="001E00AD">
        <w:t>autres parties dans la même situation où, sur la base de faits, de motifs et de prétentions essentiellement identiques, des décisions différentes ont été rendues.</w:t>
      </w:r>
    </w:p>
    <w:p w:rsidRPr="001E00AD" w:rsidR="003C67EE" w:rsidP="001E00AD" w:rsidRDefault="003C67EE" w14:paraId="66AB3AA2" w14:textId="7B0B4E2D">
      <w:pPr>
        <w:pStyle w:val="JuQuot"/>
      </w:pPr>
      <w:r w:rsidRPr="001E00AD">
        <w:t>(...) »</w:t>
      </w:r>
    </w:p>
    <w:p w:rsidRPr="001E00AD" w:rsidR="003C67EE" w:rsidP="001E00AD" w:rsidRDefault="003C67EE" w14:paraId="51F548DE" w14:textId="2C91F9E9">
      <w:pPr>
        <w:pStyle w:val="JuPara"/>
      </w:pPr>
      <w:r w:rsidRPr="001E00AD">
        <w:fldChar w:fldCharType="begin"/>
      </w:r>
      <w:r w:rsidRPr="001E00AD">
        <w:instrText xml:space="preserve"> SEQ level0 \*arabic </w:instrText>
      </w:r>
      <w:r w:rsidRPr="001E00AD">
        <w:fldChar w:fldCharType="separate"/>
      </w:r>
      <w:r w:rsidRPr="001E00AD" w:rsidR="001E00AD">
        <w:rPr>
          <w:noProof/>
        </w:rPr>
        <w:t>14</w:t>
      </w:r>
      <w:r w:rsidRPr="001E00AD">
        <w:fldChar w:fldCharType="end"/>
      </w:r>
      <w:r w:rsidRPr="001E00AD">
        <w:t>.  La jurisprudence pertinente du Tribunal suprême espagnol avait établi ce qui suit :</w:t>
      </w:r>
    </w:p>
    <w:p w:rsidRPr="001E00AD" w:rsidR="003C67EE" w:rsidP="001E00AD" w:rsidRDefault="003C67EE" w14:paraId="49F95BB1" w14:textId="77777777">
      <w:pPr>
        <w:pStyle w:val="JuHArticle"/>
      </w:pPr>
      <w:r w:rsidRPr="001E00AD">
        <w:t>Arrêt n</w:t>
      </w:r>
      <w:r w:rsidRPr="001E00AD">
        <w:rPr>
          <w:vertAlign w:val="superscript"/>
        </w:rPr>
        <w:t>o</w:t>
      </w:r>
      <w:r w:rsidRPr="001E00AD">
        <w:t xml:space="preserve"> 3542/2008 du Tribunal suprême (chambre des affaires sociales) du 25 juin 2008</w:t>
      </w:r>
    </w:p>
    <w:p w:rsidRPr="001E00AD" w:rsidR="003C67EE" w:rsidP="001E00AD" w:rsidRDefault="003C67EE" w14:paraId="7E3F767B" w14:textId="07F61837">
      <w:pPr>
        <w:pStyle w:val="JuQuot"/>
      </w:pPr>
      <w:r w:rsidRPr="001E00AD">
        <w:t>« (...) les arguments contenus dans l</w:t>
      </w:r>
      <w:r w:rsidRPr="001E00AD" w:rsidR="001E00AD">
        <w:t>’</w:t>
      </w:r>
      <w:r w:rsidRPr="001E00AD">
        <w:t xml:space="preserve">arrêt (...) constituent des </w:t>
      </w:r>
      <w:r w:rsidRPr="001E00AD">
        <w:rPr>
          <w:i/>
          <w:iCs/>
        </w:rPr>
        <w:t>obiter dicta</w:t>
      </w:r>
      <w:r w:rsidRPr="001E00AD">
        <w:t xml:space="preserve"> qui ne sauraient fonder un recours extraordinaire tel que celui en l</w:t>
      </w:r>
      <w:r w:rsidRPr="001E00AD" w:rsidR="001E00AD">
        <w:t>’</w:t>
      </w:r>
      <w:r w:rsidRPr="001E00AD">
        <w:t>espèce (...) [I]l faut tenir compte de ce que la contradiction ne naît pas de la comparaison abstraite de doctrines (...) mais d</w:t>
      </w:r>
      <w:r w:rsidRPr="001E00AD" w:rsidR="001E00AD">
        <w:t>’</w:t>
      </w:r>
      <w:r w:rsidRPr="001E00AD">
        <w:t>une divergence entre des décisions concrètes rendues dans le cadre de litiges essentiellement identiques (...) »</w:t>
      </w:r>
    </w:p>
    <w:p w:rsidRPr="001E00AD" w:rsidR="003C67EE" w:rsidP="001E00AD" w:rsidRDefault="003C67EE" w14:paraId="63B13D13" w14:textId="77777777">
      <w:pPr>
        <w:pStyle w:val="JuHHead"/>
      </w:pPr>
      <w:bookmarkStart w:name="_Hlk36127250" w:id="8"/>
      <w:r w:rsidRPr="001E00AD">
        <w:rPr>
          <w:caps w:val="0"/>
        </w:rPr>
        <w:t>EN DROIT</w:t>
      </w:r>
      <w:bookmarkEnd w:id="8"/>
    </w:p>
    <w:p w:rsidRPr="001E00AD" w:rsidR="003C67EE" w:rsidP="001E00AD" w:rsidRDefault="003C67EE" w14:paraId="2180ED6D" w14:textId="67F1C255">
      <w:pPr>
        <w:pStyle w:val="JuHIRoman"/>
      </w:pPr>
      <w:bookmarkStart w:name="_Hlk36127423" w:id="9"/>
      <w:bookmarkStart w:name="_Hlk34839031" w:id="10"/>
      <w:r w:rsidRPr="001E00AD">
        <w:t>SUR LA VIOLATION ALLÉGUÉE DE L</w:t>
      </w:r>
      <w:r w:rsidRPr="001E00AD" w:rsidR="001E00AD">
        <w:t>’</w:t>
      </w:r>
      <w:r w:rsidRPr="001E00AD">
        <w:t>ARTICLE 6 § 1 DE LA CONVENTION</w:t>
      </w:r>
      <w:bookmarkEnd w:id="9"/>
    </w:p>
    <w:p w:rsidRPr="001E00AD" w:rsidR="003C67EE" w:rsidP="001E00AD" w:rsidRDefault="003C67EE" w14:paraId="6A213B2C" w14:textId="7D825182">
      <w:pPr>
        <w:pStyle w:val="JuPara"/>
      </w:pPr>
      <w:r w:rsidRPr="001E00AD">
        <w:fldChar w:fldCharType="begin"/>
      </w:r>
      <w:r w:rsidRPr="001E00AD">
        <w:instrText xml:space="preserve"> SEQ level0 \*arabic </w:instrText>
      </w:r>
      <w:r w:rsidRPr="001E00AD">
        <w:fldChar w:fldCharType="separate"/>
      </w:r>
      <w:r w:rsidRPr="001E00AD" w:rsidR="001E00AD">
        <w:rPr>
          <w:noProof/>
        </w:rPr>
        <w:t>15</w:t>
      </w:r>
      <w:r w:rsidRPr="001E00AD">
        <w:fldChar w:fldCharType="end"/>
      </w:r>
      <w:r w:rsidRPr="001E00AD">
        <w:t>.  </w:t>
      </w:r>
      <w:bookmarkStart w:name="_Hlk36127508" w:id="11"/>
      <w:r w:rsidRPr="001E00AD">
        <w:t xml:space="preserve">Le requérant allègue </w:t>
      </w:r>
      <w:bookmarkStart w:name="_Hlk36127488" w:id="12"/>
      <w:r w:rsidRPr="001E00AD">
        <w:rPr>
          <w:lang w:val="ca-ES"/>
        </w:rPr>
        <w:t>que les tribunaux internes ont rendu des décisions incongrues dès lors qu</w:t>
      </w:r>
      <w:r w:rsidRPr="001E00AD" w:rsidR="001E00AD">
        <w:rPr>
          <w:lang w:val="ca-ES"/>
        </w:rPr>
        <w:t>’</w:t>
      </w:r>
      <w:r w:rsidRPr="001E00AD">
        <w:rPr>
          <w:lang w:val="ca-ES"/>
        </w:rPr>
        <w:t>ils ont tranché une action en justice à laquelle il avait expressément rénoncé et qu</w:t>
      </w:r>
      <w:r w:rsidRPr="001E00AD" w:rsidR="001E00AD">
        <w:rPr>
          <w:lang w:val="ca-ES"/>
        </w:rPr>
        <w:t>’</w:t>
      </w:r>
      <w:r w:rsidRPr="001E00AD">
        <w:rPr>
          <w:lang w:val="ca-ES"/>
        </w:rPr>
        <w:t>ils ont omis de statuer à propos de celle qui avait été maintenue. En particulier, cette erreur l</w:t>
      </w:r>
      <w:r w:rsidRPr="001E00AD" w:rsidR="001E00AD">
        <w:rPr>
          <w:lang w:val="ca-ES"/>
        </w:rPr>
        <w:t>’</w:t>
      </w:r>
      <w:r w:rsidRPr="001E00AD">
        <w:rPr>
          <w:lang w:val="ca-ES"/>
        </w:rPr>
        <w:t>aurait empêché d</w:t>
      </w:r>
      <w:r w:rsidRPr="001E00AD" w:rsidR="001E00AD">
        <w:rPr>
          <w:lang w:val="ca-ES"/>
        </w:rPr>
        <w:t>’</w:t>
      </w:r>
      <w:r w:rsidRPr="001E00AD">
        <w:rPr>
          <w:lang w:val="ca-ES"/>
        </w:rPr>
        <w:t>obtenir une réponse sur le fond de ses prétentions auprès du Tribunal suprême</w:t>
      </w:r>
      <w:r w:rsidRPr="001E00AD">
        <w:t>.</w:t>
      </w:r>
      <w:bookmarkEnd w:id="12"/>
      <w:r w:rsidRPr="001E00AD">
        <w:t xml:space="preserve"> Il invoque l</w:t>
      </w:r>
      <w:r w:rsidRPr="001E00AD" w:rsidR="001E00AD">
        <w:t>’</w:t>
      </w:r>
      <w:r w:rsidRPr="001E00AD">
        <w:t>article 6 § 1 de la Convention, qui est ainsi libellé :</w:t>
      </w:r>
    </w:p>
    <w:bookmarkEnd w:id="11"/>
    <w:p w:rsidRPr="001E00AD" w:rsidR="003C67EE" w:rsidP="001E00AD" w:rsidRDefault="003C67EE" w14:paraId="17E7F941" w14:textId="77777777">
      <w:pPr>
        <w:pStyle w:val="JuQuot"/>
      </w:pPr>
      <w:r w:rsidRPr="001E00AD">
        <w:t>« Toute personne a droit à ce que sa cause soit entendue équitablement (...) par un tribunal (...), qui décidera (...) des contestations sur ses droits et obligations de caractère civil (...) »</w:t>
      </w:r>
    </w:p>
    <w:p w:rsidRPr="001E00AD" w:rsidR="003C67EE" w:rsidP="001E00AD" w:rsidRDefault="003C67EE" w14:paraId="3951E62A" w14:textId="77777777">
      <w:pPr>
        <w:pStyle w:val="JuHA"/>
        <w:numPr>
          <w:ilvl w:val="2"/>
          <w:numId w:val="1"/>
        </w:numPr>
        <w:ind w:left="510" w:hanging="340"/>
      </w:pPr>
      <w:bookmarkStart w:name="_Hlk36127545" w:id="13"/>
      <w:r w:rsidRPr="001E00AD">
        <w:t>Sur la recevabilité</w:t>
      </w:r>
      <w:bookmarkEnd w:id="13"/>
    </w:p>
    <w:p w:rsidRPr="001E00AD" w:rsidR="003C67EE" w:rsidP="001E00AD" w:rsidRDefault="003C67EE" w14:paraId="15F7B1E7" w14:textId="7A5F6068">
      <w:pPr>
        <w:pStyle w:val="JuPara"/>
      </w:pPr>
      <w:r w:rsidRPr="001E00AD">
        <w:fldChar w:fldCharType="begin"/>
      </w:r>
      <w:r w:rsidRPr="001E00AD">
        <w:instrText xml:space="preserve"> SEQ level0 \*arabic </w:instrText>
      </w:r>
      <w:r w:rsidRPr="001E00AD">
        <w:fldChar w:fldCharType="separate"/>
      </w:r>
      <w:r w:rsidRPr="001E00AD" w:rsidR="001E00AD">
        <w:rPr>
          <w:noProof/>
        </w:rPr>
        <w:t>16</w:t>
      </w:r>
      <w:r w:rsidRPr="001E00AD">
        <w:fldChar w:fldCharType="end"/>
      </w:r>
      <w:r w:rsidRPr="001E00AD">
        <w:t>.  </w:t>
      </w:r>
      <w:bookmarkStart w:name="_Hlk36127606" w:id="14"/>
      <w:r w:rsidRPr="001E00AD">
        <w:t>Constatant que la requête n</w:t>
      </w:r>
      <w:r w:rsidRPr="001E00AD" w:rsidR="001E00AD">
        <w:t>’</w:t>
      </w:r>
      <w:r w:rsidRPr="001E00AD">
        <w:t>est pas manifestement mal fondée au sens de l</w:t>
      </w:r>
      <w:r w:rsidRPr="001E00AD" w:rsidR="001E00AD">
        <w:t>’</w:t>
      </w:r>
      <w:r w:rsidRPr="001E00AD">
        <w:t>article 35 de la Convention, la Cour la déclare recevable.</w:t>
      </w:r>
      <w:bookmarkEnd w:id="14"/>
    </w:p>
    <w:p w:rsidRPr="001E00AD" w:rsidR="003C67EE" w:rsidP="001E00AD" w:rsidRDefault="003C67EE" w14:paraId="5A7099D2" w14:textId="77777777">
      <w:pPr>
        <w:pStyle w:val="JuHA"/>
        <w:numPr>
          <w:ilvl w:val="2"/>
          <w:numId w:val="1"/>
        </w:numPr>
        <w:ind w:left="510" w:hanging="340"/>
      </w:pPr>
      <w:bookmarkStart w:name="_Hlk36127650" w:id="15"/>
      <w:r w:rsidRPr="001E00AD">
        <w:t>Sur le fond</w:t>
      </w:r>
      <w:bookmarkEnd w:id="15"/>
    </w:p>
    <w:p w:rsidRPr="001E00AD" w:rsidR="003C67EE" w:rsidP="001E00AD" w:rsidRDefault="003C67EE" w14:paraId="2CCA0241" w14:textId="77777777">
      <w:pPr>
        <w:pStyle w:val="JuH1"/>
      </w:pPr>
      <w:r w:rsidRPr="001E00AD">
        <w:t>Thèses des parties</w:t>
      </w:r>
    </w:p>
    <w:p w:rsidRPr="001E00AD" w:rsidR="003C67EE" w:rsidP="001E00AD" w:rsidRDefault="003C67EE" w14:paraId="5CC53FD8" w14:textId="4EF98BB4">
      <w:pPr>
        <w:pStyle w:val="JuPara"/>
      </w:pPr>
      <w:r w:rsidRPr="001E00AD">
        <w:fldChar w:fldCharType="begin"/>
      </w:r>
      <w:r w:rsidRPr="001E00AD">
        <w:instrText xml:space="preserve"> SEQ level0 \*arabic </w:instrText>
      </w:r>
      <w:r w:rsidRPr="001E00AD">
        <w:fldChar w:fldCharType="separate"/>
      </w:r>
      <w:r w:rsidRPr="001E00AD" w:rsidR="001E00AD">
        <w:rPr>
          <w:noProof/>
        </w:rPr>
        <w:t>17</w:t>
      </w:r>
      <w:r w:rsidRPr="001E00AD">
        <w:fldChar w:fldCharType="end"/>
      </w:r>
      <w:r w:rsidRPr="001E00AD">
        <w:t>.  Le requérant expose que les juridictions internes ont rendu des décisions incongrues qui l</w:t>
      </w:r>
      <w:r w:rsidRPr="001E00AD" w:rsidR="001E00AD">
        <w:t>’</w:t>
      </w:r>
      <w:r w:rsidRPr="001E00AD">
        <w:t>ont empêché d</w:t>
      </w:r>
      <w:r w:rsidRPr="001E00AD" w:rsidR="001E00AD">
        <w:t>’</w:t>
      </w:r>
      <w:r w:rsidRPr="001E00AD">
        <w:t>obtenir une réponse sur le fond de ses prétentions. En particulier, le Tribunal supérieur de justice d</w:t>
      </w:r>
      <w:r w:rsidRPr="001E00AD" w:rsidR="001E00AD">
        <w:t>’</w:t>
      </w:r>
      <w:r w:rsidRPr="001E00AD">
        <w:t>Andalousie aurait commis une erreur sur le point de savoir quelle action en justice devait être tranchée, et ce en méconnaissant la décision rendue le 26 janvier 2016 par le juge des affaires sociales n</w:t>
      </w:r>
      <w:r w:rsidRPr="001E00AD">
        <w:rPr>
          <w:vertAlign w:val="superscript"/>
        </w:rPr>
        <w:t>o</w:t>
      </w:r>
      <w:r w:rsidRPr="001E00AD">
        <w:t> 13 de Málaga, qui avait précisé que la demande en nullité formée à titre principal était celle qui avait été tranchée.</w:t>
      </w:r>
    </w:p>
    <w:p w:rsidRPr="001E00AD" w:rsidR="003C67EE" w:rsidP="001E00AD" w:rsidRDefault="003C67EE" w14:paraId="162F1F35" w14:textId="1C6A6311">
      <w:pPr>
        <w:pStyle w:val="JuPara"/>
      </w:pPr>
      <w:r w:rsidRPr="001E00AD">
        <w:fldChar w:fldCharType="begin"/>
      </w:r>
      <w:r w:rsidRPr="001E00AD">
        <w:instrText xml:space="preserve"> SEQ level0 \*arabic </w:instrText>
      </w:r>
      <w:r w:rsidRPr="001E00AD">
        <w:fldChar w:fldCharType="separate"/>
      </w:r>
      <w:r w:rsidRPr="001E00AD" w:rsidR="001E00AD">
        <w:rPr>
          <w:noProof/>
        </w:rPr>
        <w:t>18</w:t>
      </w:r>
      <w:r w:rsidRPr="001E00AD">
        <w:fldChar w:fldCharType="end"/>
      </w:r>
      <w:r w:rsidRPr="001E00AD">
        <w:t>.  Le Gouvernement allègue que malgré l</w:t>
      </w:r>
      <w:r w:rsidRPr="001E00AD" w:rsidR="001E00AD">
        <w:t>’</w:t>
      </w:r>
      <w:r w:rsidRPr="001E00AD">
        <w:t>erreur de fait commise par les juridictions internes, la demande principale (l</w:t>
      </w:r>
      <w:r w:rsidRPr="001E00AD" w:rsidR="001E00AD">
        <w:t>’</w:t>
      </w:r>
      <w:r w:rsidRPr="001E00AD">
        <w:t>action en nullité) du requérant a bien été tranchée sur le fond. Il expose qu</w:t>
      </w:r>
      <w:r w:rsidRPr="001E00AD" w:rsidR="001E00AD">
        <w:t>’</w:t>
      </w:r>
      <w:r w:rsidRPr="001E00AD">
        <w:t>une réponse avait en effet été donnée à titre surabondant (</w:t>
      </w:r>
      <w:r w:rsidRPr="001E00AD">
        <w:rPr>
          <w:i/>
          <w:iCs/>
        </w:rPr>
        <w:t>obiter dicta</w:t>
      </w:r>
      <w:r w:rsidRPr="001E00AD">
        <w:t>) et que l</w:t>
      </w:r>
      <w:r w:rsidRPr="001E00AD" w:rsidR="001E00AD">
        <w:t>’</w:t>
      </w:r>
      <w:r w:rsidRPr="001E00AD">
        <w:t>erreur en question était donc purement formelle et sans incidence sur les droits du requérant. Il ajoute que, même si la question avait été tranchée de façon directe, la juridiction interne n</w:t>
      </w:r>
      <w:r w:rsidRPr="001E00AD" w:rsidR="001E00AD">
        <w:t>’</w:t>
      </w:r>
      <w:r w:rsidRPr="001E00AD">
        <w:t>aurait pas fait droit aux prétentions du requérant car cette même controverse avait déjà été tranchée par les juridictions internes à l</w:t>
      </w:r>
      <w:r w:rsidRPr="001E00AD" w:rsidR="001E00AD">
        <w:t>’</w:t>
      </w:r>
      <w:r w:rsidRPr="001E00AD">
        <w:t>occasion d</w:t>
      </w:r>
      <w:r w:rsidRPr="001E00AD" w:rsidR="001E00AD">
        <w:t>’</w:t>
      </w:r>
      <w:r w:rsidRPr="001E00AD">
        <w:t>autres procédures judiciaires. Le Gouvernement note enfin que le Tribunal supérieur de justice a observé que le requérant avait choisi une procédure judiciaire inadéquate pour formuler sa demande en nullité.</w:t>
      </w:r>
    </w:p>
    <w:p w:rsidRPr="001E00AD" w:rsidR="003C67EE" w:rsidP="001E00AD" w:rsidRDefault="003C67EE" w14:paraId="28CCF0A6" w14:textId="77777777">
      <w:pPr>
        <w:pStyle w:val="JuH1"/>
      </w:pPr>
      <w:r w:rsidRPr="001E00AD">
        <w:t>Appréciation de la Cour</w:t>
      </w:r>
    </w:p>
    <w:p w:rsidRPr="001E00AD" w:rsidR="003C67EE" w:rsidP="001E00AD" w:rsidRDefault="003C67EE" w14:paraId="5938D337" w14:textId="77777777">
      <w:pPr>
        <w:pStyle w:val="JuHa0"/>
      </w:pPr>
      <w:r w:rsidRPr="001E00AD">
        <w:t>Principes généraux</w:t>
      </w:r>
    </w:p>
    <w:bookmarkStart w:name="_Hlk36127691" w:id="16"/>
    <w:p w:rsidRPr="001E00AD" w:rsidR="003C67EE" w:rsidP="001E00AD" w:rsidRDefault="003C67EE" w14:paraId="740BC6AF" w14:textId="4D19F8C4">
      <w:pPr>
        <w:pStyle w:val="JuPara"/>
      </w:pPr>
      <w:r w:rsidRPr="001E00AD">
        <w:fldChar w:fldCharType="begin"/>
      </w:r>
      <w:r w:rsidRPr="001E00AD">
        <w:instrText xml:space="preserve"> SEQ level0 \*arabic </w:instrText>
      </w:r>
      <w:r w:rsidRPr="001E00AD">
        <w:fldChar w:fldCharType="separate"/>
      </w:r>
      <w:r w:rsidRPr="001E00AD" w:rsidR="001E00AD">
        <w:rPr>
          <w:noProof/>
        </w:rPr>
        <w:t>19</w:t>
      </w:r>
      <w:r w:rsidRPr="001E00AD">
        <w:fldChar w:fldCharType="end"/>
      </w:r>
      <w:r w:rsidRPr="001E00AD">
        <w:t>.  </w:t>
      </w:r>
      <w:bookmarkEnd w:id="16"/>
      <w:r w:rsidRPr="001E00AD">
        <w:t>L</w:t>
      </w:r>
      <w:r w:rsidRPr="001E00AD" w:rsidR="001E00AD">
        <w:t>’</w:t>
      </w:r>
      <w:r w:rsidRPr="001E00AD">
        <w:t>article 6 de la Convention n</w:t>
      </w:r>
      <w:r w:rsidRPr="001E00AD" w:rsidR="001E00AD">
        <w:t>’</w:t>
      </w:r>
      <w:r w:rsidRPr="001E00AD">
        <w:t>astreint pas les États contractants à créer des cours d</w:t>
      </w:r>
      <w:r w:rsidRPr="001E00AD" w:rsidR="001E00AD">
        <w:t>’</w:t>
      </w:r>
      <w:r w:rsidRPr="001E00AD">
        <w:t>appel ou de cassation. Cependant, si de telles juridictions existent, les garanties de l</w:t>
      </w:r>
      <w:r w:rsidRPr="001E00AD" w:rsidR="001E00AD">
        <w:t>’</w:t>
      </w:r>
      <w:r w:rsidRPr="001E00AD">
        <w:t>article 6 doivent être respectées, notamment en ce qu</w:t>
      </w:r>
      <w:r w:rsidRPr="001E00AD" w:rsidR="001E00AD">
        <w:t>’</w:t>
      </w:r>
      <w:r w:rsidRPr="001E00AD">
        <w:t>il assure aux plaideurs un droit effectif d</w:t>
      </w:r>
      <w:r w:rsidRPr="001E00AD" w:rsidR="001E00AD">
        <w:t>’</w:t>
      </w:r>
      <w:r w:rsidRPr="001E00AD">
        <w:t>accès aux tribunaux pour les décisions relatives à leurs droits et obligations de caractère civil (</w:t>
      </w:r>
      <w:r w:rsidRPr="001E00AD">
        <w:rPr>
          <w:i/>
        </w:rPr>
        <w:t>Andrejeva c.</w:t>
      </w:r>
      <w:r w:rsidRPr="001E00AD" w:rsidR="001F65D0">
        <w:rPr>
          <w:i/>
        </w:rPr>
        <w:t> </w:t>
      </w:r>
      <w:r w:rsidRPr="001E00AD">
        <w:rPr>
          <w:i/>
        </w:rPr>
        <w:t>Lettonie</w:t>
      </w:r>
      <w:r w:rsidRPr="001E00AD">
        <w:t xml:space="preserve"> [GC], n</w:t>
      </w:r>
      <w:r w:rsidRPr="001E00AD">
        <w:rPr>
          <w:vertAlign w:val="superscript"/>
        </w:rPr>
        <w:t>o</w:t>
      </w:r>
      <w:r w:rsidRPr="001E00AD">
        <w:t xml:space="preserve"> 55707/00, § 97, CEDH 2009 ; </w:t>
      </w:r>
      <w:r w:rsidRPr="001E00AD">
        <w:rPr>
          <w:i/>
          <w:iCs/>
        </w:rPr>
        <w:t>Zubac c. Croatie</w:t>
      </w:r>
      <w:r w:rsidRPr="001E00AD">
        <w:t xml:space="preserve"> [GC], n</w:t>
      </w:r>
      <w:r w:rsidRPr="001E00AD">
        <w:rPr>
          <w:vertAlign w:val="superscript"/>
        </w:rPr>
        <w:t>o</w:t>
      </w:r>
      <w:r w:rsidRPr="001E00AD" w:rsidR="001F65D0">
        <w:rPr>
          <w:vertAlign w:val="superscript"/>
        </w:rPr>
        <w:t> </w:t>
      </w:r>
      <w:r w:rsidRPr="001E00AD">
        <w:t>40160/12, § 80, 5 avril 2018).</w:t>
      </w:r>
    </w:p>
    <w:p w:rsidRPr="001E00AD" w:rsidR="003C67EE" w:rsidP="001E00AD" w:rsidRDefault="003C67EE" w14:paraId="02D22263" w14:textId="5DCC48A3">
      <w:pPr>
        <w:pStyle w:val="JuPara"/>
      </w:pPr>
      <w:r w:rsidRPr="001E00AD">
        <w:fldChar w:fldCharType="begin"/>
      </w:r>
      <w:r w:rsidRPr="001E00AD">
        <w:instrText xml:space="preserve"> SEQ level0 \*arabic </w:instrText>
      </w:r>
      <w:r w:rsidRPr="001E00AD">
        <w:fldChar w:fldCharType="separate"/>
      </w:r>
      <w:r w:rsidRPr="001E00AD" w:rsidR="001E00AD">
        <w:rPr>
          <w:noProof/>
        </w:rPr>
        <w:t>20</w:t>
      </w:r>
      <w:r w:rsidRPr="001E00AD">
        <w:fldChar w:fldCharType="end"/>
      </w:r>
      <w:r w:rsidRPr="001E00AD">
        <w:t>.  Par ailleurs, en ce qui concerne l</w:t>
      </w:r>
      <w:r w:rsidRPr="001E00AD" w:rsidR="001E00AD">
        <w:t>’</w:t>
      </w:r>
      <w:r w:rsidRPr="001E00AD">
        <w:t>application de restrictions légales à l</w:t>
      </w:r>
      <w:r w:rsidRPr="001E00AD" w:rsidR="001E00AD">
        <w:t>’</w:t>
      </w:r>
      <w:r w:rsidRPr="001E00AD">
        <w:t>accès aux juridictions supérieures découlant du taux du ressort, la Cour a pris en considération, à différents degrés, certains facteurs : i) la prévisibilité de la restriction, ii) le point de savoir si c</w:t>
      </w:r>
      <w:r w:rsidRPr="001E00AD" w:rsidR="001E00AD">
        <w:t>’</w:t>
      </w:r>
      <w:r w:rsidRPr="001E00AD">
        <w:t>est le requérant ou l</w:t>
      </w:r>
      <w:r w:rsidRPr="001E00AD" w:rsidR="001E00AD">
        <w:t>’</w:t>
      </w:r>
      <w:r w:rsidRPr="001E00AD">
        <w:t>État défendeur qui doit supporter les conséquences négatives des erreurs commises au cours de la procédure et qui ont eu pour effet de priver le requérant d</w:t>
      </w:r>
      <w:r w:rsidRPr="001E00AD" w:rsidR="001E00AD">
        <w:t>’</w:t>
      </w:r>
      <w:r w:rsidRPr="001E00AD">
        <w:t>un accès à la juridiction suprême, et iii) celui de savoir si les restrictions en question peuvent passer pour révéler un « formalisme excessif » (</w:t>
      </w:r>
      <w:r w:rsidRPr="001E00AD">
        <w:rPr>
          <w:i/>
          <w:iCs/>
        </w:rPr>
        <w:t>Zubac</w:t>
      </w:r>
      <w:r w:rsidRPr="001E00AD">
        <w:t>, précité, § 85).</w:t>
      </w:r>
    </w:p>
    <w:p w:rsidRPr="001E00AD" w:rsidR="003C67EE" w:rsidP="001E00AD" w:rsidRDefault="003C67EE" w14:paraId="527DD85A" w14:textId="74DDF442">
      <w:pPr>
        <w:pStyle w:val="JuPara"/>
      </w:pPr>
      <w:r w:rsidRPr="001E00AD">
        <w:fldChar w:fldCharType="begin"/>
      </w:r>
      <w:r w:rsidRPr="001E00AD">
        <w:instrText xml:space="preserve"> SEQ level0 \*arabic </w:instrText>
      </w:r>
      <w:r w:rsidRPr="001E00AD">
        <w:fldChar w:fldCharType="separate"/>
      </w:r>
      <w:r w:rsidRPr="001E00AD" w:rsidR="001E00AD">
        <w:rPr>
          <w:noProof/>
        </w:rPr>
        <w:t>21</w:t>
      </w:r>
      <w:r w:rsidRPr="001E00AD">
        <w:fldChar w:fldCharType="end"/>
      </w:r>
      <w:r w:rsidRPr="001E00AD">
        <w:t>.  S</w:t>
      </w:r>
      <w:r w:rsidRPr="001E00AD" w:rsidR="001E00AD">
        <w:t>’</w:t>
      </w:r>
      <w:r w:rsidRPr="001E00AD">
        <w:t>agissant en particulier du deuxième critère, il n</w:t>
      </w:r>
      <w:r w:rsidRPr="001E00AD" w:rsidR="001E00AD">
        <w:t>’</w:t>
      </w:r>
      <w:r w:rsidRPr="001E00AD">
        <w:t>est pas rare que, pour trancher la question de la proportionnalité, la Cour identifie les erreurs procédurales commises au cours de la procédure et qui, en définitive, ont empêché le requérant d</w:t>
      </w:r>
      <w:r w:rsidRPr="001E00AD" w:rsidR="001E00AD">
        <w:t>’</w:t>
      </w:r>
      <w:r w:rsidRPr="001E00AD">
        <w:t>accéder à un tribunal, et qu</w:t>
      </w:r>
      <w:r w:rsidRPr="001E00AD" w:rsidR="001E00AD">
        <w:t>’</w:t>
      </w:r>
      <w:r w:rsidRPr="001E00AD">
        <w:t>elle détermine si l</w:t>
      </w:r>
      <w:r w:rsidRPr="001E00AD" w:rsidR="001E00AD">
        <w:t>’</w:t>
      </w:r>
      <w:r w:rsidRPr="001E00AD">
        <w:t>intéressé a dû supporter une charge excessive en raison de ces erreurs. Lorsque l</w:t>
      </w:r>
      <w:r w:rsidRPr="001E00AD" w:rsidR="001E00AD">
        <w:t>’</w:t>
      </w:r>
      <w:r w:rsidRPr="001E00AD">
        <w:t>erreur procédurale en question n</w:t>
      </w:r>
      <w:r w:rsidRPr="001E00AD" w:rsidR="001E00AD">
        <w:t>’</w:t>
      </w:r>
      <w:r w:rsidRPr="001E00AD">
        <w:t>est imputable qu</w:t>
      </w:r>
      <w:r w:rsidRPr="001E00AD" w:rsidR="001E00AD">
        <w:t>’</w:t>
      </w:r>
      <w:r w:rsidRPr="001E00AD">
        <w:t>à un côté, selon le cas celui du requérant ou celui des autorités compétentes, notamment la juridiction (ou les juridictions), la Cour a habituellement tendance à faire peser la charge sur celui qui a commis l</w:t>
      </w:r>
      <w:r w:rsidRPr="001E00AD" w:rsidR="001E00AD">
        <w:t>’</w:t>
      </w:r>
      <w:r w:rsidRPr="001E00AD">
        <w:t>erreur (</w:t>
      </w:r>
      <w:r w:rsidRPr="001E00AD">
        <w:rPr>
          <w:i/>
        </w:rPr>
        <w:t>Šimecki c.</w:t>
      </w:r>
      <w:r w:rsidRPr="001E00AD" w:rsidR="001F65D0">
        <w:rPr>
          <w:i/>
        </w:rPr>
        <w:t> </w:t>
      </w:r>
      <w:r w:rsidRPr="001E00AD">
        <w:rPr>
          <w:i/>
        </w:rPr>
        <w:t>Croatie</w:t>
      </w:r>
      <w:r w:rsidRPr="001E00AD">
        <w:rPr>
          <w:snapToGrid w:val="0"/>
        </w:rPr>
        <w:t>, n</w:t>
      </w:r>
      <w:r w:rsidRPr="001E00AD">
        <w:rPr>
          <w:snapToGrid w:val="0"/>
          <w:vertAlign w:val="superscript"/>
        </w:rPr>
        <w:t>o</w:t>
      </w:r>
      <w:r w:rsidRPr="001E00AD">
        <w:rPr>
          <w:snapToGrid w:val="0"/>
        </w:rPr>
        <w:t> </w:t>
      </w:r>
      <w:r w:rsidRPr="001E00AD">
        <w:t xml:space="preserve">15253/10, §§ 46-47, 30 avril 2014 ; </w:t>
      </w:r>
      <w:r w:rsidRPr="001E00AD">
        <w:rPr>
          <w:i/>
        </w:rPr>
        <w:t>Egić c. Croatie</w:t>
      </w:r>
      <w:r w:rsidRPr="001E00AD">
        <w:t>, n</w:t>
      </w:r>
      <w:r w:rsidRPr="001E00AD">
        <w:rPr>
          <w:vertAlign w:val="superscript"/>
        </w:rPr>
        <w:t>o</w:t>
      </w:r>
      <w:r w:rsidRPr="001E00AD">
        <w:t xml:space="preserve"> 32806/09</w:t>
      </w:r>
      <w:r w:rsidRPr="001E00AD">
        <w:rPr>
          <w:snapToGrid w:val="0"/>
        </w:rPr>
        <w:t>, § 57, 5 </w:t>
      </w:r>
      <w:r w:rsidRPr="001E00AD">
        <w:t>juin</w:t>
      </w:r>
      <w:r w:rsidRPr="001E00AD">
        <w:rPr>
          <w:snapToGrid w:val="0"/>
        </w:rPr>
        <w:t xml:space="preserve"> 2014 ; </w:t>
      </w:r>
      <w:r w:rsidRPr="001E00AD">
        <w:rPr>
          <w:i/>
        </w:rPr>
        <w:t>Sefer Yılmaz et Meryem Yılmaz</w:t>
      </w:r>
      <w:r w:rsidRPr="001E00AD">
        <w:t xml:space="preserve"> </w:t>
      </w:r>
      <w:r w:rsidRPr="001E00AD">
        <w:rPr>
          <w:i/>
        </w:rPr>
        <w:t>c. Turquie</w:t>
      </w:r>
      <w:r w:rsidRPr="001E00AD">
        <w:t>, n</w:t>
      </w:r>
      <w:r w:rsidRPr="001E00AD">
        <w:rPr>
          <w:vertAlign w:val="superscript"/>
        </w:rPr>
        <w:t>o</w:t>
      </w:r>
      <w:r w:rsidRPr="001E00AD">
        <w:t xml:space="preserve"> 611/12</w:t>
      </w:r>
      <w:r w:rsidRPr="001E00AD">
        <w:rPr>
          <w:snapToGrid w:val="0"/>
        </w:rPr>
        <w:t>, §§ 72</w:t>
      </w:r>
      <w:r w:rsidRPr="001E00AD">
        <w:rPr>
          <w:snapToGrid w:val="0"/>
        </w:rPr>
        <w:noBreakHyphen/>
        <w:t xml:space="preserve">73, 17 </w:t>
      </w:r>
      <w:r w:rsidRPr="001E00AD">
        <w:t>novembre</w:t>
      </w:r>
      <w:r w:rsidRPr="001E00AD">
        <w:rPr>
          <w:snapToGrid w:val="0"/>
        </w:rPr>
        <w:t xml:space="preserve"> 2015 ; </w:t>
      </w:r>
      <w:r w:rsidRPr="001E00AD">
        <w:rPr>
          <w:i/>
          <w:iCs/>
        </w:rPr>
        <w:t>Zubac</w:t>
      </w:r>
      <w:r w:rsidRPr="001E00AD">
        <w:t>, précité, § 90).</w:t>
      </w:r>
    </w:p>
    <w:p w:rsidRPr="001E00AD" w:rsidR="003C67EE" w:rsidP="001E00AD" w:rsidRDefault="003C67EE" w14:paraId="40E1CADE" w14:textId="4FC51FCC">
      <w:pPr>
        <w:pStyle w:val="JuPara"/>
      </w:pPr>
      <w:r w:rsidRPr="001E00AD">
        <w:fldChar w:fldCharType="begin"/>
      </w:r>
      <w:r w:rsidRPr="001E00AD">
        <w:instrText xml:space="preserve"> SEQ level0 \*arabic </w:instrText>
      </w:r>
      <w:r w:rsidRPr="001E00AD">
        <w:fldChar w:fldCharType="separate"/>
      </w:r>
      <w:r w:rsidRPr="001E00AD" w:rsidR="001E00AD">
        <w:rPr>
          <w:noProof/>
        </w:rPr>
        <w:t>22</w:t>
      </w:r>
      <w:r w:rsidRPr="001E00AD">
        <w:fldChar w:fldCharType="end"/>
      </w:r>
      <w:r w:rsidRPr="001E00AD">
        <w:t>.  La Cour rappelle toujours qu</w:t>
      </w:r>
      <w:r w:rsidRPr="001E00AD" w:rsidR="001E00AD">
        <w:t>’</w:t>
      </w:r>
      <w:r w:rsidRPr="001E00AD">
        <w:t>il ne lui appartient pas généralement de connaître des erreurs de fait et de droit prétendument commises par une juridiction nationale, sauf erreur manifeste d</w:t>
      </w:r>
      <w:r w:rsidRPr="001E00AD" w:rsidR="001E00AD">
        <w:t>’</w:t>
      </w:r>
      <w:r w:rsidRPr="001E00AD">
        <w:t>appréciation ayant porté atteinte aux droits et libertés sauvegardés par la Convention (</w:t>
      </w:r>
      <w:r w:rsidRPr="001E00AD">
        <w:rPr>
          <w:i/>
        </w:rPr>
        <w:t>García Ruiz c. Espagne</w:t>
      </w:r>
      <w:r w:rsidRPr="001E00AD">
        <w:t xml:space="preserve"> [GC], n</w:t>
      </w:r>
      <w:r w:rsidRPr="001E00AD">
        <w:rPr>
          <w:vertAlign w:val="superscript"/>
        </w:rPr>
        <w:t>o</w:t>
      </w:r>
      <w:r w:rsidRPr="001E00AD">
        <w:t xml:space="preserve"> 30544/96, § 28, CEDH 1999</w:t>
      </w:r>
      <w:r w:rsidRPr="001E00AD">
        <w:noBreakHyphen/>
        <w:t xml:space="preserve">I ; </w:t>
      </w:r>
      <w:r w:rsidRPr="001E00AD">
        <w:rPr>
          <w:i/>
        </w:rPr>
        <w:t>Perez c. France</w:t>
      </w:r>
      <w:r w:rsidRPr="001E00AD">
        <w:t xml:space="preserve"> [GC], n</w:t>
      </w:r>
      <w:r w:rsidRPr="001E00AD">
        <w:rPr>
          <w:vertAlign w:val="superscript"/>
        </w:rPr>
        <w:t>o</w:t>
      </w:r>
      <w:r w:rsidRPr="001E00AD" w:rsidR="001F65D0">
        <w:rPr>
          <w:vertAlign w:val="superscript"/>
        </w:rPr>
        <w:t> </w:t>
      </w:r>
      <w:r w:rsidRPr="001E00AD">
        <w:t>47287/99, § 82, CEDH 2004</w:t>
      </w:r>
      <w:r w:rsidRPr="001E00AD">
        <w:noBreakHyphen/>
        <w:t>I). Il est extrêmement rare que la Cour remette en cause sous l</w:t>
      </w:r>
      <w:r w:rsidRPr="001E00AD" w:rsidR="001E00AD">
        <w:t>’</w:t>
      </w:r>
      <w:r w:rsidRPr="001E00AD">
        <w:t>angle de l</w:t>
      </w:r>
      <w:r w:rsidRPr="001E00AD" w:rsidR="001E00AD">
        <w:t>’</w:t>
      </w:r>
      <w:r w:rsidRPr="001E00AD">
        <w:t>article 6 § 1 l</w:t>
      </w:r>
      <w:r w:rsidRPr="001E00AD" w:rsidR="001E00AD">
        <w:t>’</w:t>
      </w:r>
      <w:r w:rsidRPr="001E00AD">
        <w:t xml:space="preserve">appréciation des tribunaux nationaux en estimant que leurs conclusions peuvent passer pour arbitraires ou manifestement déraisonnables (en ce sens, voir </w:t>
      </w:r>
      <w:r w:rsidRPr="001E00AD">
        <w:rPr>
          <w:i/>
        </w:rPr>
        <w:t>Dulaurans c.</w:t>
      </w:r>
      <w:r w:rsidRPr="001E00AD" w:rsidR="00AE0890">
        <w:rPr>
          <w:i/>
        </w:rPr>
        <w:t> </w:t>
      </w:r>
      <w:r w:rsidRPr="001E00AD">
        <w:rPr>
          <w:i/>
        </w:rPr>
        <w:t>France</w:t>
      </w:r>
      <w:r w:rsidRPr="001E00AD">
        <w:t>, n</w:t>
      </w:r>
      <w:r w:rsidRPr="001E00AD">
        <w:rPr>
          <w:vertAlign w:val="superscript"/>
        </w:rPr>
        <w:t>o</w:t>
      </w:r>
      <w:r w:rsidRPr="001E00AD">
        <w:t xml:space="preserve"> 34553/97, § 38, 21 mars 2000 ; </w:t>
      </w:r>
      <w:r w:rsidRPr="001E00AD">
        <w:rPr>
          <w:i/>
        </w:rPr>
        <w:t>Khamidov c. Russie</w:t>
      </w:r>
      <w:r w:rsidRPr="001E00AD">
        <w:t>, n</w:t>
      </w:r>
      <w:r w:rsidRPr="001E00AD">
        <w:rPr>
          <w:vertAlign w:val="superscript"/>
        </w:rPr>
        <w:t>o</w:t>
      </w:r>
      <w:r w:rsidRPr="001E00AD">
        <w:t xml:space="preserve"> 72118/01, § 170, 15</w:t>
      </w:r>
      <w:r w:rsidRPr="001E00AD" w:rsidR="00AE0890">
        <w:t> </w:t>
      </w:r>
      <w:r w:rsidRPr="001E00AD">
        <w:t xml:space="preserve">novembre 2007 ; </w:t>
      </w:r>
      <w:r w:rsidRPr="001E00AD">
        <w:rPr>
          <w:i/>
        </w:rPr>
        <w:t>Anđelković c. Serbie</w:t>
      </w:r>
      <w:r w:rsidRPr="001E00AD">
        <w:t>, n</w:t>
      </w:r>
      <w:r w:rsidRPr="001E00AD">
        <w:rPr>
          <w:vertAlign w:val="superscript"/>
        </w:rPr>
        <w:t>o</w:t>
      </w:r>
      <w:r w:rsidRPr="001E00AD">
        <w:t xml:space="preserve"> 1401/08</w:t>
      </w:r>
      <w:r w:rsidRPr="001E00AD">
        <w:rPr>
          <w:snapToGrid w:val="0"/>
        </w:rPr>
        <w:t xml:space="preserve">, § 24, 9 avril 2013 ; </w:t>
      </w:r>
      <w:r w:rsidRPr="001E00AD">
        <w:rPr>
          <w:i/>
        </w:rPr>
        <w:t>Lazarević c. Bosnie</w:t>
      </w:r>
      <w:r w:rsidRPr="001E00AD">
        <w:rPr>
          <w:i/>
        </w:rPr>
        <w:noBreakHyphen/>
        <w:t>Herzégovine</w:t>
      </w:r>
      <w:r w:rsidRPr="001E00AD">
        <w:t>, n</w:t>
      </w:r>
      <w:r w:rsidRPr="001E00AD">
        <w:rPr>
          <w:vertAlign w:val="superscript"/>
        </w:rPr>
        <w:t>o</w:t>
      </w:r>
      <w:r w:rsidRPr="001E00AD">
        <w:t xml:space="preserve"> 29422/17, § 32, 14 janvier 2020 ; </w:t>
      </w:r>
      <w:r w:rsidRPr="001E00AD">
        <w:rPr>
          <w:i/>
        </w:rPr>
        <w:t>Bochan c. Ukraine (n</w:t>
      </w:r>
      <w:r w:rsidRPr="001E00AD">
        <w:rPr>
          <w:rFonts w:cs="Times New Roman"/>
          <w:i/>
          <w:vertAlign w:val="superscript"/>
        </w:rPr>
        <w:t>o</w:t>
      </w:r>
      <w:r w:rsidRPr="001E00AD">
        <w:rPr>
          <w:i/>
        </w:rPr>
        <w:t xml:space="preserve"> 2)</w:t>
      </w:r>
      <w:r w:rsidRPr="001E00AD">
        <w:t xml:space="preserve"> [GC], n</w:t>
      </w:r>
      <w:r w:rsidRPr="001E00AD">
        <w:rPr>
          <w:vertAlign w:val="superscript"/>
        </w:rPr>
        <w:t>o</w:t>
      </w:r>
      <w:r w:rsidRPr="001E00AD">
        <w:t xml:space="preserve"> 22251/08</w:t>
      </w:r>
      <w:r w:rsidRPr="001E00AD">
        <w:rPr>
          <w:snapToGrid w:val="0"/>
        </w:rPr>
        <w:t>, §§ 63-65, CEDH 2015</w:t>
      </w:r>
      <w:r w:rsidRPr="001E00AD">
        <w:t>).</w:t>
      </w:r>
    </w:p>
    <w:p w:rsidRPr="001E00AD" w:rsidR="003C67EE" w:rsidP="001E00AD" w:rsidRDefault="003C67EE" w14:paraId="31306CC8" w14:textId="3A1F084F">
      <w:pPr>
        <w:pStyle w:val="JuHa0"/>
      </w:pPr>
      <w:r w:rsidRPr="001E00AD">
        <w:t>Application de ces principes au cas d</w:t>
      </w:r>
      <w:r w:rsidRPr="001E00AD" w:rsidR="001E00AD">
        <w:t>’</w:t>
      </w:r>
      <w:r w:rsidRPr="001E00AD">
        <w:t>espèce</w:t>
      </w:r>
    </w:p>
    <w:p w:rsidRPr="001E00AD" w:rsidR="003C67EE" w:rsidP="001E00AD" w:rsidRDefault="003C67EE" w14:paraId="29CA0F19" w14:textId="45D93A69">
      <w:pPr>
        <w:pStyle w:val="JuPara"/>
      </w:pPr>
      <w:r w:rsidRPr="001E00AD">
        <w:fldChar w:fldCharType="begin"/>
      </w:r>
      <w:r w:rsidRPr="001E00AD">
        <w:instrText xml:space="preserve"> SEQ level0 \*arabic </w:instrText>
      </w:r>
      <w:r w:rsidRPr="001E00AD">
        <w:fldChar w:fldCharType="separate"/>
      </w:r>
      <w:r w:rsidRPr="001E00AD" w:rsidR="001E00AD">
        <w:rPr>
          <w:noProof/>
        </w:rPr>
        <w:t>23</w:t>
      </w:r>
      <w:r w:rsidRPr="001E00AD">
        <w:fldChar w:fldCharType="end"/>
      </w:r>
      <w:r w:rsidRPr="001E00AD">
        <w:t>.  La Cour estime que le cas d</w:t>
      </w:r>
      <w:r w:rsidRPr="001E00AD" w:rsidR="001E00AD">
        <w:t>’</w:t>
      </w:r>
      <w:r w:rsidRPr="001E00AD">
        <w:t>espèce ne concerne pas l</w:t>
      </w:r>
      <w:r w:rsidRPr="001E00AD" w:rsidR="001E00AD">
        <w:t>’</w:t>
      </w:r>
      <w:r w:rsidRPr="001E00AD">
        <w:t>application d</w:t>
      </w:r>
      <w:r w:rsidRPr="001E00AD" w:rsidR="001E00AD">
        <w:t>’</w:t>
      </w:r>
      <w:r w:rsidRPr="001E00AD">
        <w:t>une restriction légale à l</w:t>
      </w:r>
      <w:r w:rsidRPr="001E00AD" w:rsidR="001E00AD">
        <w:t>’</w:t>
      </w:r>
      <w:r w:rsidRPr="001E00AD">
        <w:t xml:space="preserve">accès à une juridiction supérieure découlant du taux du ressort (paragraphes 20-21 ci-dessus). Elle observe cependant que les principes généraux mentionnés à ce sujet sont pertinents, </w:t>
      </w:r>
      <w:r w:rsidRPr="001E00AD">
        <w:rPr>
          <w:i/>
          <w:iCs/>
        </w:rPr>
        <w:t>mutatis mutandis</w:t>
      </w:r>
      <w:r w:rsidRPr="001E00AD">
        <w:t>, pour trancher la présente affaire.</w:t>
      </w:r>
    </w:p>
    <w:p w:rsidRPr="001E00AD" w:rsidR="003C67EE" w:rsidP="001E00AD" w:rsidRDefault="003C67EE" w14:paraId="47B1EEC6" w14:textId="335E2DD7">
      <w:pPr>
        <w:pStyle w:val="JuPara"/>
      </w:pPr>
      <w:r w:rsidRPr="001E00AD">
        <w:fldChar w:fldCharType="begin"/>
      </w:r>
      <w:r w:rsidRPr="001E00AD">
        <w:instrText xml:space="preserve"> SEQ level0 \*arabic </w:instrText>
      </w:r>
      <w:r w:rsidRPr="001E00AD">
        <w:fldChar w:fldCharType="separate"/>
      </w:r>
      <w:r w:rsidRPr="001E00AD" w:rsidR="001E00AD">
        <w:rPr>
          <w:noProof/>
        </w:rPr>
        <w:t>24</w:t>
      </w:r>
      <w:r w:rsidRPr="001E00AD">
        <w:fldChar w:fldCharType="end"/>
      </w:r>
      <w:r w:rsidRPr="001E00AD">
        <w:t>.  </w:t>
      </w:r>
      <w:bookmarkStart w:name="_Hlk36127707" w:id="17"/>
      <w:r w:rsidRPr="001E00AD">
        <w:t>La Cour note</w:t>
      </w:r>
      <w:bookmarkEnd w:id="17"/>
      <w:r w:rsidRPr="001E00AD">
        <w:t xml:space="preserve"> qu</w:t>
      </w:r>
      <w:r w:rsidRPr="001E00AD" w:rsidR="001E00AD">
        <w:t>’</w:t>
      </w:r>
      <w:r w:rsidRPr="001E00AD">
        <w:t>au cours de la procédure la juridiction interne a commis une erreur en déclarant que le requérant avait retiré sa demande en nullité du licenciement, formée à titre principal, et qu</w:t>
      </w:r>
      <w:r w:rsidRPr="001E00AD" w:rsidR="001E00AD">
        <w:t>’</w:t>
      </w:r>
      <w:r w:rsidRPr="001E00AD">
        <w:t>il avait maintenu sa demande d</w:t>
      </w:r>
      <w:r w:rsidRPr="001E00AD" w:rsidR="001E00AD">
        <w:t>’</w:t>
      </w:r>
      <w:r w:rsidRPr="001E00AD">
        <w:t>indemnisation du préjudice, formée à titre subsidiaire, alors que c</w:t>
      </w:r>
      <w:r w:rsidRPr="001E00AD" w:rsidR="001E00AD">
        <w:t>’</w:t>
      </w:r>
      <w:r w:rsidRPr="001E00AD">
        <w:t>était exactement le contraire. La juridiction de première instance a corrigé l</w:t>
      </w:r>
      <w:r w:rsidRPr="001E00AD" w:rsidR="001E00AD">
        <w:t>’</w:t>
      </w:r>
      <w:r w:rsidRPr="001E00AD">
        <w:t>erreur en temps utile et a bien précisé que, en tout état de cause, la demande en nullité du licenciement formée à titre principal avait été tranchée sur le fond. Néanmoins, la juridiction d</w:t>
      </w:r>
      <w:r w:rsidRPr="001E00AD" w:rsidR="001E00AD">
        <w:t>’</w:t>
      </w:r>
      <w:r w:rsidRPr="001E00AD">
        <w:t>appel a par la suite refait la même erreur bien que le recours du requérant fût clair à propos de l</w:t>
      </w:r>
      <w:r w:rsidRPr="001E00AD" w:rsidR="001E00AD">
        <w:t>’</w:t>
      </w:r>
      <w:r w:rsidRPr="001E00AD">
        <w:t>action qu</w:t>
      </w:r>
      <w:r w:rsidRPr="001E00AD" w:rsidR="001E00AD">
        <w:t>’</w:t>
      </w:r>
      <w:r w:rsidRPr="001E00AD">
        <w:t xml:space="preserve">il entendait engager. De plus, il faisait expressément mention de la décision rendue par le juge de première instance le 26 janvier 2016 (paragraphe </w:t>
      </w:r>
      <w:r w:rsidRPr="001E00AD">
        <w:fldChar w:fldCharType="begin"/>
      </w:r>
      <w:r w:rsidRPr="001E00AD">
        <w:instrText xml:space="preserve"> REF paragraph00008 \h  \* CharFormat </w:instrText>
      </w:r>
      <w:r w:rsidRPr="001E00AD">
        <w:fldChar w:fldCharType="separate"/>
      </w:r>
      <w:r w:rsidRPr="001E00AD" w:rsidR="001E00AD">
        <w:t>8</w:t>
      </w:r>
      <w:r w:rsidRPr="001E00AD">
        <w:fldChar w:fldCharType="end"/>
      </w:r>
      <w:r w:rsidRPr="001E00AD">
        <w:t xml:space="preserve"> ci-dessus). Le Tribunal supérieur de justice n</w:t>
      </w:r>
      <w:r w:rsidRPr="001E00AD" w:rsidR="001E00AD">
        <w:t>’</w:t>
      </w:r>
      <w:r w:rsidRPr="001E00AD">
        <w:t>a pas corrigé l</w:t>
      </w:r>
      <w:r w:rsidRPr="001E00AD" w:rsidR="001E00AD">
        <w:t>’</w:t>
      </w:r>
      <w:r w:rsidRPr="001E00AD">
        <w:t>erreur malgré la demande adressée par le requérant. Il a cependant tranché au fond la demande principale (la demande en nullité du licenciement), exposant que dans tous les cas elle avait été formée au moyen d</w:t>
      </w:r>
      <w:r w:rsidRPr="001E00AD" w:rsidR="001E00AD">
        <w:t>’</w:t>
      </w:r>
      <w:r w:rsidRPr="001E00AD">
        <w:t>une procédure inadéquate.</w:t>
      </w:r>
    </w:p>
    <w:p w:rsidRPr="001E00AD" w:rsidR="003C67EE" w:rsidP="001E00AD" w:rsidRDefault="003C67EE" w14:paraId="102200B8" w14:textId="296A59F9">
      <w:pPr>
        <w:pStyle w:val="JuPara"/>
      </w:pPr>
      <w:r w:rsidRPr="001E00AD">
        <w:fldChar w:fldCharType="begin"/>
      </w:r>
      <w:r w:rsidRPr="001E00AD">
        <w:instrText xml:space="preserve"> SEQ level0 \*arabic </w:instrText>
      </w:r>
      <w:r w:rsidRPr="001E00AD">
        <w:fldChar w:fldCharType="separate"/>
      </w:r>
      <w:r w:rsidRPr="001E00AD" w:rsidR="001E00AD">
        <w:rPr>
          <w:noProof/>
        </w:rPr>
        <w:t>25</w:t>
      </w:r>
      <w:r w:rsidRPr="001E00AD">
        <w:fldChar w:fldCharType="end"/>
      </w:r>
      <w:r w:rsidRPr="001E00AD">
        <w:t>.  En ce sens, il y a lieu de noter que le refus du Tribunal supérieur de justice de corriger cette erreur a postérieurement entraîné l</w:t>
      </w:r>
      <w:r w:rsidRPr="001E00AD" w:rsidR="001E00AD">
        <w:t>’</w:t>
      </w:r>
      <w:r w:rsidRPr="001E00AD">
        <w:t>irrecevabilité du pourvoi en cassation du requérant. En effet, dès lors que les arguments présentés par la juridiction d</w:t>
      </w:r>
      <w:r w:rsidRPr="001E00AD" w:rsidR="001E00AD">
        <w:t>’</w:t>
      </w:r>
      <w:r w:rsidRPr="001E00AD">
        <w:t xml:space="preserve">appel pour trancher la demande en nullité formée à titre principal étaient des </w:t>
      </w:r>
      <w:r w:rsidRPr="001E00AD">
        <w:rPr>
          <w:i/>
          <w:iCs/>
        </w:rPr>
        <w:t>obiter dicta</w:t>
      </w:r>
      <w:r w:rsidRPr="001E00AD">
        <w:t>, le Tribunal suprême a conclu qu</w:t>
      </w:r>
      <w:r w:rsidRPr="001E00AD" w:rsidR="001E00AD">
        <w:t>’</w:t>
      </w:r>
      <w:r w:rsidRPr="001E00AD">
        <w:t>il n</w:t>
      </w:r>
      <w:r w:rsidRPr="001E00AD" w:rsidR="001E00AD">
        <w:t>’</w:t>
      </w:r>
      <w:r w:rsidRPr="001E00AD">
        <w:t>était pas possible d</w:t>
      </w:r>
      <w:r w:rsidRPr="001E00AD" w:rsidR="001E00AD">
        <w:t>’</w:t>
      </w:r>
      <w:r w:rsidRPr="001E00AD">
        <w:t xml:space="preserve">examiner la contradiction </w:t>
      </w:r>
      <w:r w:rsidRPr="001E00AD">
        <w:rPr>
          <w:lang w:val="ca-ES"/>
        </w:rPr>
        <w:t>jurisprudentielle alléguée par le requérant</w:t>
      </w:r>
      <w:r w:rsidRPr="001E00AD">
        <w:t xml:space="preserve"> (paragraphe </w:t>
      </w:r>
      <w:r w:rsidRPr="001E00AD">
        <w:fldChar w:fldCharType="begin"/>
      </w:r>
      <w:r w:rsidRPr="001E00AD">
        <w:instrText xml:space="preserve"> REF paragraph00011 \h  \* CharFormat </w:instrText>
      </w:r>
      <w:r w:rsidRPr="001E00AD">
        <w:fldChar w:fldCharType="separate"/>
      </w:r>
      <w:r w:rsidRPr="001E00AD" w:rsidR="001E00AD">
        <w:t>11</w:t>
      </w:r>
      <w:r w:rsidRPr="001E00AD">
        <w:fldChar w:fldCharType="end"/>
      </w:r>
      <w:r w:rsidRPr="001E00AD">
        <w:t xml:space="preserve"> ci-dessus).</w:t>
      </w:r>
    </w:p>
    <w:p w:rsidRPr="001E00AD" w:rsidR="003C67EE" w:rsidP="001E00AD" w:rsidRDefault="003C67EE" w14:paraId="03823DB5" w14:textId="4466C73F">
      <w:pPr>
        <w:pStyle w:val="JuPara"/>
      </w:pPr>
      <w:r w:rsidRPr="001E00AD">
        <w:fldChar w:fldCharType="begin"/>
      </w:r>
      <w:r w:rsidRPr="001E00AD">
        <w:instrText xml:space="preserve"> SEQ level0 \*arabic </w:instrText>
      </w:r>
      <w:r w:rsidRPr="001E00AD">
        <w:fldChar w:fldCharType="separate"/>
      </w:r>
      <w:r w:rsidRPr="001E00AD" w:rsidR="001E00AD">
        <w:rPr>
          <w:noProof/>
        </w:rPr>
        <w:t>26</w:t>
      </w:r>
      <w:r w:rsidRPr="001E00AD">
        <w:fldChar w:fldCharType="end"/>
      </w:r>
      <w:r w:rsidRPr="001E00AD">
        <w:t>.  En application des principes généraux exposés ci-dessus, la Cour relève que l</w:t>
      </w:r>
      <w:r w:rsidRPr="001E00AD" w:rsidR="001E00AD">
        <w:t>’</w:t>
      </w:r>
      <w:r w:rsidRPr="001E00AD">
        <w:t>erreur commise par la juridiction interne a eu pour effet de priver le requérant d</w:t>
      </w:r>
      <w:r w:rsidRPr="001E00AD" w:rsidR="001E00AD">
        <w:t>’</w:t>
      </w:r>
      <w:r w:rsidRPr="001E00AD">
        <w:t>un accès à la juridiction suprême. Elle estime que le requérant a dû supporter une charge excessive en raison de cette erreur, d</w:t>
      </w:r>
      <w:r w:rsidRPr="001E00AD" w:rsidR="001E00AD">
        <w:t>’</w:t>
      </w:r>
      <w:r w:rsidRPr="001E00AD">
        <w:t>autant plus que celle-ci était exclusivement imputable à la juridiction en question. En effet, si la juridiction d</w:t>
      </w:r>
      <w:r w:rsidRPr="001E00AD" w:rsidR="001E00AD">
        <w:t>’</w:t>
      </w:r>
      <w:r w:rsidRPr="001E00AD">
        <w:t>appel avait corrigé son erreur, les arguments présentés pour trancher l</w:t>
      </w:r>
      <w:r w:rsidRPr="001E00AD" w:rsidR="001E00AD">
        <w:t>’</w:t>
      </w:r>
      <w:r w:rsidRPr="001E00AD">
        <w:t>action en justice du requérant n</w:t>
      </w:r>
      <w:r w:rsidRPr="001E00AD" w:rsidR="001E00AD">
        <w:t>’</w:t>
      </w:r>
      <w:r w:rsidRPr="001E00AD">
        <w:t xml:space="preserve">auraient pas été des </w:t>
      </w:r>
      <w:r w:rsidRPr="001E00AD">
        <w:rPr>
          <w:i/>
          <w:iCs/>
        </w:rPr>
        <w:t>obiter dicta</w:t>
      </w:r>
      <w:r w:rsidRPr="001E00AD">
        <w:t>, et de ce fait le Tribunal suprême aurait tranché différemment le pourvoi en cassation de l</w:t>
      </w:r>
      <w:r w:rsidRPr="001E00AD" w:rsidR="001E00AD">
        <w:t>’</w:t>
      </w:r>
      <w:r w:rsidRPr="001E00AD">
        <w:t>intéressé. Il s</w:t>
      </w:r>
      <w:r w:rsidRPr="001E00AD" w:rsidR="001E00AD">
        <w:t>’</w:t>
      </w:r>
      <w:r w:rsidRPr="001E00AD">
        <w:t>ensuit qu</w:t>
      </w:r>
      <w:r w:rsidRPr="001E00AD" w:rsidR="001E00AD">
        <w:t>’</w:t>
      </w:r>
      <w:r w:rsidRPr="001E00AD">
        <w:t>en raison de cette erreur de fait, imputable à la juridiction interne, une décision indéniablement erronée a été rendue en l</w:t>
      </w:r>
      <w:r w:rsidRPr="001E00AD" w:rsidR="001E00AD">
        <w:t>’</w:t>
      </w:r>
      <w:r w:rsidRPr="001E00AD">
        <w:t>espèce. Ainsi, l</w:t>
      </w:r>
      <w:r w:rsidRPr="001E00AD" w:rsidR="001E00AD">
        <w:t>’</w:t>
      </w:r>
      <w:r w:rsidRPr="001E00AD">
        <w:t>erreur commise par le Tribunal supérieur de justice d</w:t>
      </w:r>
      <w:r w:rsidRPr="001E00AD" w:rsidR="001E00AD">
        <w:t>’</w:t>
      </w:r>
      <w:r w:rsidRPr="001E00AD">
        <w:t>Andalousie a porté atteinte au droit du requérant à un accès effectif au Tribunal suprême (</w:t>
      </w:r>
      <w:r w:rsidRPr="001E00AD">
        <w:rPr>
          <w:i/>
        </w:rPr>
        <w:t>Laskowska c. Pologne</w:t>
      </w:r>
      <w:r w:rsidRPr="001E00AD">
        <w:t>, n</w:t>
      </w:r>
      <w:r w:rsidRPr="001E00AD">
        <w:rPr>
          <w:vertAlign w:val="superscript"/>
        </w:rPr>
        <w:t>o</w:t>
      </w:r>
      <w:r w:rsidRPr="001E00AD">
        <w:t xml:space="preserve"> 77765/01, §§ 60-61, 13 mars 2007 ; </w:t>
      </w:r>
      <w:r w:rsidRPr="001E00AD">
        <w:rPr>
          <w:i/>
        </w:rPr>
        <w:t>Šimecki</w:t>
      </w:r>
      <w:r w:rsidRPr="001E00AD">
        <w:rPr>
          <w:snapToGrid w:val="0"/>
        </w:rPr>
        <w:t>, précité</w:t>
      </w:r>
      <w:r w:rsidRPr="001E00AD">
        <w:t>, §§ 46</w:t>
      </w:r>
      <w:r w:rsidRPr="001E00AD">
        <w:noBreakHyphen/>
        <w:t xml:space="preserve">47 ; </w:t>
      </w:r>
      <w:r w:rsidRPr="001E00AD">
        <w:rPr>
          <w:i/>
        </w:rPr>
        <w:t>Sefer Yılmaz et Meryem Yılmaz</w:t>
      </w:r>
      <w:r w:rsidRPr="001E00AD">
        <w:t>, précité</w:t>
      </w:r>
      <w:r w:rsidRPr="001E00AD">
        <w:rPr>
          <w:snapToGrid w:val="0"/>
        </w:rPr>
        <w:t>, §§ 72-73</w:t>
      </w:r>
      <w:r w:rsidRPr="001E00AD">
        <w:t>).</w:t>
      </w:r>
    </w:p>
    <w:p w:rsidRPr="001E00AD" w:rsidR="003C67EE" w:rsidP="001E00AD" w:rsidRDefault="003C67EE" w14:paraId="3685F856" w14:textId="4F2E5A00">
      <w:pPr>
        <w:pStyle w:val="JuPara"/>
      </w:pPr>
      <w:r w:rsidRPr="001E00AD">
        <w:fldChar w:fldCharType="begin"/>
      </w:r>
      <w:r w:rsidRPr="001E00AD">
        <w:instrText xml:space="preserve"> SEQ level0 \*arabic </w:instrText>
      </w:r>
      <w:r w:rsidRPr="001E00AD">
        <w:fldChar w:fldCharType="separate"/>
      </w:r>
      <w:r w:rsidRPr="001E00AD" w:rsidR="001E00AD">
        <w:rPr>
          <w:noProof/>
        </w:rPr>
        <w:t>27</w:t>
      </w:r>
      <w:r w:rsidRPr="001E00AD">
        <w:fldChar w:fldCharType="end"/>
      </w:r>
      <w:r w:rsidRPr="001E00AD">
        <w:t>.  </w:t>
      </w:r>
      <w:bookmarkStart w:name="_Hlk36127749" w:id="18"/>
      <w:r w:rsidRPr="001E00AD">
        <w:t>Partant, il y a eu violation de l</w:t>
      </w:r>
      <w:r w:rsidRPr="001E00AD" w:rsidR="001E00AD">
        <w:t>’</w:t>
      </w:r>
      <w:r w:rsidRPr="001E00AD">
        <w:t>article 6 § 1 de la Convention</w:t>
      </w:r>
      <w:bookmarkEnd w:id="18"/>
      <w:r w:rsidRPr="001E00AD">
        <w:t>.</w:t>
      </w:r>
    </w:p>
    <w:bookmarkEnd w:id="10"/>
    <w:p w:rsidRPr="001E00AD" w:rsidR="003C67EE" w:rsidP="001E00AD" w:rsidRDefault="003C67EE" w14:paraId="4C94BBD4" w14:textId="4A5AE27A">
      <w:pPr>
        <w:pStyle w:val="JuHIRoman"/>
        <w:numPr>
          <w:ilvl w:val="1"/>
          <w:numId w:val="1"/>
        </w:numPr>
        <w:ind w:left="397" w:hanging="397"/>
      </w:pPr>
      <w:r w:rsidRPr="001E00AD">
        <w:rPr>
          <w:caps w:val="0"/>
        </w:rPr>
        <w:t>SUR L</w:t>
      </w:r>
      <w:r w:rsidRPr="001E00AD" w:rsidR="001E00AD">
        <w:rPr>
          <w:caps w:val="0"/>
        </w:rPr>
        <w:t>’</w:t>
      </w:r>
      <w:r w:rsidRPr="001E00AD">
        <w:rPr>
          <w:caps w:val="0"/>
        </w:rPr>
        <w:t>APPLICATION DE L</w:t>
      </w:r>
      <w:r w:rsidRPr="001E00AD" w:rsidR="001E00AD">
        <w:rPr>
          <w:caps w:val="0"/>
        </w:rPr>
        <w:t>’</w:t>
      </w:r>
      <w:r w:rsidRPr="001E00AD">
        <w:rPr>
          <w:caps w:val="0"/>
        </w:rPr>
        <w:t>ARTICLE</w:t>
      </w:r>
      <w:r w:rsidRPr="001E00AD" w:rsidR="005C5A4E">
        <w:rPr>
          <w:caps w:val="0"/>
        </w:rPr>
        <w:t xml:space="preserve"> </w:t>
      </w:r>
      <w:r w:rsidRPr="001E00AD">
        <w:rPr>
          <w:caps w:val="0"/>
        </w:rPr>
        <w:t>41 DE LA CONVENTION</w:t>
      </w:r>
    </w:p>
    <w:p w:rsidRPr="001E00AD" w:rsidR="003C67EE" w:rsidP="001E00AD" w:rsidRDefault="003C67EE" w14:paraId="00F6A3E3" w14:textId="2CE2FFB9">
      <w:pPr>
        <w:pStyle w:val="JuPara"/>
        <w:keepNext/>
        <w:keepLines/>
      </w:pPr>
      <w:r w:rsidRPr="001E00AD">
        <w:fldChar w:fldCharType="begin"/>
      </w:r>
      <w:r w:rsidRPr="001E00AD">
        <w:instrText xml:space="preserve"> SEQ level0 \*arabic </w:instrText>
      </w:r>
      <w:r w:rsidRPr="001E00AD">
        <w:fldChar w:fldCharType="separate"/>
      </w:r>
      <w:r w:rsidRPr="001E00AD" w:rsidR="001E00AD">
        <w:rPr>
          <w:noProof/>
        </w:rPr>
        <w:t>28</w:t>
      </w:r>
      <w:r w:rsidRPr="001E00AD">
        <w:fldChar w:fldCharType="end"/>
      </w:r>
      <w:r w:rsidRPr="001E00AD">
        <w:t>.  </w:t>
      </w:r>
      <w:bookmarkStart w:name="_Hlk36128236" w:id="19"/>
      <w:r w:rsidRPr="001E00AD">
        <w:t>Aux termes de l</w:t>
      </w:r>
      <w:r w:rsidRPr="001E00AD" w:rsidR="001E00AD">
        <w:t>’</w:t>
      </w:r>
      <w:r w:rsidRPr="001E00AD">
        <w:t>article 41 de la Convention,</w:t>
      </w:r>
      <w:bookmarkEnd w:id="19"/>
    </w:p>
    <w:p w:rsidRPr="001E00AD" w:rsidR="00992703" w:rsidP="001E00AD" w:rsidRDefault="003C67EE" w14:paraId="7A28C594" w14:textId="19D289EA">
      <w:pPr>
        <w:pStyle w:val="JuQuot"/>
        <w:keepNext/>
        <w:keepLines/>
      </w:pPr>
      <w:bookmarkStart w:name="_Hlk36128242" w:id="20"/>
      <w:r w:rsidRPr="001E00AD">
        <w:t>« Si la Cour déclare qu</w:t>
      </w:r>
      <w:r w:rsidRPr="001E00AD" w:rsidR="001E00AD">
        <w:t>’</w:t>
      </w:r>
      <w:r w:rsidRPr="001E00AD">
        <w:t>il y a eu violation de la Convention ou de ses Protocoles, et si le droit interne de la Haute Partie contractante ne permet d</w:t>
      </w:r>
      <w:r w:rsidRPr="001E00AD" w:rsidR="001E00AD">
        <w:t>’</w:t>
      </w:r>
      <w:r w:rsidRPr="001E00AD">
        <w:t>effacer qu</w:t>
      </w:r>
      <w:r w:rsidRPr="001E00AD" w:rsidR="001E00AD">
        <w:t>’</w:t>
      </w:r>
      <w:r w:rsidRPr="001E00AD">
        <w:t>imparfaitement les conséquences de cette violation, la Cour accorde à la partie lésée, s</w:t>
      </w:r>
      <w:r w:rsidRPr="001E00AD" w:rsidR="001E00AD">
        <w:t>’</w:t>
      </w:r>
      <w:r w:rsidRPr="001E00AD">
        <w:t>il y a lieu, une satisfaction équitable. »</w:t>
      </w:r>
      <w:bookmarkEnd w:id="20"/>
    </w:p>
    <w:p w:rsidRPr="001E00AD" w:rsidR="003C67EE" w:rsidP="001E00AD" w:rsidRDefault="003C67EE" w14:paraId="606738AD" w14:textId="086DDFA1">
      <w:pPr>
        <w:pStyle w:val="JuHA"/>
        <w:numPr>
          <w:ilvl w:val="2"/>
          <w:numId w:val="2"/>
        </w:numPr>
      </w:pPr>
      <w:r w:rsidRPr="001E00AD">
        <w:t>Dommage</w:t>
      </w:r>
    </w:p>
    <w:p w:rsidRPr="001E00AD" w:rsidR="003C67EE" w:rsidP="001E00AD" w:rsidRDefault="003C67EE" w14:paraId="72F63FFD" w14:textId="0F6B8C49">
      <w:pPr>
        <w:pStyle w:val="JuPara"/>
      </w:pPr>
      <w:r w:rsidRPr="001E00AD">
        <w:fldChar w:fldCharType="begin"/>
      </w:r>
      <w:r w:rsidRPr="001E00AD">
        <w:instrText xml:space="preserve"> SEQ level0 \*arabic </w:instrText>
      </w:r>
      <w:r w:rsidRPr="001E00AD">
        <w:fldChar w:fldCharType="separate"/>
      </w:r>
      <w:r w:rsidRPr="001E00AD" w:rsidR="001E00AD">
        <w:rPr>
          <w:noProof/>
        </w:rPr>
        <w:t>29</w:t>
      </w:r>
      <w:r w:rsidRPr="001E00AD">
        <w:fldChar w:fldCharType="end"/>
      </w:r>
      <w:r w:rsidRPr="001E00AD">
        <w:t>.  Le requérant demande 30 000 euros (EUR) au titre du dommage moral qu</w:t>
      </w:r>
      <w:r w:rsidRPr="001E00AD" w:rsidR="001E00AD">
        <w:t>’</w:t>
      </w:r>
      <w:r w:rsidRPr="001E00AD">
        <w:t>il estime avoir subi.</w:t>
      </w:r>
    </w:p>
    <w:p w:rsidRPr="001E00AD" w:rsidR="003C67EE" w:rsidP="001E00AD" w:rsidRDefault="003C67EE" w14:paraId="6C01CE16" w14:textId="6C9F9619">
      <w:pPr>
        <w:pStyle w:val="JuPara"/>
      </w:pPr>
      <w:r w:rsidRPr="001E00AD">
        <w:fldChar w:fldCharType="begin"/>
      </w:r>
      <w:r w:rsidRPr="001E00AD">
        <w:instrText xml:space="preserve"> SEQ level0 \*arabic </w:instrText>
      </w:r>
      <w:r w:rsidRPr="001E00AD">
        <w:fldChar w:fldCharType="separate"/>
      </w:r>
      <w:r w:rsidRPr="001E00AD" w:rsidR="001E00AD">
        <w:rPr>
          <w:noProof/>
        </w:rPr>
        <w:t>30</w:t>
      </w:r>
      <w:r w:rsidRPr="001E00AD">
        <w:fldChar w:fldCharType="end"/>
      </w:r>
      <w:r w:rsidRPr="001E00AD">
        <w:t>.  Le Gouvernement considère que le requérant n</w:t>
      </w:r>
      <w:r w:rsidRPr="001E00AD" w:rsidR="001E00AD">
        <w:t>’</w:t>
      </w:r>
      <w:r w:rsidRPr="001E00AD">
        <w:t>a pas prouvé la réalité de ce dommage.</w:t>
      </w:r>
    </w:p>
    <w:p w:rsidRPr="001E00AD" w:rsidR="003C67EE" w:rsidP="001E00AD" w:rsidRDefault="003C67EE" w14:paraId="1C4C0187" w14:textId="474CD08E">
      <w:pPr>
        <w:pStyle w:val="JuPara"/>
      </w:pPr>
      <w:r w:rsidRPr="001E00AD">
        <w:fldChar w:fldCharType="begin"/>
      </w:r>
      <w:r w:rsidRPr="001E00AD">
        <w:instrText xml:space="preserve"> SEQ level0 \*arabic </w:instrText>
      </w:r>
      <w:r w:rsidRPr="001E00AD">
        <w:fldChar w:fldCharType="separate"/>
      </w:r>
      <w:r w:rsidRPr="001E00AD" w:rsidR="001E00AD">
        <w:rPr>
          <w:noProof/>
        </w:rPr>
        <w:t>31</w:t>
      </w:r>
      <w:r w:rsidRPr="001E00AD">
        <w:fldChar w:fldCharType="end"/>
      </w:r>
      <w:r w:rsidRPr="001E00AD">
        <w:t>.  La Cour rappelle que la forme la plus appropriée de redressement pour une violation de l</w:t>
      </w:r>
      <w:r w:rsidRPr="001E00AD" w:rsidR="001E00AD">
        <w:t>’</w:t>
      </w:r>
      <w:r w:rsidRPr="001E00AD">
        <w:t>article 6 § 1 consiste à faire en sorte que le requérant se retrouve autant que possible dans la situation qui aurait été la sienne si cette disposition n</w:t>
      </w:r>
      <w:r w:rsidRPr="001E00AD" w:rsidR="001E00AD">
        <w:t>’</w:t>
      </w:r>
      <w:r w:rsidRPr="001E00AD">
        <w:t>avait pas été méconnue (</w:t>
      </w:r>
      <w:r w:rsidRPr="001E00AD">
        <w:rPr>
          <w:i/>
          <w:iCs/>
        </w:rPr>
        <w:t>Atutxa Mendiola et autres c. Espagne</w:t>
      </w:r>
      <w:r w:rsidRPr="001E00AD">
        <w:t>, n</w:t>
      </w:r>
      <w:r w:rsidRPr="001E00AD">
        <w:rPr>
          <w:vertAlign w:val="superscript"/>
        </w:rPr>
        <w:t>o</w:t>
      </w:r>
      <w:r w:rsidRPr="001E00AD">
        <w:t xml:space="preserve"> 41427/14, § 51, 13 juin 2017). Elle juge que ce principe trouve à s</w:t>
      </w:r>
      <w:r w:rsidRPr="001E00AD" w:rsidR="001E00AD">
        <w:t>’</w:t>
      </w:r>
      <w:r w:rsidRPr="001E00AD">
        <w:t>appliquer en l</w:t>
      </w:r>
      <w:r w:rsidRPr="001E00AD" w:rsidR="001E00AD">
        <w:t>’</w:t>
      </w:r>
      <w:r w:rsidRPr="001E00AD">
        <w:t>espèce. En effet, elle note que le droit interne prévoit la possibilité de réviser les décisions définitives qu</w:t>
      </w:r>
      <w:r w:rsidRPr="001E00AD" w:rsidR="001E00AD">
        <w:t>’</w:t>
      </w:r>
      <w:r w:rsidRPr="001E00AD">
        <w:t>un arrêt de la Cour a déclarées contraires aux droits reconnus dans la Convention.</w:t>
      </w:r>
    </w:p>
    <w:p w:rsidRPr="001E00AD" w:rsidR="003C67EE" w:rsidP="001E00AD" w:rsidRDefault="003C67EE" w14:paraId="2AE3624C" w14:textId="693149CB">
      <w:pPr>
        <w:pStyle w:val="JuPara"/>
      </w:pPr>
      <w:r w:rsidRPr="001E00AD">
        <w:fldChar w:fldCharType="begin"/>
      </w:r>
      <w:r w:rsidRPr="001E00AD">
        <w:instrText xml:space="preserve"> SEQ level0 \*arabic </w:instrText>
      </w:r>
      <w:r w:rsidRPr="001E00AD">
        <w:fldChar w:fldCharType="separate"/>
      </w:r>
      <w:r w:rsidRPr="001E00AD" w:rsidR="001E00AD">
        <w:rPr>
          <w:noProof/>
        </w:rPr>
        <w:t>32</w:t>
      </w:r>
      <w:r w:rsidRPr="001E00AD">
        <w:fldChar w:fldCharType="end"/>
      </w:r>
      <w:r w:rsidRPr="001E00AD">
        <w:t>.  Par conséquent, elle estime que la forme la plus appropriée de redressement serait, pourvu que le requérant la demande, la révision de la procédure conformément aux exigences de l</w:t>
      </w:r>
      <w:r w:rsidRPr="001E00AD" w:rsidR="001E00AD">
        <w:t>’</w:t>
      </w:r>
      <w:r w:rsidRPr="001E00AD">
        <w:t>article 6 § 1 de la Convention.</w:t>
      </w:r>
    </w:p>
    <w:p w:rsidRPr="001E00AD" w:rsidR="003C67EE" w:rsidP="001E00AD" w:rsidRDefault="003C67EE" w14:paraId="703ED7AC" w14:textId="7E522C1E">
      <w:pPr>
        <w:pStyle w:val="JuPara"/>
      </w:pPr>
      <w:r w:rsidRPr="001E00AD">
        <w:fldChar w:fldCharType="begin"/>
      </w:r>
      <w:r w:rsidRPr="001E00AD">
        <w:instrText xml:space="preserve"> SEQ level0 \*arabic </w:instrText>
      </w:r>
      <w:r w:rsidRPr="001E00AD">
        <w:fldChar w:fldCharType="separate"/>
      </w:r>
      <w:r w:rsidRPr="001E00AD" w:rsidR="001E00AD">
        <w:rPr>
          <w:noProof/>
        </w:rPr>
        <w:t>33</w:t>
      </w:r>
      <w:r w:rsidRPr="001E00AD">
        <w:fldChar w:fldCharType="end"/>
      </w:r>
      <w:r w:rsidRPr="001E00AD">
        <w:t>.  En outre, la Cour estime que le requérant doit avoir subi une certaine détresse, qui ne peut être compensée que par un constat de violation ou par la réouverture de la procédure. Ainsi, elle considère qu</w:t>
      </w:r>
      <w:r w:rsidRPr="001E00AD" w:rsidR="001E00AD">
        <w:t>’</w:t>
      </w:r>
      <w:r w:rsidRPr="001E00AD">
        <w:t>il y a lieu d</w:t>
      </w:r>
      <w:r w:rsidRPr="001E00AD" w:rsidR="001E00AD">
        <w:t>’</w:t>
      </w:r>
      <w:r w:rsidRPr="001E00AD">
        <w:t>octroyer au requérant la somme de 9 600 EUR pour dommage moral, plus tout montant pouvant être dû par lui à titre d</w:t>
      </w:r>
      <w:r w:rsidRPr="001E00AD" w:rsidR="001E00AD">
        <w:t>’</w:t>
      </w:r>
      <w:r w:rsidRPr="001E00AD">
        <w:t>impôt sur cette somme.</w:t>
      </w:r>
    </w:p>
    <w:p w:rsidRPr="001E00AD" w:rsidR="003C67EE" w:rsidP="001E00AD" w:rsidRDefault="003C67EE" w14:paraId="35E4C810" w14:textId="77777777">
      <w:pPr>
        <w:pStyle w:val="JuHA"/>
      </w:pPr>
      <w:r w:rsidRPr="001E00AD">
        <w:t>Frais et dépens</w:t>
      </w:r>
    </w:p>
    <w:p w:rsidRPr="001E00AD" w:rsidR="003C67EE" w:rsidP="001E00AD" w:rsidRDefault="003C67EE" w14:paraId="24DBDAEA" w14:textId="01665EC7">
      <w:pPr>
        <w:pStyle w:val="JuPara"/>
      </w:pPr>
      <w:r w:rsidRPr="001E00AD">
        <w:fldChar w:fldCharType="begin"/>
      </w:r>
      <w:r w:rsidRPr="001E00AD">
        <w:instrText xml:space="preserve"> SEQ level0 \*arabic </w:instrText>
      </w:r>
      <w:r w:rsidRPr="001E00AD">
        <w:fldChar w:fldCharType="separate"/>
      </w:r>
      <w:r w:rsidRPr="001E00AD" w:rsidR="001E00AD">
        <w:rPr>
          <w:noProof/>
        </w:rPr>
        <w:t>34</w:t>
      </w:r>
      <w:r w:rsidRPr="001E00AD">
        <w:fldChar w:fldCharType="end"/>
      </w:r>
      <w:r w:rsidRPr="001E00AD">
        <w:t>.  Le requérant réclame 6 500 EUR au titre des frais et dépens qu</w:t>
      </w:r>
      <w:r w:rsidRPr="001E00AD" w:rsidR="001E00AD">
        <w:t>’</w:t>
      </w:r>
      <w:r w:rsidRPr="001E00AD">
        <w:t>il a exposés dans le cadre de la procédure menée devant les juridictions internes et 1 500 EUR au titre de ceux qu</w:t>
      </w:r>
      <w:r w:rsidRPr="001E00AD" w:rsidR="001E00AD">
        <w:t>’</w:t>
      </w:r>
      <w:r w:rsidRPr="001E00AD">
        <w:t>il a engagés aux fins de la procédure menée devant la Cour. De plus, il réclame la somme de 2 000 EUR pour la procédure de révision (</w:t>
      </w:r>
      <w:r w:rsidRPr="001E00AD">
        <w:rPr>
          <w:i/>
          <w:iCs/>
        </w:rPr>
        <w:t>recurso de revisión</w:t>
      </w:r>
      <w:r w:rsidRPr="001E00AD">
        <w:t>) qu</w:t>
      </w:r>
      <w:r w:rsidRPr="001E00AD" w:rsidR="001E00AD">
        <w:t>’</w:t>
      </w:r>
      <w:r w:rsidRPr="001E00AD">
        <w:t>il prévoit d</w:t>
      </w:r>
      <w:r w:rsidRPr="001E00AD" w:rsidR="001E00AD">
        <w:t>’</w:t>
      </w:r>
      <w:r w:rsidRPr="001E00AD">
        <w:t>entamer afin de faire rouvrir la procédure.</w:t>
      </w:r>
    </w:p>
    <w:p w:rsidRPr="001E00AD" w:rsidR="003C67EE" w:rsidP="001E00AD" w:rsidRDefault="003C67EE" w14:paraId="216A1954" w14:textId="6D0EDF24">
      <w:pPr>
        <w:pStyle w:val="JuPara"/>
      </w:pPr>
      <w:r w:rsidRPr="001E00AD">
        <w:fldChar w:fldCharType="begin"/>
      </w:r>
      <w:r w:rsidRPr="001E00AD">
        <w:instrText xml:space="preserve"> SEQ level0 \*arabic </w:instrText>
      </w:r>
      <w:r w:rsidRPr="001E00AD">
        <w:fldChar w:fldCharType="separate"/>
      </w:r>
      <w:r w:rsidRPr="001E00AD" w:rsidR="001E00AD">
        <w:rPr>
          <w:noProof/>
        </w:rPr>
        <w:t>35</w:t>
      </w:r>
      <w:r w:rsidRPr="001E00AD">
        <w:fldChar w:fldCharType="end"/>
      </w:r>
      <w:r w:rsidRPr="001E00AD">
        <w:t>.  Le Gouvernement expose que le requérant n</w:t>
      </w:r>
      <w:r w:rsidRPr="001E00AD" w:rsidR="001E00AD">
        <w:t>’</w:t>
      </w:r>
      <w:r w:rsidRPr="001E00AD">
        <w:t>est pas censé réclamer à ce stade les frais et dépens qu</w:t>
      </w:r>
      <w:r w:rsidRPr="001E00AD" w:rsidR="001E00AD">
        <w:t>’</w:t>
      </w:r>
      <w:r w:rsidRPr="001E00AD">
        <w:t>il pourrait exposer à l</w:t>
      </w:r>
      <w:r w:rsidRPr="001E00AD" w:rsidR="001E00AD">
        <w:t>’</w:t>
      </w:r>
      <w:r w:rsidRPr="001E00AD">
        <w:t>occasion d</w:t>
      </w:r>
      <w:r w:rsidRPr="001E00AD" w:rsidR="001E00AD">
        <w:t>’</w:t>
      </w:r>
      <w:r w:rsidRPr="001E00AD">
        <w:t>une éventuelle procédure de révision devant le Tribunal suprême.</w:t>
      </w:r>
    </w:p>
    <w:p w:rsidRPr="001E00AD" w:rsidR="003C67EE" w:rsidP="001E00AD" w:rsidRDefault="003C67EE" w14:paraId="7E5A6894" w14:textId="17564930">
      <w:pPr>
        <w:pStyle w:val="JuPara"/>
      </w:pPr>
      <w:r w:rsidRPr="001E00AD">
        <w:fldChar w:fldCharType="begin"/>
      </w:r>
      <w:r w:rsidRPr="001E00AD">
        <w:instrText xml:space="preserve"> SEQ level0 \*arabic </w:instrText>
      </w:r>
      <w:r w:rsidRPr="001E00AD">
        <w:fldChar w:fldCharType="separate"/>
      </w:r>
      <w:r w:rsidRPr="001E00AD" w:rsidR="001E00AD">
        <w:rPr>
          <w:noProof/>
        </w:rPr>
        <w:t>36</w:t>
      </w:r>
      <w:r w:rsidRPr="001E00AD">
        <w:fldChar w:fldCharType="end"/>
      </w:r>
      <w:r w:rsidRPr="001E00AD">
        <w:t>.  Selon la jurisprudence de la Cour, un requérant ne peut obtenir le remboursement de ses frais et dépens que dans la mesure où se trouvent établis leur réalité, leur nécessité et le caractère raisonnable de leur taux. Concrètement, s</w:t>
      </w:r>
      <w:r w:rsidRPr="001E00AD" w:rsidR="001E00AD">
        <w:t>’</w:t>
      </w:r>
      <w:r w:rsidRPr="001E00AD">
        <w:t>agissant du remboursement des honoraires d</w:t>
      </w:r>
      <w:r w:rsidRPr="001E00AD" w:rsidR="001E00AD">
        <w:t>’</w:t>
      </w:r>
      <w:r w:rsidRPr="001E00AD">
        <w:t>avocat pour la procédure devant elle, la Cour exige des notes d</w:t>
      </w:r>
      <w:r w:rsidRPr="001E00AD" w:rsidR="001E00AD">
        <w:t>’</w:t>
      </w:r>
      <w:r w:rsidRPr="001E00AD">
        <w:t>honoraires et des factures détaillées. Celles-ci doivent être suffisamment précises pour lui permettre de déterminer dans quelle mesure les conditions pertinentes se trouvent remplies (</w:t>
      </w:r>
      <w:r w:rsidRPr="001E00AD">
        <w:rPr>
          <w:rFonts w:eastAsia="Times New Roman" w:cstheme="minorHAnsi"/>
          <w:i/>
          <w:iCs/>
          <w:color w:val="000000"/>
        </w:rPr>
        <w:t>Pişkin c. Turquie</w:t>
      </w:r>
      <w:r w:rsidRPr="001E00AD">
        <w:rPr>
          <w:rFonts w:eastAsia="Times New Roman" w:cstheme="minorHAnsi"/>
          <w:color w:val="000000"/>
        </w:rPr>
        <w:t>, n</w:t>
      </w:r>
      <w:r w:rsidRPr="001E00AD">
        <w:rPr>
          <w:rFonts w:eastAsia="Times New Roman" w:cstheme="minorHAnsi"/>
          <w:color w:val="000000"/>
          <w:vertAlign w:val="superscript"/>
        </w:rPr>
        <w:t>o</w:t>
      </w:r>
      <w:r w:rsidRPr="001E00AD">
        <w:rPr>
          <w:rFonts w:eastAsia="Times New Roman" w:cstheme="minorHAnsi"/>
          <w:color w:val="000000"/>
        </w:rPr>
        <w:t xml:space="preserve"> 33399/18, § 243, 15 décembre 2020</w:t>
      </w:r>
      <w:r w:rsidRPr="001E00AD">
        <w:t>). Le requérant n</w:t>
      </w:r>
      <w:r w:rsidRPr="001E00AD" w:rsidR="001E00AD">
        <w:t>’</w:t>
      </w:r>
      <w:r w:rsidRPr="001E00AD">
        <w:t>ayant soumis aucune pièce justificative concernant les honoraires payés ou devant être versés à son représentant, la Cour rejette sa prétention formulée au titre des frais et dépens engagés devant elle. Elle écarte aussi la prétention relative à la procédure de révision que le requérant prévoit d</w:t>
      </w:r>
      <w:r w:rsidRPr="001E00AD" w:rsidR="001E00AD">
        <w:t>’</w:t>
      </w:r>
      <w:r w:rsidRPr="001E00AD">
        <w:t>introduire, étant donné que ces frais n</w:t>
      </w:r>
      <w:r w:rsidRPr="001E00AD" w:rsidR="001E00AD">
        <w:t>’</w:t>
      </w:r>
      <w:r w:rsidRPr="001E00AD">
        <w:t>ont pas été effectivement engagés par lui (</w:t>
      </w:r>
      <w:r w:rsidRPr="001E00AD">
        <w:rPr>
          <w:i/>
        </w:rPr>
        <w:t>Gil Sanjuan c. Espagne</w:t>
      </w:r>
      <w:r w:rsidRPr="001E00AD">
        <w:t>, n</w:t>
      </w:r>
      <w:r w:rsidRPr="001E00AD">
        <w:rPr>
          <w:vertAlign w:val="superscript"/>
        </w:rPr>
        <w:t>o</w:t>
      </w:r>
      <w:r w:rsidRPr="001E00AD">
        <w:t> 48297/15, § 55, 26 mai 2020).</w:t>
      </w:r>
    </w:p>
    <w:p w:rsidRPr="001E00AD" w:rsidR="003C67EE" w:rsidP="001E00AD" w:rsidRDefault="003C67EE" w14:paraId="6D6AF764" w14:textId="77777777">
      <w:pPr>
        <w:pStyle w:val="JuHA"/>
      </w:pPr>
      <w:r w:rsidRPr="001E00AD">
        <w:t>Intérêts moratoires</w:t>
      </w:r>
    </w:p>
    <w:p w:rsidRPr="001E00AD" w:rsidR="003C67EE" w:rsidP="001E00AD" w:rsidRDefault="003C67EE" w14:paraId="3BA19A75" w14:textId="632B1013">
      <w:pPr>
        <w:pStyle w:val="JuPara"/>
      </w:pPr>
      <w:r w:rsidRPr="001E00AD">
        <w:fldChar w:fldCharType="begin"/>
      </w:r>
      <w:r w:rsidRPr="001E00AD">
        <w:instrText xml:space="preserve"> SEQ level0 \*arabic </w:instrText>
      </w:r>
      <w:r w:rsidRPr="001E00AD">
        <w:fldChar w:fldCharType="separate"/>
      </w:r>
      <w:r w:rsidRPr="001E00AD" w:rsidR="001E00AD">
        <w:rPr>
          <w:noProof/>
        </w:rPr>
        <w:t>37</w:t>
      </w:r>
      <w:r w:rsidRPr="001E00AD">
        <w:fldChar w:fldCharType="end"/>
      </w:r>
      <w:r w:rsidRPr="001E00AD">
        <w:t>.  La Cour juge approprié de calquer le taux des intérêts moratoires sur le taux d</w:t>
      </w:r>
      <w:r w:rsidRPr="001E00AD" w:rsidR="001E00AD">
        <w:t>’</w:t>
      </w:r>
      <w:r w:rsidRPr="001E00AD">
        <w:t>intérêt de la facilité de prêt marginal de la Banque centrale européenne majoré de trois points de pourcentage.</w:t>
      </w:r>
    </w:p>
    <w:p w:rsidRPr="001E00AD" w:rsidR="003C67EE" w:rsidP="001E00AD" w:rsidRDefault="003C67EE" w14:paraId="41AF6055" w14:textId="6074B051">
      <w:pPr>
        <w:pStyle w:val="JuHHead"/>
        <w:numPr>
          <w:ilvl w:val="0"/>
          <w:numId w:val="1"/>
        </w:numPr>
      </w:pPr>
      <w:r w:rsidRPr="001E00AD">
        <w:t xml:space="preserve">PAR CES MOTIFS, LA COUR, </w:t>
      </w:r>
      <w:r w:rsidRPr="001E00AD">
        <w:rPr>
          <w:caps w:val="0"/>
        </w:rPr>
        <w:t>À L</w:t>
      </w:r>
      <w:r w:rsidRPr="001E00AD" w:rsidR="001E00AD">
        <w:rPr>
          <w:caps w:val="0"/>
        </w:rPr>
        <w:t>’</w:t>
      </w:r>
      <w:r w:rsidRPr="001E00AD">
        <w:rPr>
          <w:caps w:val="0"/>
        </w:rPr>
        <w:t>UNANIMITÉ</w:t>
      </w:r>
      <w:r w:rsidRPr="001E00AD">
        <w:t>,</w:t>
      </w:r>
    </w:p>
    <w:p w:rsidRPr="001E00AD" w:rsidR="003C67EE" w:rsidP="001E00AD" w:rsidRDefault="003C67EE" w14:paraId="000F70F4" w14:textId="77777777">
      <w:pPr>
        <w:pStyle w:val="JuList"/>
      </w:pPr>
      <w:r w:rsidRPr="001E00AD">
        <w:rPr>
          <w:i/>
        </w:rPr>
        <w:t>Déclare</w:t>
      </w:r>
      <w:r w:rsidRPr="001E00AD">
        <w:t xml:space="preserve"> la requête recevable ;</w:t>
      </w:r>
    </w:p>
    <w:p w:rsidRPr="001E00AD" w:rsidR="003C67EE" w:rsidP="001E00AD" w:rsidRDefault="003C67EE" w14:paraId="6B6CEC79" w14:textId="334B3FE2">
      <w:pPr>
        <w:pStyle w:val="JuList"/>
      </w:pPr>
      <w:r w:rsidRPr="001E00AD">
        <w:rPr>
          <w:i/>
        </w:rPr>
        <w:t>Dit</w:t>
      </w:r>
      <w:r w:rsidRPr="001E00AD">
        <w:t xml:space="preserve"> qu</w:t>
      </w:r>
      <w:r w:rsidRPr="001E00AD" w:rsidR="001E00AD">
        <w:t>’</w:t>
      </w:r>
      <w:r w:rsidRPr="001E00AD">
        <w:t>il y a eu violation de l</w:t>
      </w:r>
      <w:r w:rsidRPr="001E00AD" w:rsidR="001E00AD">
        <w:t>’</w:t>
      </w:r>
      <w:r w:rsidRPr="001E00AD">
        <w:t>article 6 § 1 de la Convention ;</w:t>
      </w:r>
    </w:p>
    <w:p w:rsidRPr="001E00AD" w:rsidR="003C67EE" w:rsidP="001E00AD" w:rsidRDefault="003C67EE" w14:paraId="4CB8C1C3" w14:textId="77777777">
      <w:pPr>
        <w:pStyle w:val="JuList"/>
      </w:pPr>
      <w:r w:rsidRPr="001E00AD">
        <w:rPr>
          <w:i/>
        </w:rPr>
        <w:t>Dit</w:t>
      </w:r>
    </w:p>
    <w:p w:rsidRPr="001E00AD" w:rsidR="003C67EE" w:rsidP="001E00AD" w:rsidRDefault="003C67EE" w14:paraId="66EE3B5E" w14:textId="518DBAE5">
      <w:pPr>
        <w:pStyle w:val="JuLista"/>
      </w:pPr>
      <w:r w:rsidRPr="001E00AD">
        <w:t>que l</w:t>
      </w:r>
      <w:r w:rsidRPr="001E00AD" w:rsidR="001E00AD">
        <w:t>’</w:t>
      </w:r>
      <w:r w:rsidRPr="001E00AD">
        <w:t>État défendeur doit verser au requérant, dans un délai de trois mois, la somme de 9 600 EUR (neuf mille six cents euros), plus tout montant pouvant être dû à titre d</w:t>
      </w:r>
      <w:r w:rsidRPr="001E00AD" w:rsidR="001E00AD">
        <w:t>’</w:t>
      </w:r>
      <w:r w:rsidRPr="001E00AD">
        <w:t>impôt sur cette somme, pour dommage moral ;</w:t>
      </w:r>
    </w:p>
    <w:p w:rsidRPr="001E00AD" w:rsidR="003C67EE" w:rsidP="001E00AD" w:rsidRDefault="003C67EE" w14:paraId="5C6863B5" w14:textId="79E3BE70">
      <w:pPr>
        <w:pStyle w:val="JuLista"/>
      </w:pPr>
      <w:r w:rsidRPr="001E00AD">
        <w:t>qu</w:t>
      </w:r>
      <w:r w:rsidRPr="001E00AD" w:rsidR="001E00AD">
        <w:t>’</w:t>
      </w:r>
      <w:r w:rsidRPr="001E00AD">
        <w:t>à compter de l</w:t>
      </w:r>
      <w:r w:rsidRPr="001E00AD" w:rsidR="001E00AD">
        <w:t>’</w:t>
      </w:r>
      <w:r w:rsidRPr="001E00AD">
        <w:t>expiration dudit délai et jusqu</w:t>
      </w:r>
      <w:r w:rsidRPr="001E00AD" w:rsidR="001E00AD">
        <w:t>’</w:t>
      </w:r>
      <w:r w:rsidRPr="001E00AD">
        <w:t>au versement, ce montant ser</w:t>
      </w:r>
      <w:r w:rsidRPr="001E00AD" w:rsidR="008F6074">
        <w:t>a</w:t>
      </w:r>
      <w:r w:rsidRPr="001E00AD">
        <w:t xml:space="preserve"> à majorer d</w:t>
      </w:r>
      <w:r w:rsidRPr="001E00AD" w:rsidR="001E00AD">
        <w:t>’</w:t>
      </w:r>
      <w:r w:rsidRPr="001E00AD">
        <w:t>un intérêt simple à un taux égal à celui de la facilité de prêt marginal de la Banque centrale européenne applicable pendant cette période, augmenté de trois points de pourcentage ;</w:t>
      </w:r>
    </w:p>
    <w:p w:rsidRPr="001E00AD" w:rsidR="00876F03" w:rsidP="001E00AD" w:rsidRDefault="003C67EE" w14:paraId="2BC5F970" w14:textId="77777777">
      <w:pPr>
        <w:pStyle w:val="JuList"/>
      </w:pPr>
      <w:r w:rsidRPr="001E00AD">
        <w:rPr>
          <w:i/>
        </w:rPr>
        <w:t>Rejette</w:t>
      </w:r>
      <w:r w:rsidRPr="001E00AD">
        <w:t xml:space="preserve"> le surplus de la demande de satisfaction équitable.</w:t>
      </w:r>
    </w:p>
    <w:p w:rsidRPr="001E00AD" w:rsidR="003C67EE" w:rsidP="001E00AD" w:rsidRDefault="00893F30" w14:paraId="739D8C12" w14:textId="76B05610">
      <w:pPr>
        <w:pStyle w:val="JuParaLast"/>
      </w:pPr>
      <w:r w:rsidRPr="001E00AD">
        <w:t xml:space="preserve">Fait en français, puis communiqué par écrit le </w:t>
      </w:r>
      <w:r w:rsidRPr="001E00AD" w:rsidR="003C67EE">
        <w:t>28 septembre 2021</w:t>
      </w:r>
      <w:r w:rsidRPr="001E00AD">
        <w:t>, en application de l</w:t>
      </w:r>
      <w:r w:rsidRPr="001E00AD" w:rsidR="001E00AD">
        <w:t>’</w:t>
      </w:r>
      <w:r w:rsidRPr="001E00AD">
        <w:t>article 77 §§ 2 et 3 du règlement.</w:t>
      </w:r>
    </w:p>
    <w:p w:rsidRPr="001E00AD" w:rsidR="00876F03" w:rsidP="001E00AD" w:rsidRDefault="003C67EE" w14:paraId="481E47E8" w14:textId="65ABFE64">
      <w:pPr>
        <w:pStyle w:val="JuSigned"/>
      </w:pPr>
      <w:r w:rsidRPr="001E00AD">
        <w:t>Olga Chernishova</w:t>
      </w:r>
      <w:r w:rsidRPr="001E00AD" w:rsidR="004344E6">
        <w:tab/>
      </w:r>
      <w:r w:rsidRPr="001E00AD">
        <w:t xml:space="preserve">Georgios A. Serghides </w:t>
      </w:r>
      <w:r w:rsidRPr="001E00AD" w:rsidR="004344E6">
        <w:br/>
      </w:r>
      <w:r w:rsidRPr="001E00AD" w:rsidR="004344E6">
        <w:tab/>
      </w:r>
      <w:r w:rsidRPr="001E00AD">
        <w:t>Greffière adjointe</w:t>
      </w:r>
      <w:r w:rsidRPr="001E00AD" w:rsidR="004344E6">
        <w:tab/>
      </w:r>
      <w:r w:rsidRPr="001E00AD">
        <w:t>Président</w:t>
      </w:r>
    </w:p>
    <w:sectPr w:rsidRPr="001E00AD" w:rsidR="00876F03">
      <w:headerReference w:type="even" r:id="rId13"/>
      <w:headerReference w:type="default" r:id="rId14"/>
      <w:footerReference w:type="default" r:id="rId15"/>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1CD41" w14:textId="77777777" w:rsidR="003C67EE" w:rsidRPr="00F25EFC" w:rsidRDefault="003C67EE" w:rsidP="00516B59">
      <w:r w:rsidRPr="00F25EFC">
        <w:separator/>
      </w:r>
    </w:p>
  </w:endnote>
  <w:endnote w:type="continuationSeparator" w:id="0">
    <w:p w14:paraId="110AAFE6" w14:textId="77777777" w:rsidR="003C67EE" w:rsidRPr="00F25EFC" w:rsidRDefault="003C67EE"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7B5C" w14:textId="79C16DEC" w:rsidR="00954AD6" w:rsidRPr="00F25EFC" w:rsidRDefault="003C67EE" w:rsidP="00954AD6">
    <w:pPr>
      <w:pStyle w:val="JuHead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BDF8C" w14:textId="48A735BA" w:rsidR="003C67EE" w:rsidRPr="00150BFA" w:rsidRDefault="003C67EE" w:rsidP="0020718E">
    <w:pPr>
      <w:jc w:val="center"/>
    </w:pPr>
    <w:r>
      <w:rPr>
        <w:noProof/>
        <w:lang w:val="en-US" w:eastAsia="ja-JP"/>
      </w:rPr>
      <w:drawing>
        <wp:inline distT="0" distB="0" distL="0" distR="0" wp14:anchorId="7F1AA4DA" wp14:editId="3C3343AB">
          <wp:extent cx="771525" cy="619125"/>
          <wp:effectExtent l="0" t="0" r="9525" b="9525"/>
          <wp:docPr id="73" name="Picture 7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B6C3E87" w14:textId="15B7D65C" w:rsidR="00F22D5C" w:rsidRPr="00F25EFC" w:rsidRDefault="00396F33"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FA9D3" w14:textId="3368A4B2" w:rsidR="003C67EE" w:rsidRPr="00150BFA" w:rsidRDefault="003C67EE" w:rsidP="0020718E">
    <w:pPr>
      <w:jc w:val="center"/>
    </w:pPr>
    <w:r>
      <w:rPr>
        <w:noProof/>
        <w:lang w:val="en-US" w:eastAsia="ja-JP"/>
      </w:rPr>
      <w:drawing>
        <wp:inline distT="0" distB="0" distL="0" distR="0" wp14:anchorId="32A75EF6" wp14:editId="59F2C9E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7B6B82A" w14:textId="52376D4B" w:rsidR="00902601" w:rsidRPr="00F25EFC" w:rsidRDefault="00902601" w:rsidP="00902601">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2DE4" w14:textId="5723E465" w:rsidR="00F22D5C" w:rsidRPr="00D01935" w:rsidRDefault="003C67EE" w:rsidP="00662882">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5D970" w14:textId="77777777" w:rsidR="003C67EE" w:rsidRPr="00F25EFC" w:rsidRDefault="003C67EE" w:rsidP="00516B59">
      <w:r w:rsidRPr="00F25EFC">
        <w:separator/>
      </w:r>
    </w:p>
  </w:footnote>
  <w:footnote w:type="continuationSeparator" w:id="0">
    <w:p w14:paraId="28909990" w14:textId="77777777" w:rsidR="003C67EE" w:rsidRPr="00F25EFC" w:rsidRDefault="003C67EE" w:rsidP="00516B59">
      <w:r w:rsidRPr="00F25E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AA41D" w14:textId="52798599" w:rsidR="003C67EE" w:rsidRPr="00A45145" w:rsidRDefault="003C67EE" w:rsidP="00A45145">
    <w:pPr>
      <w:jc w:val="center"/>
    </w:pPr>
    <w:r>
      <w:rPr>
        <w:noProof/>
        <w:lang w:val="en-US" w:eastAsia="ja-JP"/>
      </w:rPr>
      <w:drawing>
        <wp:inline distT="0" distB="0" distL="0" distR="0" wp14:anchorId="3BF9A311" wp14:editId="72F186AF">
          <wp:extent cx="2962275" cy="1219200"/>
          <wp:effectExtent l="0" t="0" r="9525" b="0"/>
          <wp:docPr id="70" name="Picture 7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53DF839" w14:textId="36C8DAAA" w:rsidR="00F22D5C" w:rsidRPr="00F25EFC" w:rsidRDefault="00396F33" w:rsidP="009840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C6878" w14:textId="1C314FB3" w:rsidR="003C67EE" w:rsidRPr="00A45145" w:rsidRDefault="003C67EE" w:rsidP="00A45145">
    <w:pPr>
      <w:jc w:val="center"/>
    </w:pPr>
    <w:r>
      <w:rPr>
        <w:noProof/>
        <w:lang w:val="en-US" w:eastAsia="ja-JP"/>
      </w:rPr>
      <w:drawing>
        <wp:inline distT="0" distB="0" distL="0" distR="0" wp14:anchorId="7D78F75C" wp14:editId="24B67A36">
          <wp:extent cx="2962275" cy="1219200"/>
          <wp:effectExtent l="0" t="0" r="9525" b="0"/>
          <wp:docPr id="64" name="Picture 6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BE81985" w14:textId="077B31C7" w:rsidR="00902601" w:rsidRPr="00F25EFC" w:rsidRDefault="00902601" w:rsidP="00902601">
    <w:pPr>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A7B7" w14:textId="7B3A11C4"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3C67EE">
      <w:rPr>
        <w:lang w:val="en-US"/>
      </w:rPr>
      <w:t>DOMENECH FIGUEROA c. ESPAGNE</w:t>
    </w:r>
    <w:r w:rsidR="003C67EE" w:rsidRPr="00592C8D">
      <w:rPr>
        <w:noProof/>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AB2B1" w14:textId="14E56176" w:rsidR="00F22D5C" w:rsidRPr="00662882" w:rsidRDefault="00256F45" w:rsidP="00662882">
    <w:pPr>
      <w:pStyle w:val="JuHeader"/>
    </w:pPr>
    <w:r w:rsidRPr="00592C8D">
      <w:rPr>
        <w:lang w:val="en-US"/>
      </w:rPr>
      <w:t>ARRÊT</w:t>
    </w:r>
    <w:r w:rsidR="00162967" w:rsidRPr="00592C8D">
      <w:rPr>
        <w:lang w:val="en-US"/>
      </w:rPr>
      <w:t xml:space="preserve"> </w:t>
    </w:r>
    <w:r w:rsidR="003C67EE">
      <w:rPr>
        <w:lang w:val="en-US"/>
      </w:rPr>
      <w:t>DOMENECH FIGUEROA c. ESPAGNE</w:t>
    </w:r>
    <w:r w:rsidR="007971FF" w:rsidRPr="00592C8D">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3C67EE"/>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45FF4"/>
    <w:rsid w:val="00160B2F"/>
    <w:rsid w:val="001619DC"/>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0AD"/>
    <w:rsid w:val="001E035B"/>
    <w:rsid w:val="001E0961"/>
    <w:rsid w:val="001E3EAE"/>
    <w:rsid w:val="001E6F32"/>
    <w:rsid w:val="001F2145"/>
    <w:rsid w:val="001F39F4"/>
    <w:rsid w:val="001F6262"/>
    <w:rsid w:val="001F65D0"/>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3ECE"/>
    <w:rsid w:val="00356AC7"/>
    <w:rsid w:val="003609FA"/>
    <w:rsid w:val="00361D45"/>
    <w:rsid w:val="00365B91"/>
    <w:rsid w:val="00367B4F"/>
    <w:rsid w:val="003710C8"/>
    <w:rsid w:val="003722CE"/>
    <w:rsid w:val="003750BE"/>
    <w:rsid w:val="00387B9D"/>
    <w:rsid w:val="0039364F"/>
    <w:rsid w:val="00396686"/>
    <w:rsid w:val="0039778E"/>
    <w:rsid w:val="003A37B8"/>
    <w:rsid w:val="003B4941"/>
    <w:rsid w:val="003B6A2E"/>
    <w:rsid w:val="003C5714"/>
    <w:rsid w:val="003C67EE"/>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C2AB1"/>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2E0B"/>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C5A4E"/>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36F7A"/>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5264"/>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8F6074"/>
    <w:rsid w:val="009013A7"/>
    <w:rsid w:val="009017FB"/>
    <w:rsid w:val="009017FC"/>
    <w:rsid w:val="009020E3"/>
    <w:rsid w:val="00902601"/>
    <w:rsid w:val="0090506B"/>
    <w:rsid w:val="009050C9"/>
    <w:rsid w:val="009066FC"/>
    <w:rsid w:val="009140A3"/>
    <w:rsid w:val="009144A2"/>
    <w:rsid w:val="0091510C"/>
    <w:rsid w:val="00923315"/>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8A8"/>
    <w:rsid w:val="00985BAB"/>
    <w:rsid w:val="00992703"/>
    <w:rsid w:val="009B1B5F"/>
    <w:rsid w:val="009B6673"/>
    <w:rsid w:val="009C191B"/>
    <w:rsid w:val="009C2BD6"/>
    <w:rsid w:val="009D2F52"/>
    <w:rsid w:val="009E16D2"/>
    <w:rsid w:val="009E1F32"/>
    <w:rsid w:val="009E776C"/>
    <w:rsid w:val="009F0E8A"/>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D2473"/>
    <w:rsid w:val="00AE0890"/>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2D7B"/>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B9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E00AD"/>
    <w:rPr>
      <w:sz w:val="24"/>
      <w:szCs w:val="24"/>
      <w:lang w:val="fr-FR"/>
    </w:rPr>
  </w:style>
  <w:style w:type="paragraph" w:styleId="Heading1">
    <w:name w:val="heading 1"/>
    <w:basedOn w:val="Normal"/>
    <w:next w:val="Normal"/>
    <w:link w:val="Heading1Char"/>
    <w:uiPriority w:val="98"/>
    <w:semiHidden/>
    <w:rsid w:val="001E00A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1E00A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1E00AD"/>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1E00AD"/>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1E00AD"/>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1E00A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1E00AD"/>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1E00A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1E00A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1E00AD"/>
    <w:rPr>
      <w:rFonts w:ascii="Tahoma" w:hAnsi="Tahoma" w:cs="Tahoma"/>
      <w:sz w:val="16"/>
      <w:szCs w:val="16"/>
    </w:rPr>
  </w:style>
  <w:style w:type="character" w:customStyle="1" w:styleId="BalloonTextChar">
    <w:name w:val="Balloon Text Char"/>
    <w:basedOn w:val="DefaultParagraphFont"/>
    <w:link w:val="BalloonText"/>
    <w:uiPriority w:val="98"/>
    <w:semiHidden/>
    <w:rsid w:val="001E00AD"/>
    <w:rPr>
      <w:rFonts w:ascii="Tahoma" w:hAnsi="Tahoma" w:cs="Tahoma"/>
      <w:sz w:val="16"/>
      <w:szCs w:val="16"/>
      <w:lang w:val="fr-FR"/>
    </w:rPr>
  </w:style>
  <w:style w:type="character" w:styleId="BookTitle">
    <w:name w:val="Book Title"/>
    <w:uiPriority w:val="98"/>
    <w:semiHidden/>
    <w:qFormat/>
    <w:rsid w:val="001E00AD"/>
    <w:rPr>
      <w:i/>
      <w:iCs/>
      <w:smallCaps/>
      <w:spacing w:val="5"/>
    </w:rPr>
  </w:style>
  <w:style w:type="paragraph" w:customStyle="1" w:styleId="JuHeader">
    <w:name w:val="Ju_Header"/>
    <w:aliases w:val="_Header"/>
    <w:basedOn w:val="Header"/>
    <w:uiPriority w:val="29"/>
    <w:qFormat/>
    <w:rsid w:val="001E00AD"/>
    <w:pPr>
      <w:tabs>
        <w:tab w:val="clear" w:pos="4536"/>
        <w:tab w:val="clear" w:pos="9072"/>
      </w:tabs>
      <w:jc w:val="center"/>
    </w:pPr>
    <w:rPr>
      <w:sz w:val="18"/>
    </w:rPr>
  </w:style>
  <w:style w:type="paragraph" w:customStyle="1" w:styleId="DummyStyle">
    <w:name w:val="Dummy_Style"/>
    <w:aliases w:val="_Dummy"/>
    <w:basedOn w:val="Normal"/>
    <w:semiHidden/>
    <w:qFormat/>
    <w:rsid w:val="001E00AD"/>
    <w:rPr>
      <w:color w:val="00B050"/>
      <w:sz w:val="22"/>
    </w:rPr>
  </w:style>
  <w:style w:type="character" w:styleId="Strong">
    <w:name w:val="Strong"/>
    <w:uiPriority w:val="98"/>
    <w:semiHidden/>
    <w:qFormat/>
    <w:rsid w:val="001E00AD"/>
    <w:rPr>
      <w:b/>
      <w:bCs/>
    </w:rPr>
  </w:style>
  <w:style w:type="paragraph" w:styleId="NoSpacing">
    <w:name w:val="No Spacing"/>
    <w:basedOn w:val="Normal"/>
    <w:link w:val="NoSpacingChar"/>
    <w:uiPriority w:val="98"/>
    <w:semiHidden/>
    <w:qFormat/>
    <w:rsid w:val="001E00AD"/>
  </w:style>
  <w:style w:type="character" w:customStyle="1" w:styleId="NoSpacingChar">
    <w:name w:val="No Spacing Char"/>
    <w:basedOn w:val="DefaultParagraphFont"/>
    <w:link w:val="NoSpacing"/>
    <w:uiPriority w:val="98"/>
    <w:semiHidden/>
    <w:rsid w:val="001E00AD"/>
    <w:rPr>
      <w:sz w:val="24"/>
      <w:szCs w:val="24"/>
      <w:lang w:val="fr-FR"/>
    </w:rPr>
  </w:style>
  <w:style w:type="paragraph" w:customStyle="1" w:styleId="JuQuot">
    <w:name w:val="Ju_Quot"/>
    <w:aliases w:val="_Quote"/>
    <w:basedOn w:val="NormalJustified"/>
    <w:uiPriority w:val="20"/>
    <w:qFormat/>
    <w:rsid w:val="001E00AD"/>
    <w:pPr>
      <w:spacing w:before="120" w:after="120"/>
      <w:ind w:left="425" w:firstLine="142"/>
    </w:pPr>
    <w:rPr>
      <w:sz w:val="20"/>
    </w:rPr>
  </w:style>
  <w:style w:type="paragraph" w:customStyle="1" w:styleId="JuList">
    <w:name w:val="Ju_List"/>
    <w:aliases w:val="_List_1"/>
    <w:basedOn w:val="NormalJustified"/>
    <w:uiPriority w:val="23"/>
    <w:qFormat/>
    <w:rsid w:val="001E00AD"/>
    <w:pPr>
      <w:numPr>
        <w:numId w:val="8"/>
      </w:numPr>
      <w:spacing w:before="280" w:after="60"/>
    </w:pPr>
  </w:style>
  <w:style w:type="paragraph" w:customStyle="1" w:styleId="JuLista">
    <w:name w:val="Ju_List_a"/>
    <w:aliases w:val="_List_2"/>
    <w:basedOn w:val="NormalJustified"/>
    <w:uiPriority w:val="23"/>
    <w:rsid w:val="001E00AD"/>
    <w:pPr>
      <w:numPr>
        <w:ilvl w:val="1"/>
        <w:numId w:val="8"/>
      </w:numPr>
    </w:pPr>
  </w:style>
  <w:style w:type="paragraph" w:customStyle="1" w:styleId="JuListi">
    <w:name w:val="Ju_List_i"/>
    <w:aliases w:val="_List_3"/>
    <w:basedOn w:val="NormalJustified"/>
    <w:uiPriority w:val="23"/>
    <w:rsid w:val="001E00AD"/>
    <w:pPr>
      <w:numPr>
        <w:ilvl w:val="2"/>
        <w:numId w:val="8"/>
      </w:numPr>
    </w:pPr>
  </w:style>
  <w:style w:type="paragraph" w:customStyle="1" w:styleId="DecHTitle">
    <w:name w:val="Dec_H_Title"/>
    <w:aliases w:val="_Title_1"/>
    <w:basedOn w:val="JuPara"/>
    <w:next w:val="JuPara"/>
    <w:uiPriority w:val="38"/>
    <w:qFormat/>
    <w:rsid w:val="001E00AD"/>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1E00AD"/>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1E00AD"/>
    <w:pPr>
      <w:keepNext/>
      <w:keepLines/>
      <w:tabs>
        <w:tab w:val="right" w:pos="7938"/>
      </w:tabs>
      <w:ind w:firstLine="0"/>
      <w:jc w:val="center"/>
    </w:pPr>
    <w:rPr>
      <w:i/>
    </w:rPr>
  </w:style>
  <w:style w:type="numbering" w:customStyle="1" w:styleId="ECHRA1StyleBulletedSquare">
    <w:name w:val="ECHR_A1_Style_Bulleted_Square"/>
    <w:basedOn w:val="NoList"/>
    <w:rsid w:val="001E00AD"/>
    <w:pPr>
      <w:numPr>
        <w:numId w:val="7"/>
      </w:numPr>
    </w:pPr>
  </w:style>
  <w:style w:type="paragraph" w:customStyle="1" w:styleId="JuHHead">
    <w:name w:val="Ju_H_Head"/>
    <w:aliases w:val="_Head_1"/>
    <w:basedOn w:val="Heading1"/>
    <w:next w:val="JuPara"/>
    <w:uiPriority w:val="17"/>
    <w:qFormat/>
    <w:rsid w:val="001E00AD"/>
    <w:pPr>
      <w:keepNext/>
      <w:keepLines/>
      <w:numPr>
        <w:numId w:val="3"/>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1E00AD"/>
    <w:pPr>
      <w:numPr>
        <w:numId w:val="8"/>
      </w:numPr>
    </w:pPr>
  </w:style>
  <w:style w:type="paragraph" w:customStyle="1" w:styleId="JuSigned">
    <w:name w:val="Ju_Signed"/>
    <w:aliases w:val="_Signature"/>
    <w:basedOn w:val="Normal"/>
    <w:next w:val="JuPara"/>
    <w:uiPriority w:val="31"/>
    <w:qFormat/>
    <w:rsid w:val="001E00AD"/>
    <w:pPr>
      <w:tabs>
        <w:tab w:val="center" w:pos="851"/>
        <w:tab w:val="center" w:pos="6407"/>
      </w:tabs>
      <w:spacing w:before="720"/>
    </w:pPr>
  </w:style>
  <w:style w:type="paragraph" w:styleId="Title">
    <w:name w:val="Title"/>
    <w:basedOn w:val="Normal"/>
    <w:next w:val="Normal"/>
    <w:link w:val="TitleChar"/>
    <w:uiPriority w:val="98"/>
    <w:semiHidden/>
    <w:qFormat/>
    <w:rsid w:val="001E00A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1E00AD"/>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1E00AD"/>
    <w:pPr>
      <w:numPr>
        <w:numId w:val="9"/>
      </w:numPr>
    </w:pPr>
  </w:style>
  <w:style w:type="table" w:customStyle="1" w:styleId="ECHRTable2019">
    <w:name w:val="ECHR_Table_2019"/>
    <w:basedOn w:val="TableNormal"/>
    <w:uiPriority w:val="99"/>
    <w:rsid w:val="001E00A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1E00AD"/>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1E00AD"/>
    <w:pPr>
      <w:tabs>
        <w:tab w:val="center" w:pos="6407"/>
      </w:tabs>
      <w:spacing w:before="720"/>
      <w:jc w:val="right"/>
    </w:pPr>
  </w:style>
  <w:style w:type="paragraph" w:customStyle="1" w:styleId="JuHIRoman">
    <w:name w:val="Ju_H_I_Roman"/>
    <w:aliases w:val="_Head_2"/>
    <w:basedOn w:val="Heading2"/>
    <w:next w:val="JuPara"/>
    <w:uiPriority w:val="17"/>
    <w:qFormat/>
    <w:rsid w:val="001E00AD"/>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1E00AD"/>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1E00AD"/>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1E00AD"/>
    <w:pPr>
      <w:tabs>
        <w:tab w:val="center" w:pos="4536"/>
        <w:tab w:val="right" w:pos="9072"/>
      </w:tabs>
    </w:pPr>
  </w:style>
  <w:style w:type="character" w:customStyle="1" w:styleId="HeaderChar">
    <w:name w:val="Header Char"/>
    <w:basedOn w:val="DefaultParagraphFont"/>
    <w:link w:val="Header"/>
    <w:uiPriority w:val="98"/>
    <w:semiHidden/>
    <w:rsid w:val="001E00AD"/>
    <w:rPr>
      <w:sz w:val="24"/>
      <w:szCs w:val="24"/>
      <w:lang w:val="fr-FR"/>
    </w:rPr>
  </w:style>
  <w:style w:type="character" w:customStyle="1" w:styleId="Heading1Char">
    <w:name w:val="Heading 1 Char"/>
    <w:basedOn w:val="DefaultParagraphFont"/>
    <w:link w:val="Heading1"/>
    <w:uiPriority w:val="98"/>
    <w:semiHidden/>
    <w:rsid w:val="001E00AD"/>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1E00AD"/>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1E00AD"/>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1E00AD"/>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1E00AD"/>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1E00AD"/>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1E00AD"/>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1E00AD"/>
    <w:pPr>
      <w:keepNext/>
      <w:keepLines/>
      <w:spacing w:before="240" w:after="240"/>
      <w:ind w:firstLine="284"/>
    </w:pPr>
  </w:style>
  <w:style w:type="paragraph" w:customStyle="1" w:styleId="JuJudges">
    <w:name w:val="Ju_Judges"/>
    <w:aliases w:val="_Judges"/>
    <w:basedOn w:val="Normal"/>
    <w:uiPriority w:val="32"/>
    <w:qFormat/>
    <w:rsid w:val="001E00AD"/>
    <w:pPr>
      <w:tabs>
        <w:tab w:val="left" w:pos="567"/>
        <w:tab w:val="left" w:pos="1134"/>
      </w:tabs>
    </w:pPr>
  </w:style>
  <w:style w:type="character" w:customStyle="1" w:styleId="Heading4Char">
    <w:name w:val="Heading 4 Char"/>
    <w:basedOn w:val="DefaultParagraphFont"/>
    <w:link w:val="Heading4"/>
    <w:uiPriority w:val="98"/>
    <w:semiHidden/>
    <w:rsid w:val="001E00AD"/>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semiHidden/>
    <w:qFormat/>
    <w:rsid w:val="001E00AD"/>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1E00AD"/>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1E00AD"/>
    <w:rPr>
      <w:caps w:val="0"/>
      <w:smallCaps/>
    </w:rPr>
  </w:style>
  <w:style w:type="paragraph" w:customStyle="1" w:styleId="NormalJustified">
    <w:name w:val="Normal_Justified"/>
    <w:basedOn w:val="Normal"/>
    <w:semiHidden/>
    <w:rsid w:val="001E00AD"/>
    <w:pPr>
      <w:jc w:val="both"/>
    </w:pPr>
  </w:style>
  <w:style w:type="character" w:styleId="SubtleEmphasis">
    <w:name w:val="Subtle Emphasis"/>
    <w:uiPriority w:val="98"/>
    <w:semiHidden/>
    <w:qFormat/>
    <w:rsid w:val="001E00AD"/>
    <w:rPr>
      <w:i/>
      <w:iCs/>
    </w:rPr>
  </w:style>
  <w:style w:type="table" w:customStyle="1" w:styleId="ECHRTable">
    <w:name w:val="ECHR_Table"/>
    <w:basedOn w:val="TableNormal"/>
    <w:rsid w:val="001E00A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1E00A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1E00AD"/>
    <w:rPr>
      <w:b/>
      <w:bCs/>
      <w:i/>
      <w:iCs/>
      <w:spacing w:val="10"/>
      <w:bdr w:val="none" w:sz="0" w:space="0" w:color="auto"/>
      <w:shd w:val="clear" w:color="auto" w:fill="auto"/>
    </w:rPr>
  </w:style>
  <w:style w:type="paragraph" w:styleId="Footer0">
    <w:name w:val="footer"/>
    <w:basedOn w:val="Normal"/>
    <w:link w:val="FooterChar"/>
    <w:uiPriority w:val="98"/>
    <w:semiHidden/>
    <w:rsid w:val="001E00AD"/>
    <w:pPr>
      <w:tabs>
        <w:tab w:val="center" w:pos="3686"/>
        <w:tab w:val="right" w:pos="7371"/>
      </w:tabs>
    </w:pPr>
  </w:style>
  <w:style w:type="character" w:customStyle="1" w:styleId="FooterChar">
    <w:name w:val="Footer Char"/>
    <w:basedOn w:val="DefaultParagraphFont"/>
    <w:link w:val="Footer0"/>
    <w:uiPriority w:val="98"/>
    <w:semiHidden/>
    <w:rsid w:val="001E00AD"/>
    <w:rPr>
      <w:sz w:val="24"/>
      <w:szCs w:val="24"/>
      <w:lang w:val="fr-FR"/>
    </w:rPr>
  </w:style>
  <w:style w:type="character" w:styleId="FootnoteReference">
    <w:name w:val="footnote reference"/>
    <w:basedOn w:val="DefaultParagraphFont"/>
    <w:uiPriority w:val="98"/>
    <w:semiHidden/>
    <w:rsid w:val="001E00AD"/>
    <w:rPr>
      <w:vertAlign w:val="superscript"/>
    </w:rPr>
  </w:style>
  <w:style w:type="paragraph" w:styleId="FootnoteText">
    <w:name w:val="footnote text"/>
    <w:basedOn w:val="Normal"/>
    <w:link w:val="FootnoteTextChar"/>
    <w:uiPriority w:val="98"/>
    <w:semiHidden/>
    <w:rsid w:val="001E00AD"/>
    <w:rPr>
      <w:sz w:val="20"/>
      <w:szCs w:val="20"/>
    </w:rPr>
  </w:style>
  <w:style w:type="character" w:customStyle="1" w:styleId="FootnoteTextChar">
    <w:name w:val="Footnote Text Char"/>
    <w:basedOn w:val="DefaultParagraphFont"/>
    <w:link w:val="FootnoteText"/>
    <w:uiPriority w:val="98"/>
    <w:semiHidden/>
    <w:rsid w:val="001E00AD"/>
    <w:rPr>
      <w:sz w:val="20"/>
      <w:szCs w:val="20"/>
      <w:lang w:val="fr-FR"/>
    </w:rPr>
  </w:style>
  <w:style w:type="character" w:customStyle="1" w:styleId="Heading6Char">
    <w:name w:val="Heading 6 Char"/>
    <w:basedOn w:val="DefaultParagraphFont"/>
    <w:link w:val="Heading6"/>
    <w:uiPriority w:val="98"/>
    <w:semiHidden/>
    <w:rsid w:val="001E00AD"/>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1E00AD"/>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1E00AD"/>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1E00AD"/>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1E00AD"/>
    <w:rPr>
      <w:color w:val="0072BC" w:themeColor="hyperlink"/>
      <w:u w:val="single"/>
    </w:rPr>
  </w:style>
  <w:style w:type="character" w:styleId="IntenseEmphasis">
    <w:name w:val="Intense Emphasis"/>
    <w:uiPriority w:val="98"/>
    <w:semiHidden/>
    <w:qFormat/>
    <w:rsid w:val="001E00AD"/>
    <w:rPr>
      <w:b/>
      <w:bCs/>
    </w:rPr>
  </w:style>
  <w:style w:type="paragraph" w:styleId="IntenseQuote">
    <w:name w:val="Intense Quote"/>
    <w:basedOn w:val="Normal"/>
    <w:next w:val="Normal"/>
    <w:link w:val="IntenseQuoteChar"/>
    <w:uiPriority w:val="98"/>
    <w:semiHidden/>
    <w:qFormat/>
    <w:rsid w:val="001E00A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1E00AD"/>
    <w:rPr>
      <w:b/>
      <w:bCs/>
      <w:i/>
      <w:iCs/>
      <w:sz w:val="24"/>
      <w:szCs w:val="24"/>
      <w:lang w:val="fr-FR" w:bidi="en-US"/>
    </w:rPr>
  </w:style>
  <w:style w:type="character" w:styleId="IntenseReference">
    <w:name w:val="Intense Reference"/>
    <w:uiPriority w:val="98"/>
    <w:semiHidden/>
    <w:qFormat/>
    <w:rsid w:val="001E00AD"/>
    <w:rPr>
      <w:smallCaps/>
      <w:spacing w:val="5"/>
      <w:u w:val="single"/>
    </w:rPr>
  </w:style>
  <w:style w:type="paragraph" w:styleId="ListParagraph">
    <w:name w:val="List Paragraph"/>
    <w:basedOn w:val="Normal"/>
    <w:uiPriority w:val="98"/>
    <w:semiHidden/>
    <w:qFormat/>
    <w:rsid w:val="001E00AD"/>
    <w:pPr>
      <w:ind w:left="720"/>
      <w:contextualSpacing/>
    </w:pPr>
  </w:style>
  <w:style w:type="table" w:customStyle="1" w:styleId="LtrTableAddress">
    <w:name w:val="Ltr_Table_Address"/>
    <w:aliases w:val="ECHR_Ltr_Table_Address"/>
    <w:basedOn w:val="TableNormal"/>
    <w:uiPriority w:val="99"/>
    <w:rsid w:val="001E00AD"/>
    <w:rPr>
      <w:sz w:val="24"/>
      <w:szCs w:val="24"/>
    </w:rPr>
    <w:tblPr>
      <w:tblInd w:w="5103" w:type="dxa"/>
    </w:tblPr>
  </w:style>
  <w:style w:type="paragraph" w:styleId="Quote">
    <w:name w:val="Quote"/>
    <w:basedOn w:val="Normal"/>
    <w:next w:val="Normal"/>
    <w:link w:val="QuoteChar"/>
    <w:uiPriority w:val="98"/>
    <w:semiHidden/>
    <w:qFormat/>
    <w:rsid w:val="001E00AD"/>
    <w:pPr>
      <w:spacing w:before="200"/>
      <w:ind w:left="360" w:right="360"/>
    </w:pPr>
    <w:rPr>
      <w:i/>
      <w:iCs/>
      <w:lang w:bidi="en-US"/>
    </w:rPr>
  </w:style>
  <w:style w:type="character" w:customStyle="1" w:styleId="QuoteChar">
    <w:name w:val="Quote Char"/>
    <w:basedOn w:val="DefaultParagraphFont"/>
    <w:link w:val="Quote"/>
    <w:uiPriority w:val="98"/>
    <w:semiHidden/>
    <w:rsid w:val="001E00AD"/>
    <w:rPr>
      <w:i/>
      <w:iCs/>
      <w:sz w:val="24"/>
      <w:szCs w:val="24"/>
      <w:lang w:val="fr-FR" w:bidi="en-US"/>
    </w:rPr>
  </w:style>
  <w:style w:type="character" w:styleId="SubtleReference">
    <w:name w:val="Subtle Reference"/>
    <w:uiPriority w:val="98"/>
    <w:semiHidden/>
    <w:qFormat/>
    <w:rsid w:val="001E00AD"/>
    <w:rPr>
      <w:smallCaps/>
    </w:rPr>
  </w:style>
  <w:style w:type="table" w:styleId="TableGrid">
    <w:name w:val="Table Grid"/>
    <w:basedOn w:val="TableNormal"/>
    <w:uiPriority w:val="59"/>
    <w:semiHidden/>
    <w:rsid w:val="001E00A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1E00A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1E00A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1E00A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1E00AD"/>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1E00A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1E00A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1E00A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1E00A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1E00A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1E00A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1E00A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1E00A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1E00A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1E00AD"/>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1E00AD"/>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1E00AD"/>
    <w:pPr>
      <w:numPr>
        <w:numId w:val="4"/>
      </w:numPr>
    </w:pPr>
  </w:style>
  <w:style w:type="paragraph" w:customStyle="1" w:styleId="JuPara">
    <w:name w:val="Ju_Para"/>
    <w:aliases w:val="_Para"/>
    <w:basedOn w:val="NormalJustified"/>
    <w:link w:val="JuParaChar"/>
    <w:uiPriority w:val="4"/>
    <w:qFormat/>
    <w:rsid w:val="001E00AD"/>
    <w:pPr>
      <w:ind w:firstLine="284"/>
    </w:pPr>
  </w:style>
  <w:style w:type="numbering" w:styleId="1ai">
    <w:name w:val="Outline List 1"/>
    <w:basedOn w:val="NoList"/>
    <w:uiPriority w:val="99"/>
    <w:semiHidden/>
    <w:unhideWhenUsed/>
    <w:rsid w:val="001E00AD"/>
    <w:pPr>
      <w:numPr>
        <w:numId w:val="5"/>
      </w:numPr>
    </w:pPr>
  </w:style>
  <w:style w:type="table" w:customStyle="1" w:styleId="ECHRTableSimpleBox">
    <w:name w:val="ECHR_Table_Simple_Box"/>
    <w:basedOn w:val="TableNormal"/>
    <w:uiPriority w:val="99"/>
    <w:rsid w:val="001E00A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1E00A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1E00AD"/>
    <w:pPr>
      <w:numPr>
        <w:numId w:val="6"/>
      </w:numPr>
    </w:pPr>
  </w:style>
  <w:style w:type="table" w:customStyle="1" w:styleId="ECHRTableForInternalUse">
    <w:name w:val="ECHR_Table_For_Internal_Use"/>
    <w:basedOn w:val="TableNormal"/>
    <w:uiPriority w:val="99"/>
    <w:rsid w:val="001E00A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E00A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1E00AD"/>
  </w:style>
  <w:style w:type="paragraph" w:styleId="BlockText">
    <w:name w:val="Block Text"/>
    <w:basedOn w:val="Normal"/>
    <w:uiPriority w:val="98"/>
    <w:semiHidden/>
    <w:rsid w:val="001E00A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1E00A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1E00AD"/>
    <w:pPr>
      <w:spacing w:after="120"/>
    </w:pPr>
  </w:style>
  <w:style w:type="character" w:customStyle="1" w:styleId="BodyTextChar">
    <w:name w:val="Body Text Char"/>
    <w:basedOn w:val="DefaultParagraphFont"/>
    <w:link w:val="BodyText"/>
    <w:uiPriority w:val="98"/>
    <w:semiHidden/>
    <w:rsid w:val="001E00AD"/>
    <w:rPr>
      <w:sz w:val="24"/>
      <w:szCs w:val="24"/>
      <w:lang w:val="fr-FR"/>
    </w:rPr>
  </w:style>
  <w:style w:type="table" w:customStyle="1" w:styleId="ECHRTableOddBanded">
    <w:name w:val="ECHR_Table_Odd_Banded"/>
    <w:basedOn w:val="TableNormal"/>
    <w:uiPriority w:val="99"/>
    <w:rsid w:val="001E00A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1E00AD"/>
    <w:pPr>
      <w:spacing w:after="120" w:line="480" w:lineRule="auto"/>
    </w:pPr>
  </w:style>
  <w:style w:type="table" w:customStyle="1" w:styleId="ECHRHeaderTableReduced">
    <w:name w:val="ECHR_Header_Table_Reduced"/>
    <w:basedOn w:val="TableNormal"/>
    <w:uiPriority w:val="99"/>
    <w:rsid w:val="001E00A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1E00AD"/>
    <w:pPr>
      <w:ind w:firstLine="284"/>
      <w:jc w:val="both"/>
    </w:pPr>
    <w:rPr>
      <w:b/>
    </w:rPr>
  </w:style>
  <w:style w:type="character" w:styleId="PageNumber">
    <w:name w:val="page number"/>
    <w:uiPriority w:val="98"/>
    <w:semiHidden/>
    <w:rsid w:val="001E00AD"/>
    <w:rPr>
      <w:sz w:val="18"/>
    </w:rPr>
  </w:style>
  <w:style w:type="paragraph" w:styleId="ListBullet2">
    <w:name w:val="List Bullet 2"/>
    <w:basedOn w:val="Normal"/>
    <w:uiPriority w:val="98"/>
    <w:semiHidden/>
    <w:rsid w:val="001E00AD"/>
    <w:pPr>
      <w:numPr>
        <w:numId w:val="11"/>
      </w:numPr>
      <w:contextualSpacing/>
    </w:pPr>
  </w:style>
  <w:style w:type="character" w:customStyle="1" w:styleId="BodyText2Char">
    <w:name w:val="Body Text 2 Char"/>
    <w:basedOn w:val="DefaultParagraphFont"/>
    <w:link w:val="BodyText2"/>
    <w:uiPriority w:val="98"/>
    <w:semiHidden/>
    <w:rsid w:val="001E00AD"/>
    <w:rPr>
      <w:sz w:val="24"/>
      <w:szCs w:val="24"/>
      <w:lang w:val="fr-FR"/>
    </w:rPr>
  </w:style>
  <w:style w:type="paragraph" w:styleId="BodyText3">
    <w:name w:val="Body Text 3"/>
    <w:basedOn w:val="Normal"/>
    <w:link w:val="BodyText3Char"/>
    <w:uiPriority w:val="98"/>
    <w:semiHidden/>
    <w:rsid w:val="001E00AD"/>
    <w:pPr>
      <w:spacing w:after="120"/>
    </w:pPr>
    <w:rPr>
      <w:sz w:val="16"/>
      <w:szCs w:val="16"/>
    </w:rPr>
  </w:style>
  <w:style w:type="character" w:customStyle="1" w:styleId="BodyText3Char">
    <w:name w:val="Body Text 3 Char"/>
    <w:basedOn w:val="DefaultParagraphFont"/>
    <w:link w:val="BodyText3"/>
    <w:uiPriority w:val="98"/>
    <w:semiHidden/>
    <w:rsid w:val="001E00AD"/>
    <w:rPr>
      <w:sz w:val="16"/>
      <w:szCs w:val="16"/>
      <w:lang w:val="fr-FR"/>
    </w:rPr>
  </w:style>
  <w:style w:type="paragraph" w:styleId="BodyTextFirstIndent">
    <w:name w:val="Body Text First Indent"/>
    <w:basedOn w:val="BodyText"/>
    <w:link w:val="BodyTextFirstIndentChar"/>
    <w:uiPriority w:val="98"/>
    <w:semiHidden/>
    <w:rsid w:val="001E00AD"/>
    <w:pPr>
      <w:spacing w:after="0"/>
      <w:ind w:firstLine="360"/>
    </w:pPr>
  </w:style>
  <w:style w:type="character" w:customStyle="1" w:styleId="BodyTextFirstIndentChar">
    <w:name w:val="Body Text First Indent Char"/>
    <w:basedOn w:val="BodyTextChar"/>
    <w:link w:val="BodyTextFirstIndent"/>
    <w:uiPriority w:val="98"/>
    <w:semiHidden/>
    <w:rsid w:val="001E00AD"/>
    <w:rPr>
      <w:sz w:val="24"/>
      <w:szCs w:val="24"/>
      <w:lang w:val="fr-FR"/>
    </w:rPr>
  </w:style>
  <w:style w:type="paragraph" w:styleId="BodyTextIndent">
    <w:name w:val="Body Text Indent"/>
    <w:basedOn w:val="Normal"/>
    <w:link w:val="BodyTextIndentChar"/>
    <w:uiPriority w:val="98"/>
    <w:semiHidden/>
    <w:rsid w:val="001E00AD"/>
    <w:pPr>
      <w:spacing w:after="120"/>
      <w:ind w:left="283"/>
    </w:pPr>
  </w:style>
  <w:style w:type="character" w:customStyle="1" w:styleId="BodyTextIndentChar">
    <w:name w:val="Body Text Indent Char"/>
    <w:basedOn w:val="DefaultParagraphFont"/>
    <w:link w:val="BodyTextIndent"/>
    <w:uiPriority w:val="98"/>
    <w:semiHidden/>
    <w:rsid w:val="001E00AD"/>
    <w:rPr>
      <w:sz w:val="24"/>
      <w:szCs w:val="24"/>
      <w:lang w:val="fr-FR"/>
    </w:rPr>
  </w:style>
  <w:style w:type="paragraph" w:styleId="BodyTextFirstIndent2">
    <w:name w:val="Body Text First Indent 2"/>
    <w:basedOn w:val="BodyTextIndent"/>
    <w:link w:val="BodyTextFirstIndent2Char"/>
    <w:uiPriority w:val="98"/>
    <w:semiHidden/>
    <w:rsid w:val="001E00AD"/>
    <w:pPr>
      <w:spacing w:after="0"/>
      <w:ind w:left="360" w:firstLine="360"/>
    </w:pPr>
  </w:style>
  <w:style w:type="character" w:customStyle="1" w:styleId="BodyTextFirstIndent2Char">
    <w:name w:val="Body Text First Indent 2 Char"/>
    <w:basedOn w:val="BodyTextIndentChar"/>
    <w:link w:val="BodyTextFirstIndent2"/>
    <w:uiPriority w:val="98"/>
    <w:semiHidden/>
    <w:rsid w:val="001E00AD"/>
    <w:rPr>
      <w:sz w:val="24"/>
      <w:szCs w:val="24"/>
      <w:lang w:val="fr-FR"/>
    </w:rPr>
  </w:style>
  <w:style w:type="paragraph" w:styleId="BodyTextIndent2">
    <w:name w:val="Body Text Indent 2"/>
    <w:basedOn w:val="Normal"/>
    <w:link w:val="BodyTextIndent2Char"/>
    <w:uiPriority w:val="98"/>
    <w:semiHidden/>
    <w:rsid w:val="001E00AD"/>
    <w:pPr>
      <w:spacing w:after="120" w:line="480" w:lineRule="auto"/>
      <w:ind w:left="283"/>
    </w:pPr>
  </w:style>
  <w:style w:type="character" w:customStyle="1" w:styleId="BodyTextIndent2Char">
    <w:name w:val="Body Text Indent 2 Char"/>
    <w:basedOn w:val="DefaultParagraphFont"/>
    <w:link w:val="BodyTextIndent2"/>
    <w:uiPriority w:val="98"/>
    <w:semiHidden/>
    <w:rsid w:val="001E00AD"/>
    <w:rPr>
      <w:sz w:val="24"/>
      <w:szCs w:val="24"/>
      <w:lang w:val="fr-FR"/>
    </w:rPr>
  </w:style>
  <w:style w:type="paragraph" w:styleId="BodyTextIndent3">
    <w:name w:val="Body Text Indent 3"/>
    <w:basedOn w:val="Normal"/>
    <w:link w:val="BodyTextIndent3Char"/>
    <w:uiPriority w:val="98"/>
    <w:semiHidden/>
    <w:rsid w:val="001E00AD"/>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1E00AD"/>
    <w:rPr>
      <w:sz w:val="16"/>
      <w:szCs w:val="16"/>
      <w:lang w:val="fr-FR"/>
    </w:rPr>
  </w:style>
  <w:style w:type="paragraph" w:styleId="Caption">
    <w:name w:val="caption"/>
    <w:basedOn w:val="Normal"/>
    <w:next w:val="Normal"/>
    <w:uiPriority w:val="98"/>
    <w:semiHidden/>
    <w:qFormat/>
    <w:rsid w:val="001E00AD"/>
    <w:pPr>
      <w:spacing w:after="200"/>
    </w:pPr>
    <w:rPr>
      <w:b/>
      <w:bCs/>
      <w:color w:val="0072BC" w:themeColor="accent1"/>
      <w:sz w:val="18"/>
      <w:szCs w:val="18"/>
    </w:rPr>
  </w:style>
  <w:style w:type="paragraph" w:styleId="Closing">
    <w:name w:val="Closing"/>
    <w:basedOn w:val="Normal"/>
    <w:link w:val="ClosingChar"/>
    <w:uiPriority w:val="98"/>
    <w:semiHidden/>
    <w:rsid w:val="001E00AD"/>
    <w:pPr>
      <w:ind w:left="4252"/>
    </w:pPr>
  </w:style>
  <w:style w:type="character" w:customStyle="1" w:styleId="ClosingChar">
    <w:name w:val="Closing Char"/>
    <w:basedOn w:val="DefaultParagraphFont"/>
    <w:link w:val="Closing"/>
    <w:uiPriority w:val="98"/>
    <w:semiHidden/>
    <w:rsid w:val="001E00AD"/>
    <w:rPr>
      <w:sz w:val="24"/>
      <w:szCs w:val="24"/>
      <w:lang w:val="fr-FR"/>
    </w:rPr>
  </w:style>
  <w:style w:type="table" w:styleId="ColorfulGrid">
    <w:name w:val="Colorful Grid"/>
    <w:basedOn w:val="TableNormal"/>
    <w:uiPriority w:val="73"/>
    <w:semiHidden/>
    <w:rsid w:val="001E00A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E00A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E00A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E00A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E00A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E00A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E00A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E00A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E00A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E00A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E00A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E00A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E00A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E00A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E00A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E00A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E00A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E00A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E00A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E00A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E00A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1E00AD"/>
    <w:rPr>
      <w:sz w:val="16"/>
      <w:szCs w:val="16"/>
    </w:rPr>
  </w:style>
  <w:style w:type="paragraph" w:styleId="CommentText">
    <w:name w:val="annotation text"/>
    <w:basedOn w:val="Normal"/>
    <w:link w:val="CommentTextChar"/>
    <w:uiPriority w:val="98"/>
    <w:semiHidden/>
    <w:rsid w:val="001E00AD"/>
    <w:rPr>
      <w:sz w:val="20"/>
      <w:szCs w:val="20"/>
    </w:rPr>
  </w:style>
  <w:style w:type="character" w:customStyle="1" w:styleId="CommentTextChar">
    <w:name w:val="Comment Text Char"/>
    <w:basedOn w:val="DefaultParagraphFont"/>
    <w:link w:val="CommentText"/>
    <w:uiPriority w:val="98"/>
    <w:semiHidden/>
    <w:rsid w:val="001E00AD"/>
    <w:rPr>
      <w:sz w:val="20"/>
      <w:szCs w:val="20"/>
      <w:lang w:val="fr-FR"/>
    </w:rPr>
  </w:style>
  <w:style w:type="paragraph" w:styleId="CommentSubject">
    <w:name w:val="annotation subject"/>
    <w:basedOn w:val="CommentText"/>
    <w:next w:val="CommentText"/>
    <w:link w:val="CommentSubjectChar"/>
    <w:uiPriority w:val="98"/>
    <w:semiHidden/>
    <w:rsid w:val="001E00AD"/>
    <w:rPr>
      <w:b/>
      <w:bCs/>
    </w:rPr>
  </w:style>
  <w:style w:type="character" w:customStyle="1" w:styleId="CommentSubjectChar">
    <w:name w:val="Comment Subject Char"/>
    <w:basedOn w:val="CommentTextChar"/>
    <w:link w:val="CommentSubject"/>
    <w:uiPriority w:val="98"/>
    <w:semiHidden/>
    <w:rsid w:val="001E00AD"/>
    <w:rPr>
      <w:b/>
      <w:bCs/>
      <w:sz w:val="20"/>
      <w:szCs w:val="20"/>
      <w:lang w:val="fr-FR"/>
    </w:rPr>
  </w:style>
  <w:style w:type="table" w:styleId="DarkList">
    <w:name w:val="Dark List"/>
    <w:basedOn w:val="TableNormal"/>
    <w:uiPriority w:val="70"/>
    <w:semiHidden/>
    <w:rsid w:val="001E00A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E00A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E00A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E00A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E00A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E00A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E00A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1E00AD"/>
  </w:style>
  <w:style w:type="character" w:customStyle="1" w:styleId="DateChar">
    <w:name w:val="Date Char"/>
    <w:basedOn w:val="DefaultParagraphFont"/>
    <w:link w:val="Date"/>
    <w:uiPriority w:val="98"/>
    <w:semiHidden/>
    <w:rsid w:val="001E00AD"/>
    <w:rPr>
      <w:sz w:val="24"/>
      <w:szCs w:val="24"/>
      <w:lang w:val="fr-FR"/>
    </w:rPr>
  </w:style>
  <w:style w:type="paragraph" w:styleId="DocumentMap">
    <w:name w:val="Document Map"/>
    <w:basedOn w:val="Normal"/>
    <w:link w:val="DocumentMapChar"/>
    <w:uiPriority w:val="98"/>
    <w:semiHidden/>
    <w:rsid w:val="001E00AD"/>
    <w:rPr>
      <w:rFonts w:ascii="Tahoma" w:hAnsi="Tahoma" w:cs="Tahoma"/>
      <w:sz w:val="16"/>
      <w:szCs w:val="16"/>
    </w:rPr>
  </w:style>
  <w:style w:type="character" w:customStyle="1" w:styleId="DocumentMapChar">
    <w:name w:val="Document Map Char"/>
    <w:basedOn w:val="DefaultParagraphFont"/>
    <w:link w:val="DocumentMap"/>
    <w:uiPriority w:val="98"/>
    <w:semiHidden/>
    <w:rsid w:val="001E00AD"/>
    <w:rPr>
      <w:rFonts w:ascii="Tahoma" w:hAnsi="Tahoma" w:cs="Tahoma"/>
      <w:sz w:val="16"/>
      <w:szCs w:val="16"/>
      <w:lang w:val="fr-FR"/>
    </w:rPr>
  </w:style>
  <w:style w:type="paragraph" w:styleId="E-mailSignature">
    <w:name w:val="E-mail Signature"/>
    <w:basedOn w:val="Normal"/>
    <w:link w:val="E-mailSignatureChar"/>
    <w:uiPriority w:val="98"/>
    <w:semiHidden/>
    <w:rsid w:val="001E00AD"/>
  </w:style>
  <w:style w:type="character" w:customStyle="1" w:styleId="E-mailSignatureChar">
    <w:name w:val="E-mail Signature Char"/>
    <w:basedOn w:val="DefaultParagraphFont"/>
    <w:link w:val="E-mailSignature"/>
    <w:uiPriority w:val="98"/>
    <w:semiHidden/>
    <w:rsid w:val="001E00AD"/>
    <w:rPr>
      <w:sz w:val="24"/>
      <w:szCs w:val="24"/>
      <w:lang w:val="fr-FR"/>
    </w:rPr>
  </w:style>
  <w:style w:type="character" w:styleId="EndnoteReference">
    <w:name w:val="endnote reference"/>
    <w:basedOn w:val="DefaultParagraphFont"/>
    <w:uiPriority w:val="98"/>
    <w:semiHidden/>
    <w:rsid w:val="001E00AD"/>
    <w:rPr>
      <w:vertAlign w:val="superscript"/>
    </w:rPr>
  </w:style>
  <w:style w:type="paragraph" w:styleId="EndnoteText">
    <w:name w:val="endnote text"/>
    <w:basedOn w:val="Normal"/>
    <w:link w:val="EndnoteTextChar"/>
    <w:uiPriority w:val="98"/>
    <w:semiHidden/>
    <w:rsid w:val="001E00AD"/>
    <w:rPr>
      <w:sz w:val="20"/>
      <w:szCs w:val="20"/>
    </w:rPr>
  </w:style>
  <w:style w:type="character" w:customStyle="1" w:styleId="EndnoteTextChar">
    <w:name w:val="Endnote Text Char"/>
    <w:basedOn w:val="DefaultParagraphFont"/>
    <w:link w:val="EndnoteText"/>
    <w:uiPriority w:val="98"/>
    <w:semiHidden/>
    <w:rsid w:val="001E00AD"/>
    <w:rPr>
      <w:sz w:val="20"/>
      <w:szCs w:val="20"/>
      <w:lang w:val="fr-FR"/>
    </w:rPr>
  </w:style>
  <w:style w:type="paragraph" w:styleId="EnvelopeAddress">
    <w:name w:val="envelope address"/>
    <w:basedOn w:val="Normal"/>
    <w:uiPriority w:val="98"/>
    <w:semiHidden/>
    <w:rsid w:val="001E00AD"/>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1E00AD"/>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1E00AD"/>
    <w:rPr>
      <w:color w:val="7030A0" w:themeColor="followedHyperlink"/>
      <w:u w:val="single"/>
    </w:rPr>
  </w:style>
  <w:style w:type="character" w:styleId="HTMLAcronym">
    <w:name w:val="HTML Acronym"/>
    <w:basedOn w:val="DefaultParagraphFont"/>
    <w:uiPriority w:val="98"/>
    <w:semiHidden/>
    <w:rsid w:val="001E00AD"/>
  </w:style>
  <w:style w:type="paragraph" w:styleId="HTMLAddress">
    <w:name w:val="HTML Address"/>
    <w:basedOn w:val="Normal"/>
    <w:link w:val="HTMLAddressChar"/>
    <w:uiPriority w:val="98"/>
    <w:semiHidden/>
    <w:rsid w:val="001E00AD"/>
    <w:rPr>
      <w:i/>
      <w:iCs/>
    </w:rPr>
  </w:style>
  <w:style w:type="character" w:customStyle="1" w:styleId="HTMLAddressChar">
    <w:name w:val="HTML Address Char"/>
    <w:basedOn w:val="DefaultParagraphFont"/>
    <w:link w:val="HTMLAddress"/>
    <w:uiPriority w:val="98"/>
    <w:semiHidden/>
    <w:rsid w:val="001E00AD"/>
    <w:rPr>
      <w:i/>
      <w:iCs/>
      <w:sz w:val="24"/>
      <w:szCs w:val="24"/>
      <w:lang w:val="fr-FR"/>
    </w:rPr>
  </w:style>
  <w:style w:type="character" w:styleId="HTMLCite">
    <w:name w:val="HTML Cite"/>
    <w:basedOn w:val="DefaultParagraphFont"/>
    <w:uiPriority w:val="98"/>
    <w:semiHidden/>
    <w:rsid w:val="001E00AD"/>
    <w:rPr>
      <w:i/>
      <w:iCs/>
    </w:rPr>
  </w:style>
  <w:style w:type="character" w:styleId="HTMLCode">
    <w:name w:val="HTML Code"/>
    <w:basedOn w:val="DefaultParagraphFont"/>
    <w:uiPriority w:val="98"/>
    <w:semiHidden/>
    <w:rsid w:val="001E00AD"/>
    <w:rPr>
      <w:rFonts w:ascii="Consolas" w:hAnsi="Consolas" w:cs="Consolas"/>
      <w:sz w:val="20"/>
      <w:szCs w:val="20"/>
    </w:rPr>
  </w:style>
  <w:style w:type="character" w:styleId="HTMLDefinition">
    <w:name w:val="HTML Definition"/>
    <w:basedOn w:val="DefaultParagraphFont"/>
    <w:uiPriority w:val="98"/>
    <w:semiHidden/>
    <w:rsid w:val="001E00AD"/>
    <w:rPr>
      <w:i/>
      <w:iCs/>
    </w:rPr>
  </w:style>
  <w:style w:type="character" w:styleId="HTMLKeyboard">
    <w:name w:val="HTML Keyboard"/>
    <w:basedOn w:val="DefaultParagraphFont"/>
    <w:uiPriority w:val="98"/>
    <w:semiHidden/>
    <w:rsid w:val="001E00AD"/>
    <w:rPr>
      <w:rFonts w:ascii="Consolas" w:hAnsi="Consolas" w:cs="Consolas"/>
      <w:sz w:val="20"/>
      <w:szCs w:val="20"/>
    </w:rPr>
  </w:style>
  <w:style w:type="paragraph" w:styleId="HTMLPreformatted">
    <w:name w:val="HTML Preformatted"/>
    <w:basedOn w:val="Normal"/>
    <w:link w:val="HTMLPreformattedChar"/>
    <w:uiPriority w:val="98"/>
    <w:semiHidden/>
    <w:rsid w:val="001E00AD"/>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1E00AD"/>
    <w:rPr>
      <w:rFonts w:ascii="Consolas" w:hAnsi="Consolas" w:cs="Consolas"/>
      <w:sz w:val="20"/>
      <w:szCs w:val="20"/>
      <w:lang w:val="fr-FR"/>
    </w:rPr>
  </w:style>
  <w:style w:type="character" w:styleId="HTMLSample">
    <w:name w:val="HTML Sample"/>
    <w:basedOn w:val="DefaultParagraphFont"/>
    <w:uiPriority w:val="98"/>
    <w:semiHidden/>
    <w:rsid w:val="001E00AD"/>
    <w:rPr>
      <w:rFonts w:ascii="Consolas" w:hAnsi="Consolas" w:cs="Consolas"/>
      <w:sz w:val="24"/>
      <w:szCs w:val="24"/>
    </w:rPr>
  </w:style>
  <w:style w:type="character" w:styleId="HTMLTypewriter">
    <w:name w:val="HTML Typewriter"/>
    <w:basedOn w:val="DefaultParagraphFont"/>
    <w:uiPriority w:val="98"/>
    <w:semiHidden/>
    <w:rsid w:val="001E00AD"/>
    <w:rPr>
      <w:rFonts w:ascii="Consolas" w:hAnsi="Consolas" w:cs="Consolas"/>
      <w:sz w:val="20"/>
      <w:szCs w:val="20"/>
    </w:rPr>
  </w:style>
  <w:style w:type="character" w:styleId="HTMLVariable">
    <w:name w:val="HTML Variable"/>
    <w:basedOn w:val="DefaultParagraphFont"/>
    <w:uiPriority w:val="98"/>
    <w:semiHidden/>
    <w:rsid w:val="001E00AD"/>
    <w:rPr>
      <w:i/>
      <w:iCs/>
    </w:rPr>
  </w:style>
  <w:style w:type="paragraph" w:styleId="Index1">
    <w:name w:val="index 1"/>
    <w:basedOn w:val="Normal"/>
    <w:next w:val="Normal"/>
    <w:autoRedefine/>
    <w:uiPriority w:val="98"/>
    <w:semiHidden/>
    <w:rsid w:val="001E00AD"/>
    <w:pPr>
      <w:ind w:left="240" w:hanging="240"/>
    </w:pPr>
  </w:style>
  <w:style w:type="paragraph" w:styleId="Index2">
    <w:name w:val="index 2"/>
    <w:basedOn w:val="Normal"/>
    <w:next w:val="Normal"/>
    <w:autoRedefine/>
    <w:uiPriority w:val="98"/>
    <w:semiHidden/>
    <w:rsid w:val="001E00AD"/>
    <w:pPr>
      <w:ind w:left="480" w:hanging="240"/>
    </w:pPr>
  </w:style>
  <w:style w:type="paragraph" w:styleId="Index3">
    <w:name w:val="index 3"/>
    <w:basedOn w:val="Normal"/>
    <w:next w:val="Normal"/>
    <w:autoRedefine/>
    <w:uiPriority w:val="98"/>
    <w:semiHidden/>
    <w:rsid w:val="001E00AD"/>
    <w:pPr>
      <w:ind w:left="720" w:hanging="240"/>
    </w:pPr>
  </w:style>
  <w:style w:type="paragraph" w:styleId="Index4">
    <w:name w:val="index 4"/>
    <w:basedOn w:val="Normal"/>
    <w:next w:val="Normal"/>
    <w:autoRedefine/>
    <w:uiPriority w:val="98"/>
    <w:semiHidden/>
    <w:rsid w:val="001E00AD"/>
    <w:pPr>
      <w:ind w:left="960" w:hanging="240"/>
    </w:pPr>
  </w:style>
  <w:style w:type="paragraph" w:styleId="Index5">
    <w:name w:val="index 5"/>
    <w:basedOn w:val="Normal"/>
    <w:next w:val="Normal"/>
    <w:autoRedefine/>
    <w:uiPriority w:val="98"/>
    <w:semiHidden/>
    <w:rsid w:val="001E00AD"/>
    <w:pPr>
      <w:ind w:left="1200" w:hanging="240"/>
    </w:pPr>
  </w:style>
  <w:style w:type="paragraph" w:styleId="Index6">
    <w:name w:val="index 6"/>
    <w:basedOn w:val="Normal"/>
    <w:next w:val="Normal"/>
    <w:autoRedefine/>
    <w:uiPriority w:val="98"/>
    <w:semiHidden/>
    <w:rsid w:val="001E00AD"/>
    <w:pPr>
      <w:ind w:left="1440" w:hanging="240"/>
    </w:pPr>
  </w:style>
  <w:style w:type="paragraph" w:styleId="Index7">
    <w:name w:val="index 7"/>
    <w:basedOn w:val="Normal"/>
    <w:next w:val="Normal"/>
    <w:autoRedefine/>
    <w:uiPriority w:val="98"/>
    <w:semiHidden/>
    <w:rsid w:val="001E00AD"/>
    <w:pPr>
      <w:ind w:left="1680" w:hanging="240"/>
    </w:pPr>
  </w:style>
  <w:style w:type="paragraph" w:styleId="Index8">
    <w:name w:val="index 8"/>
    <w:basedOn w:val="Normal"/>
    <w:next w:val="Normal"/>
    <w:autoRedefine/>
    <w:uiPriority w:val="98"/>
    <w:semiHidden/>
    <w:rsid w:val="001E00AD"/>
    <w:pPr>
      <w:ind w:left="1920" w:hanging="240"/>
    </w:pPr>
  </w:style>
  <w:style w:type="paragraph" w:styleId="Index9">
    <w:name w:val="index 9"/>
    <w:basedOn w:val="Normal"/>
    <w:next w:val="Normal"/>
    <w:autoRedefine/>
    <w:uiPriority w:val="98"/>
    <w:semiHidden/>
    <w:rsid w:val="001E00AD"/>
    <w:pPr>
      <w:ind w:left="2160" w:hanging="240"/>
    </w:pPr>
  </w:style>
  <w:style w:type="paragraph" w:styleId="IndexHeading">
    <w:name w:val="index heading"/>
    <w:basedOn w:val="Normal"/>
    <w:next w:val="Index1"/>
    <w:uiPriority w:val="98"/>
    <w:semiHidden/>
    <w:rsid w:val="001E00AD"/>
    <w:rPr>
      <w:rFonts w:asciiTheme="majorHAnsi" w:eastAsiaTheme="majorEastAsia" w:hAnsiTheme="majorHAnsi" w:cstheme="majorBidi"/>
      <w:b/>
      <w:bCs/>
    </w:rPr>
  </w:style>
  <w:style w:type="table" w:styleId="LightGrid">
    <w:name w:val="Light Grid"/>
    <w:basedOn w:val="TableNormal"/>
    <w:uiPriority w:val="62"/>
    <w:semiHidden/>
    <w:rsid w:val="001E00A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E00A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E00A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E00A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E00A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E00A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E00A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E00A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E00A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E00A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E00A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E00A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E00A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E00A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E00A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E00A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E00A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E00A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E00A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E00A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E00A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1E00AD"/>
  </w:style>
  <w:style w:type="paragraph" w:styleId="List">
    <w:name w:val="List"/>
    <w:basedOn w:val="Normal"/>
    <w:uiPriority w:val="98"/>
    <w:semiHidden/>
    <w:rsid w:val="001E00AD"/>
    <w:pPr>
      <w:ind w:left="283" w:hanging="283"/>
      <w:contextualSpacing/>
    </w:pPr>
  </w:style>
  <w:style w:type="paragraph" w:styleId="List2">
    <w:name w:val="List 2"/>
    <w:basedOn w:val="Normal"/>
    <w:uiPriority w:val="98"/>
    <w:semiHidden/>
    <w:rsid w:val="001E00AD"/>
    <w:pPr>
      <w:ind w:left="566" w:hanging="283"/>
      <w:contextualSpacing/>
    </w:pPr>
  </w:style>
  <w:style w:type="paragraph" w:styleId="List3">
    <w:name w:val="List 3"/>
    <w:basedOn w:val="Normal"/>
    <w:uiPriority w:val="98"/>
    <w:semiHidden/>
    <w:rsid w:val="001E00AD"/>
    <w:pPr>
      <w:ind w:left="849" w:hanging="283"/>
      <w:contextualSpacing/>
    </w:pPr>
  </w:style>
  <w:style w:type="paragraph" w:styleId="List4">
    <w:name w:val="List 4"/>
    <w:basedOn w:val="Normal"/>
    <w:uiPriority w:val="98"/>
    <w:semiHidden/>
    <w:rsid w:val="001E00AD"/>
    <w:pPr>
      <w:ind w:left="1132" w:hanging="283"/>
      <w:contextualSpacing/>
    </w:pPr>
  </w:style>
  <w:style w:type="paragraph" w:styleId="List5">
    <w:name w:val="List 5"/>
    <w:basedOn w:val="Normal"/>
    <w:uiPriority w:val="98"/>
    <w:semiHidden/>
    <w:rsid w:val="001E00AD"/>
    <w:pPr>
      <w:ind w:left="1415" w:hanging="283"/>
      <w:contextualSpacing/>
    </w:pPr>
  </w:style>
  <w:style w:type="paragraph" w:styleId="ListBullet">
    <w:name w:val="List Bullet"/>
    <w:basedOn w:val="Normal"/>
    <w:uiPriority w:val="98"/>
    <w:semiHidden/>
    <w:rsid w:val="001E00AD"/>
    <w:pPr>
      <w:numPr>
        <w:numId w:val="10"/>
      </w:numPr>
    </w:pPr>
  </w:style>
  <w:style w:type="paragraph" w:styleId="ListBullet3">
    <w:name w:val="List Bullet 3"/>
    <w:basedOn w:val="Normal"/>
    <w:uiPriority w:val="98"/>
    <w:semiHidden/>
    <w:rsid w:val="001E00AD"/>
    <w:pPr>
      <w:numPr>
        <w:numId w:val="12"/>
      </w:numPr>
      <w:contextualSpacing/>
    </w:pPr>
  </w:style>
  <w:style w:type="paragraph" w:styleId="ListBullet4">
    <w:name w:val="List Bullet 4"/>
    <w:basedOn w:val="Normal"/>
    <w:uiPriority w:val="98"/>
    <w:semiHidden/>
    <w:rsid w:val="001E00AD"/>
    <w:pPr>
      <w:numPr>
        <w:numId w:val="13"/>
      </w:numPr>
      <w:contextualSpacing/>
    </w:pPr>
  </w:style>
  <w:style w:type="paragraph" w:styleId="ListBullet5">
    <w:name w:val="List Bullet 5"/>
    <w:basedOn w:val="Normal"/>
    <w:uiPriority w:val="98"/>
    <w:semiHidden/>
    <w:rsid w:val="001E00AD"/>
    <w:pPr>
      <w:numPr>
        <w:numId w:val="14"/>
      </w:numPr>
      <w:contextualSpacing/>
    </w:pPr>
  </w:style>
  <w:style w:type="paragraph" w:styleId="ListContinue">
    <w:name w:val="List Continue"/>
    <w:basedOn w:val="Normal"/>
    <w:uiPriority w:val="98"/>
    <w:semiHidden/>
    <w:rsid w:val="001E00AD"/>
    <w:pPr>
      <w:spacing w:after="120"/>
      <w:ind w:left="283"/>
      <w:contextualSpacing/>
    </w:pPr>
  </w:style>
  <w:style w:type="paragraph" w:styleId="ListContinue2">
    <w:name w:val="List Continue 2"/>
    <w:basedOn w:val="Normal"/>
    <w:uiPriority w:val="98"/>
    <w:semiHidden/>
    <w:rsid w:val="001E00AD"/>
    <w:pPr>
      <w:spacing w:after="120"/>
      <w:ind w:left="566"/>
      <w:contextualSpacing/>
    </w:pPr>
  </w:style>
  <w:style w:type="paragraph" w:styleId="ListContinue3">
    <w:name w:val="List Continue 3"/>
    <w:basedOn w:val="Normal"/>
    <w:uiPriority w:val="98"/>
    <w:semiHidden/>
    <w:rsid w:val="001E00AD"/>
    <w:pPr>
      <w:spacing w:after="120"/>
      <w:ind w:left="849"/>
      <w:contextualSpacing/>
    </w:pPr>
  </w:style>
  <w:style w:type="paragraph" w:styleId="ListContinue4">
    <w:name w:val="List Continue 4"/>
    <w:basedOn w:val="Normal"/>
    <w:uiPriority w:val="98"/>
    <w:semiHidden/>
    <w:rsid w:val="001E00AD"/>
    <w:pPr>
      <w:spacing w:after="120"/>
      <w:ind w:left="1132"/>
      <w:contextualSpacing/>
    </w:pPr>
  </w:style>
  <w:style w:type="paragraph" w:styleId="ListContinue5">
    <w:name w:val="List Continue 5"/>
    <w:basedOn w:val="Normal"/>
    <w:uiPriority w:val="98"/>
    <w:semiHidden/>
    <w:rsid w:val="001E00AD"/>
    <w:pPr>
      <w:spacing w:after="120"/>
      <w:ind w:left="1415"/>
      <w:contextualSpacing/>
    </w:pPr>
  </w:style>
  <w:style w:type="paragraph" w:styleId="ListNumber">
    <w:name w:val="List Number"/>
    <w:basedOn w:val="Normal"/>
    <w:uiPriority w:val="98"/>
    <w:semiHidden/>
    <w:rsid w:val="001E00AD"/>
    <w:pPr>
      <w:numPr>
        <w:numId w:val="15"/>
      </w:numPr>
      <w:contextualSpacing/>
    </w:pPr>
  </w:style>
  <w:style w:type="paragraph" w:styleId="ListNumber2">
    <w:name w:val="List Number 2"/>
    <w:basedOn w:val="Normal"/>
    <w:uiPriority w:val="98"/>
    <w:semiHidden/>
    <w:rsid w:val="001E00AD"/>
    <w:pPr>
      <w:numPr>
        <w:numId w:val="16"/>
      </w:numPr>
      <w:contextualSpacing/>
    </w:pPr>
  </w:style>
  <w:style w:type="paragraph" w:styleId="ListNumber3">
    <w:name w:val="List Number 3"/>
    <w:basedOn w:val="Normal"/>
    <w:uiPriority w:val="98"/>
    <w:semiHidden/>
    <w:rsid w:val="001E00AD"/>
    <w:pPr>
      <w:numPr>
        <w:numId w:val="17"/>
      </w:numPr>
      <w:contextualSpacing/>
    </w:pPr>
  </w:style>
  <w:style w:type="paragraph" w:styleId="ListNumber4">
    <w:name w:val="List Number 4"/>
    <w:basedOn w:val="Normal"/>
    <w:uiPriority w:val="98"/>
    <w:semiHidden/>
    <w:rsid w:val="001E00AD"/>
    <w:pPr>
      <w:numPr>
        <w:numId w:val="18"/>
      </w:numPr>
      <w:contextualSpacing/>
    </w:pPr>
  </w:style>
  <w:style w:type="paragraph" w:styleId="ListNumber5">
    <w:name w:val="List Number 5"/>
    <w:basedOn w:val="Normal"/>
    <w:uiPriority w:val="98"/>
    <w:semiHidden/>
    <w:rsid w:val="001E00AD"/>
    <w:pPr>
      <w:numPr>
        <w:numId w:val="19"/>
      </w:numPr>
      <w:contextualSpacing/>
    </w:pPr>
  </w:style>
  <w:style w:type="paragraph" w:styleId="MacroText">
    <w:name w:val="macro"/>
    <w:link w:val="MacroTextChar"/>
    <w:uiPriority w:val="98"/>
    <w:semiHidden/>
    <w:rsid w:val="001E00A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1E00AD"/>
    <w:rPr>
      <w:rFonts w:ascii="Consolas" w:eastAsiaTheme="minorEastAsia" w:hAnsi="Consolas" w:cs="Consolas"/>
      <w:sz w:val="20"/>
      <w:szCs w:val="20"/>
    </w:rPr>
  </w:style>
  <w:style w:type="table" w:styleId="MediumGrid1">
    <w:name w:val="Medium Grid 1"/>
    <w:basedOn w:val="TableNormal"/>
    <w:uiPriority w:val="67"/>
    <w:semiHidden/>
    <w:rsid w:val="001E00A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E00A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E00A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E00A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E00A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E00A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E00A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E00A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E00A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E00A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E00A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E00A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E00A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E00A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E00A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E00A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E00A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E00A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E00A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E00A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E00A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E00A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E00A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E00A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E00A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E00A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E00A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E00A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E00A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E00A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E00A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E00A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E00A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E00A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E00A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E00A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E00A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E00A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E00A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E00A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E00A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E00A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E00A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E00A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E00A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E00A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E00A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E00A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E00A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1E00A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1E00AD"/>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1E00AD"/>
    <w:rPr>
      <w:rFonts w:ascii="Times New Roman" w:hAnsi="Times New Roman" w:cs="Times New Roman"/>
    </w:rPr>
  </w:style>
  <w:style w:type="paragraph" w:styleId="NormalIndent">
    <w:name w:val="Normal Indent"/>
    <w:basedOn w:val="Normal"/>
    <w:uiPriority w:val="98"/>
    <w:semiHidden/>
    <w:rsid w:val="001E00AD"/>
    <w:pPr>
      <w:ind w:left="720"/>
    </w:pPr>
  </w:style>
  <w:style w:type="paragraph" w:styleId="NoteHeading">
    <w:name w:val="Note Heading"/>
    <w:basedOn w:val="Normal"/>
    <w:next w:val="Normal"/>
    <w:link w:val="NoteHeadingChar"/>
    <w:uiPriority w:val="98"/>
    <w:semiHidden/>
    <w:rsid w:val="001E00AD"/>
  </w:style>
  <w:style w:type="character" w:customStyle="1" w:styleId="NoteHeadingChar">
    <w:name w:val="Note Heading Char"/>
    <w:basedOn w:val="DefaultParagraphFont"/>
    <w:link w:val="NoteHeading"/>
    <w:uiPriority w:val="98"/>
    <w:semiHidden/>
    <w:rsid w:val="001E00AD"/>
    <w:rPr>
      <w:sz w:val="24"/>
      <w:szCs w:val="24"/>
      <w:lang w:val="fr-FR"/>
    </w:rPr>
  </w:style>
  <w:style w:type="character" w:styleId="PlaceholderText">
    <w:name w:val="Placeholder Text"/>
    <w:basedOn w:val="DefaultParagraphFont"/>
    <w:uiPriority w:val="98"/>
    <w:semiHidden/>
    <w:rsid w:val="001E00AD"/>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1E00AD"/>
    <w:rPr>
      <w:rFonts w:ascii="Consolas" w:hAnsi="Consolas" w:cs="Consolas"/>
      <w:sz w:val="21"/>
      <w:szCs w:val="21"/>
    </w:rPr>
  </w:style>
  <w:style w:type="character" w:customStyle="1" w:styleId="PlainTextChar">
    <w:name w:val="Plain Text Char"/>
    <w:basedOn w:val="DefaultParagraphFont"/>
    <w:link w:val="PlainText"/>
    <w:uiPriority w:val="98"/>
    <w:semiHidden/>
    <w:rsid w:val="001E00AD"/>
    <w:rPr>
      <w:rFonts w:ascii="Consolas" w:hAnsi="Consolas" w:cs="Consolas"/>
      <w:sz w:val="21"/>
      <w:szCs w:val="21"/>
      <w:lang w:val="fr-FR"/>
    </w:rPr>
  </w:style>
  <w:style w:type="paragraph" w:styleId="Salutation">
    <w:name w:val="Salutation"/>
    <w:basedOn w:val="Normal"/>
    <w:next w:val="Normal"/>
    <w:link w:val="SalutationChar"/>
    <w:uiPriority w:val="98"/>
    <w:semiHidden/>
    <w:rsid w:val="001E00AD"/>
  </w:style>
  <w:style w:type="character" w:customStyle="1" w:styleId="SalutationChar">
    <w:name w:val="Salutation Char"/>
    <w:basedOn w:val="DefaultParagraphFont"/>
    <w:link w:val="Salutation"/>
    <w:uiPriority w:val="98"/>
    <w:semiHidden/>
    <w:rsid w:val="001E00AD"/>
    <w:rPr>
      <w:sz w:val="24"/>
      <w:szCs w:val="24"/>
      <w:lang w:val="fr-FR"/>
    </w:rPr>
  </w:style>
  <w:style w:type="paragraph" w:styleId="Signature">
    <w:name w:val="Signature"/>
    <w:basedOn w:val="Normal"/>
    <w:link w:val="SignatureChar"/>
    <w:uiPriority w:val="98"/>
    <w:semiHidden/>
    <w:rsid w:val="001E00AD"/>
    <w:pPr>
      <w:ind w:left="4252"/>
    </w:pPr>
  </w:style>
  <w:style w:type="character" w:customStyle="1" w:styleId="SignatureChar">
    <w:name w:val="Signature Char"/>
    <w:basedOn w:val="DefaultParagraphFont"/>
    <w:link w:val="Signature"/>
    <w:uiPriority w:val="98"/>
    <w:semiHidden/>
    <w:rsid w:val="001E00AD"/>
    <w:rPr>
      <w:sz w:val="24"/>
      <w:szCs w:val="24"/>
      <w:lang w:val="fr-FR"/>
    </w:rPr>
  </w:style>
  <w:style w:type="table" w:styleId="Table3Deffects1">
    <w:name w:val="Table 3D effects 1"/>
    <w:basedOn w:val="TableNormal"/>
    <w:uiPriority w:val="99"/>
    <w:semiHidden/>
    <w:unhideWhenUsed/>
    <w:rsid w:val="001E00A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E00A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E00A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E00A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E00A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E00A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E00A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E00A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E00A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E00A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E00A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E00A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E00A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E00A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E00A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E00A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E00A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E00A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E00A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E00A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E00A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E00A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E00A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E00A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E00A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E00A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E00A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E00A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E00A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E00A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E00A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E00A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E00A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E00AD"/>
    <w:pPr>
      <w:ind w:left="240" w:hanging="240"/>
    </w:pPr>
  </w:style>
  <w:style w:type="paragraph" w:styleId="TableofFigures">
    <w:name w:val="table of figures"/>
    <w:basedOn w:val="Normal"/>
    <w:next w:val="Normal"/>
    <w:uiPriority w:val="98"/>
    <w:semiHidden/>
    <w:rsid w:val="001E00AD"/>
  </w:style>
  <w:style w:type="table" w:styleId="TableProfessional">
    <w:name w:val="Table Professional"/>
    <w:basedOn w:val="TableNormal"/>
    <w:uiPriority w:val="99"/>
    <w:semiHidden/>
    <w:unhideWhenUsed/>
    <w:rsid w:val="001E00A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E00A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E00A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E00A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E00A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E00A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E00A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E00A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E00A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E00A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1E00A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1E00A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1E00AD"/>
    <w:pPr>
      <w:spacing w:after="100"/>
      <w:ind w:left="1680"/>
    </w:pPr>
  </w:style>
  <w:style w:type="paragraph" w:styleId="TOC9">
    <w:name w:val="toc 9"/>
    <w:basedOn w:val="Normal"/>
    <w:next w:val="Normal"/>
    <w:autoRedefine/>
    <w:uiPriority w:val="98"/>
    <w:semiHidden/>
    <w:rsid w:val="001E00AD"/>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1E00AD"/>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1E00AD"/>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1E00AD"/>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1E00AD"/>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E00AD"/>
    <w:pPr>
      <w:numPr>
        <w:numId w:val="7"/>
      </w:numPr>
      <w:spacing w:before="60" w:after="60"/>
    </w:pPr>
  </w:style>
  <w:style w:type="paragraph" w:customStyle="1" w:styleId="ECHRBullet2">
    <w:name w:val="ECHR_Bullet_2"/>
    <w:aliases w:val="_Bul_2"/>
    <w:basedOn w:val="ECHRBullet1"/>
    <w:uiPriority w:val="23"/>
    <w:semiHidden/>
    <w:rsid w:val="001E00AD"/>
    <w:pPr>
      <w:numPr>
        <w:ilvl w:val="1"/>
      </w:numPr>
    </w:pPr>
  </w:style>
  <w:style w:type="paragraph" w:customStyle="1" w:styleId="ECHRBullet3">
    <w:name w:val="ECHR_Bullet_3"/>
    <w:aliases w:val="_Bul_3"/>
    <w:basedOn w:val="ECHRBullet2"/>
    <w:uiPriority w:val="23"/>
    <w:semiHidden/>
    <w:rsid w:val="001E00AD"/>
    <w:pPr>
      <w:numPr>
        <w:ilvl w:val="2"/>
      </w:numPr>
    </w:pPr>
  </w:style>
  <w:style w:type="paragraph" w:customStyle="1" w:styleId="ECHRBullet4">
    <w:name w:val="ECHR_Bullet_4"/>
    <w:aliases w:val="_Bul_4"/>
    <w:basedOn w:val="ECHRBullet3"/>
    <w:uiPriority w:val="23"/>
    <w:semiHidden/>
    <w:rsid w:val="001E00AD"/>
    <w:pPr>
      <w:numPr>
        <w:ilvl w:val="3"/>
      </w:numPr>
    </w:pPr>
  </w:style>
  <w:style w:type="paragraph" w:customStyle="1" w:styleId="ECHRConfidential">
    <w:name w:val="ECHR_Confidential"/>
    <w:aliases w:val="_Confidential"/>
    <w:basedOn w:val="Normal"/>
    <w:next w:val="Normal"/>
    <w:uiPriority w:val="42"/>
    <w:semiHidden/>
    <w:qFormat/>
    <w:rsid w:val="001E00AD"/>
    <w:pPr>
      <w:jc w:val="right"/>
    </w:pPr>
    <w:rPr>
      <w:color w:val="C00000"/>
      <w:sz w:val="20"/>
    </w:rPr>
  </w:style>
  <w:style w:type="paragraph" w:customStyle="1" w:styleId="ECHRDecisionBody">
    <w:name w:val="ECHR_Decision_Body"/>
    <w:aliases w:val="_Decision_Body"/>
    <w:basedOn w:val="NormalJustified"/>
    <w:uiPriority w:val="54"/>
    <w:semiHidden/>
    <w:rsid w:val="001E00AD"/>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1E00AD"/>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1E00AD"/>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1E00A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1E00AD"/>
    <w:pPr>
      <w:jc w:val="right"/>
    </w:pPr>
    <w:rPr>
      <w:sz w:val="20"/>
    </w:rPr>
  </w:style>
  <w:style w:type="paragraph" w:customStyle="1" w:styleId="ECHRHeaderRefIt">
    <w:name w:val="ECHR_Header_Ref_It"/>
    <w:aliases w:val="_Ref_Ital"/>
    <w:basedOn w:val="Normal"/>
    <w:next w:val="ECHRHeaderDate"/>
    <w:uiPriority w:val="43"/>
    <w:semiHidden/>
    <w:qFormat/>
    <w:rsid w:val="001E00AD"/>
    <w:pPr>
      <w:jc w:val="right"/>
    </w:pPr>
    <w:rPr>
      <w:i/>
      <w:sz w:val="20"/>
    </w:rPr>
  </w:style>
  <w:style w:type="paragraph" w:customStyle="1" w:styleId="ECHRHeading9">
    <w:name w:val="ECHR_Heading_9"/>
    <w:aliases w:val="_Head_9"/>
    <w:basedOn w:val="Heading9"/>
    <w:uiPriority w:val="17"/>
    <w:semiHidden/>
    <w:rsid w:val="001E00AD"/>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1E00A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1E00AD"/>
    <w:pPr>
      <w:numPr>
        <w:numId w:val="9"/>
      </w:numPr>
      <w:spacing w:before="60" w:after="60"/>
    </w:pPr>
  </w:style>
  <w:style w:type="paragraph" w:customStyle="1" w:styleId="ECHRNumberedList2">
    <w:name w:val="ECHR_Numbered_List_2"/>
    <w:aliases w:val="_Num_2"/>
    <w:basedOn w:val="ECHRNumberedList1"/>
    <w:uiPriority w:val="23"/>
    <w:semiHidden/>
    <w:rsid w:val="001E00AD"/>
    <w:pPr>
      <w:numPr>
        <w:ilvl w:val="1"/>
      </w:numPr>
    </w:pPr>
  </w:style>
  <w:style w:type="paragraph" w:customStyle="1" w:styleId="ECHRNumberedList3">
    <w:name w:val="ECHR_Numbered_List_3"/>
    <w:aliases w:val="_Num_3"/>
    <w:basedOn w:val="ECHRNumberedList2"/>
    <w:uiPriority w:val="23"/>
    <w:semiHidden/>
    <w:rsid w:val="001E00AD"/>
    <w:pPr>
      <w:numPr>
        <w:ilvl w:val="2"/>
      </w:numPr>
    </w:pPr>
  </w:style>
  <w:style w:type="paragraph" w:customStyle="1" w:styleId="ECHRParaHanging">
    <w:name w:val="ECHR_Para_Hanging"/>
    <w:aliases w:val="_Hanging"/>
    <w:basedOn w:val="Normal"/>
    <w:uiPriority w:val="8"/>
    <w:semiHidden/>
    <w:qFormat/>
    <w:rsid w:val="001E00AD"/>
    <w:pPr>
      <w:ind w:left="567" w:hanging="567"/>
      <w:jc w:val="both"/>
    </w:pPr>
  </w:style>
  <w:style w:type="paragraph" w:customStyle="1" w:styleId="ECHRParaIndent">
    <w:name w:val="ECHR_Para_Indent"/>
    <w:aliases w:val="_Indent"/>
    <w:basedOn w:val="Normal"/>
    <w:uiPriority w:val="7"/>
    <w:semiHidden/>
    <w:qFormat/>
    <w:rsid w:val="001E00AD"/>
    <w:pPr>
      <w:spacing w:before="120" w:after="120"/>
      <w:ind w:left="567"/>
      <w:jc w:val="both"/>
    </w:pPr>
  </w:style>
  <w:style w:type="character" w:customStyle="1" w:styleId="ECHRRed">
    <w:name w:val="ECHR_Red"/>
    <w:aliases w:val="_Red"/>
    <w:basedOn w:val="DefaultParagraphFont"/>
    <w:uiPriority w:val="15"/>
    <w:semiHidden/>
    <w:qFormat/>
    <w:rsid w:val="001E00AD"/>
    <w:rPr>
      <w:color w:val="C00000" w:themeColor="accent2"/>
    </w:rPr>
  </w:style>
  <w:style w:type="paragraph" w:customStyle="1" w:styleId="DecList">
    <w:name w:val="Dec_List"/>
    <w:aliases w:val="_List"/>
    <w:basedOn w:val="JuList"/>
    <w:uiPriority w:val="22"/>
    <w:rsid w:val="001E00AD"/>
    <w:pPr>
      <w:numPr>
        <w:numId w:val="0"/>
      </w:numPr>
      <w:ind w:left="284"/>
    </w:pPr>
  </w:style>
  <w:style w:type="table" w:customStyle="1" w:styleId="ECHRTable2">
    <w:name w:val="ECHR_Table_2"/>
    <w:basedOn w:val="TableNormal"/>
    <w:uiPriority w:val="99"/>
    <w:rsid w:val="001E00A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1E00A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1E00A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1E00A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1E00A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1E00A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1E00A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1E00A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1E00AD"/>
    <w:pPr>
      <w:outlineLvl w:val="0"/>
    </w:pPr>
  </w:style>
  <w:style w:type="paragraph" w:customStyle="1" w:styleId="ECHRTitleTOC1">
    <w:name w:val="ECHR_Title_TOC_1"/>
    <w:aliases w:val="_Title_L_TOC"/>
    <w:basedOn w:val="ECHRTitle1"/>
    <w:next w:val="Normal"/>
    <w:uiPriority w:val="27"/>
    <w:semiHidden/>
    <w:qFormat/>
    <w:rsid w:val="001E00AD"/>
    <w:pPr>
      <w:outlineLvl w:val="0"/>
    </w:pPr>
  </w:style>
  <w:style w:type="paragraph" w:customStyle="1" w:styleId="ECHRPlaceholder">
    <w:name w:val="ECHR_Placeholder"/>
    <w:aliases w:val="_Placeholder"/>
    <w:basedOn w:val="JuSigned"/>
    <w:uiPriority w:val="31"/>
    <w:rsid w:val="001E00AD"/>
    <w:rPr>
      <w:color w:val="FFFFFF"/>
    </w:rPr>
  </w:style>
  <w:style w:type="paragraph" w:customStyle="1" w:styleId="ECHRSpacer">
    <w:name w:val="ECHR_Spacer"/>
    <w:aliases w:val="_Spacer"/>
    <w:basedOn w:val="Normal"/>
    <w:uiPriority w:val="45"/>
    <w:semiHidden/>
    <w:rsid w:val="001E00AD"/>
    <w:rPr>
      <w:sz w:val="4"/>
    </w:rPr>
  </w:style>
  <w:style w:type="table" w:customStyle="1" w:styleId="ECHRTableGrey">
    <w:name w:val="ECHR_Table_Grey"/>
    <w:basedOn w:val="TableNormal"/>
    <w:uiPriority w:val="99"/>
    <w:rsid w:val="001E00A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3C67EE"/>
    <w:rPr>
      <w:sz w:val="24"/>
      <w:szCs w:val="24"/>
      <w:lang w:val="fr-FR"/>
    </w:rPr>
  </w:style>
  <w:style w:type="table" w:styleId="GridTable1Light">
    <w:name w:val="Grid Table 1 Light"/>
    <w:basedOn w:val="TableNormal"/>
    <w:uiPriority w:val="46"/>
    <w:semiHidden/>
    <w:rsid w:val="001E00A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E00A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E00A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E00A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E00A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E00A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E00A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E00A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E00A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1E00A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1E00A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1E00A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1E00A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1E00A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1E00A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E00A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1E00A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1E00A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1E00A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1E00A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1E00A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1E00A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E00A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1E00A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1E00A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1E00A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1E00A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1E00A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1E00A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E00A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1E00A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1E00A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1E00A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1E00A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1E00A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1E00A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E00A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1E00A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1E00A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1E00A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1E00A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1E00A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1E00A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E00A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1E00A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1E00A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1E00A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1E00A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1E00A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1E00AD"/>
    <w:rPr>
      <w:color w:val="2B579A"/>
      <w:shd w:val="clear" w:color="auto" w:fill="E1DFDD"/>
    </w:rPr>
  </w:style>
  <w:style w:type="table" w:styleId="ListTable1Light">
    <w:name w:val="List Table 1 Light"/>
    <w:basedOn w:val="TableNormal"/>
    <w:uiPriority w:val="46"/>
    <w:semiHidden/>
    <w:rsid w:val="001E00A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E00A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1E00A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1E00A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1E00A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1E00A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1E00A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1E00A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E00A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1E00A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1E00A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1E00A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1E00A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1E00A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1E00A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E00A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1E00A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1E00A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1E00A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1E00A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1E00A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1E00A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E00A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1E00A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1E00A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1E00A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1E00A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1E00A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1E00A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E00A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E00A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E00A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E00A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E00A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E00A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E00A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E00A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1E00A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1E00A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1E00A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1E00A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1E00A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1E00A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E00A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E00A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E00A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E00A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E00A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E00A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1E00AD"/>
    <w:rPr>
      <w:color w:val="2B579A"/>
      <w:shd w:val="clear" w:color="auto" w:fill="E1DFDD"/>
    </w:rPr>
  </w:style>
  <w:style w:type="table" w:styleId="PlainTable1">
    <w:name w:val="Plain Table 1"/>
    <w:basedOn w:val="TableNormal"/>
    <w:uiPriority w:val="41"/>
    <w:semiHidden/>
    <w:rsid w:val="001E00A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1E00A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E00A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E00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1E00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1E00AD"/>
    <w:rPr>
      <w:u w:val="dotted"/>
    </w:rPr>
  </w:style>
  <w:style w:type="character" w:customStyle="1" w:styleId="SmartLink">
    <w:name w:val="Smart Link"/>
    <w:basedOn w:val="DefaultParagraphFont"/>
    <w:uiPriority w:val="99"/>
    <w:semiHidden/>
    <w:unhideWhenUsed/>
    <w:rsid w:val="001E00AD"/>
    <w:rPr>
      <w:color w:val="0000FF"/>
      <w:u w:val="single"/>
      <w:shd w:val="clear" w:color="auto" w:fill="F3F2F1"/>
    </w:rPr>
  </w:style>
  <w:style w:type="table" w:styleId="TableGridLight">
    <w:name w:val="Grid Table Light"/>
    <w:basedOn w:val="TableNormal"/>
    <w:uiPriority w:val="40"/>
    <w:semiHidden/>
    <w:rsid w:val="001E00A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1E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B60CD-50DD-4EBC-AAA2-4AADD51A6342}">
  <ds:schemaRefs>
    <ds:schemaRef ds:uri="http://schemas.openxmlformats.org/officeDocument/2006/bibliography"/>
  </ds:schemaRefs>
</ds:datastoreItem>
</file>

<file path=customXml/itemProps2.xml><?xml version="1.0" encoding="utf-8"?>
<ds:datastoreItem xmlns:ds="http://schemas.openxmlformats.org/officeDocument/2006/customXml" ds:itemID="{AB98E44D-8FCB-46E7-8E17-7D8595B0AFA0}"/>
</file>

<file path=customXml/itemProps3.xml><?xml version="1.0" encoding="utf-8"?>
<ds:datastoreItem xmlns:ds="http://schemas.openxmlformats.org/officeDocument/2006/customXml" ds:itemID="{424E061D-0EB7-485C-9220-999CC1CEE0C6}"/>
</file>

<file path=customXml/itemProps4.xml><?xml version="1.0" encoding="utf-8"?>
<ds:datastoreItem xmlns:ds="http://schemas.openxmlformats.org/officeDocument/2006/customXml" ds:itemID="{68001164-6571-4F86-A1C9-A2B841E6EB88}"/>
</file>

<file path=docProps/app.xml><?xml version="1.0" encoding="utf-8"?>
<Properties xmlns="http://schemas.openxmlformats.org/officeDocument/2006/extended-properties" xmlns:vt="http://schemas.openxmlformats.org/officeDocument/2006/docPropsVTypes">
  <Template>Normal.dotm</Template>
  <TotalTime>0</TotalTime>
  <Pages>1</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2021-09-28T07:50:00Z</dcterms:created>
  <dcterms:modified xsi:type="dcterms:W3CDTF">2021-09-28T07:50:00Z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54696/18</vt:lpwstr>
  </property>
  <property fmtid="{D5CDD505-2E9C-101B-9397-08002B2CF9AE}" pid="4" name="CASEID">
    <vt:lpwstr>1412732</vt:lpwstr>
  </property>
  <property fmtid="{D5CDD505-2E9C-101B-9397-08002B2CF9AE}" pid="5" name="ContentTypeId">
    <vt:lpwstr>0x010100558EB02BDB9E204AB350EDD385B68E10</vt:lpwstr>
  </property>
</Properties>
</file>