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9D406A" w:rsidR="00DA3E62" w:rsidP="009D406A" w:rsidRDefault="00DA3E62" w14:paraId="5EE649BD" w14:textId="77777777">
      <w:pPr>
        <w:jc w:val="center"/>
        <w:rPr>
          <w:rFonts w:ascii="Times New Roman" w:hAnsi="Times New Roman" w:cs="Times New Roman"/>
        </w:rPr>
      </w:pPr>
    </w:p>
    <w:p w:rsidR="007A4070" w:rsidP="009D406A" w:rsidRDefault="007A4070" w14:paraId="43A7CCC6" w14:textId="33CD1E17">
      <w:pPr>
        <w:jc w:val="center"/>
      </w:pPr>
    </w:p>
    <w:p w:rsidRPr="009D406A" w:rsidR="009D406A" w:rsidP="009D406A" w:rsidRDefault="009D406A" w14:paraId="5F082AB3" w14:textId="77777777">
      <w:pPr>
        <w:jc w:val="center"/>
      </w:pPr>
    </w:p>
    <w:p w:rsidRPr="009D406A" w:rsidR="007A4070" w:rsidP="009D406A" w:rsidRDefault="00DA3E62" w14:paraId="17679E1A" w14:textId="77777777">
      <w:pPr>
        <w:pStyle w:val="DecHCase"/>
      </w:pPr>
      <w:r w:rsidRPr="009D406A">
        <w:t>TROISIÈME SECTION</w:t>
      </w:r>
    </w:p>
    <w:p w:rsidRPr="009D406A" w:rsidR="007A4070" w:rsidP="009D406A" w:rsidRDefault="007A4070" w14:paraId="7D28FA92" w14:textId="77777777">
      <w:pPr>
        <w:pStyle w:val="JuTitle"/>
      </w:pPr>
      <w:r w:rsidRPr="009D406A">
        <w:t xml:space="preserve">AFFAIRE </w:t>
      </w:r>
      <w:r w:rsidRPr="009D406A" w:rsidR="00DA3E62">
        <w:t>BRUS c. BELGIQUE</w:t>
      </w:r>
    </w:p>
    <w:p w:rsidRPr="009D406A" w:rsidR="007A4070" w:rsidP="009D406A" w:rsidRDefault="007A4070" w14:paraId="2821BCE9" w14:textId="77777777">
      <w:pPr>
        <w:pStyle w:val="ECHRCoverTitle4"/>
      </w:pPr>
      <w:r w:rsidRPr="009D406A">
        <w:t>(</w:t>
      </w:r>
      <w:r w:rsidRPr="009D406A" w:rsidR="00DA3E62">
        <w:t>Requête n</w:t>
      </w:r>
      <w:r w:rsidRPr="009D406A" w:rsidR="00DA3E62">
        <w:rPr>
          <w:vertAlign w:val="superscript"/>
        </w:rPr>
        <w:t>o</w:t>
      </w:r>
      <w:r w:rsidRPr="009D406A">
        <w:t xml:space="preserve"> </w:t>
      </w:r>
      <w:r w:rsidRPr="009D406A" w:rsidR="00DA3E62">
        <w:t>18779/15</w:t>
      </w:r>
      <w:r w:rsidRPr="009D406A">
        <w:t>)</w:t>
      </w:r>
    </w:p>
    <w:p w:rsidRPr="009D406A" w:rsidR="007A4070" w:rsidP="009D406A" w:rsidRDefault="007A4070" w14:paraId="3158F283" w14:textId="77777777">
      <w:pPr>
        <w:pStyle w:val="DecHCase"/>
      </w:pPr>
    </w:p>
    <w:p w:rsidRPr="009D406A" w:rsidR="009D406A" w:rsidP="009D406A" w:rsidRDefault="007A4070" w14:paraId="7AA3469E" w14:textId="77777777">
      <w:pPr>
        <w:pStyle w:val="DecHCase"/>
      </w:pPr>
      <w:r w:rsidRPr="009D406A">
        <w:t>ARRÊT</w:t>
      </w:r>
      <w:r w:rsidRPr="009D406A">
        <w:br/>
      </w:r>
    </w:p>
    <w:p w:rsidR="009D406A" w:rsidP="009D406A" w:rsidRDefault="009D406A" w14:paraId="69A4A3A0" w14:textId="77777777">
      <w:pPr>
        <w:pStyle w:val="JuPara"/>
        <w:pBdr>
          <w:top w:val="single" w:color="auto" w:sz="4" w:space="1"/>
          <w:left w:val="single" w:color="auto" w:sz="4" w:space="4"/>
          <w:bottom w:val="single" w:color="auto" w:sz="4" w:space="1"/>
          <w:right w:val="single" w:color="auto" w:sz="4" w:space="4"/>
        </w:pBdr>
        <w:ind w:firstLine="0"/>
      </w:pPr>
      <w:r>
        <w:t>Art 6 § 1 (pénal) et Art 6 § 3 c) • Procès équitable • Se défendre avec l’assistance d’un défenseur • Procédure pénale, condamnant le requérant à une peine de prison, considérée dans son ensemble, ne remédiant pas aux lacunes procédurales du stade préliminaire • Pas d’analyse des juridictions internes de l’incidence de l’absence d’un avocat lors des interrogatoires et auditions sur les droits de défense • Condamnation justifiée par la suffisance globale des preuves, sans contrôle de l’équité globale de la procédure</w:t>
      </w:r>
    </w:p>
    <w:p w:rsidRPr="009D406A" w:rsidR="009D406A" w:rsidP="009D406A" w:rsidRDefault="009D406A" w14:paraId="64D902A6" w14:textId="6C26238A">
      <w:pPr>
        <w:pStyle w:val="JuPara"/>
        <w:pBdr>
          <w:top w:val="single" w:color="auto" w:sz="4" w:space="1"/>
          <w:left w:val="single" w:color="auto" w:sz="4" w:space="4"/>
          <w:bottom w:val="single" w:color="auto" w:sz="4" w:space="1"/>
          <w:right w:val="single" w:color="auto" w:sz="4" w:space="4"/>
        </w:pBdr>
        <w:ind w:firstLine="0"/>
      </w:pPr>
      <w:r>
        <w:t>Art 6 § 1 (pénal) • Délai raisonnable • Procédure ayant duré presque 13 ans en raison du comportement des autorités nationales lors de l’instruction et du règlement de la procédure</w:t>
      </w:r>
    </w:p>
    <w:p w:rsidRPr="009D406A" w:rsidR="009D406A" w:rsidP="009D406A" w:rsidRDefault="009D406A" w14:paraId="74477FD4" w14:textId="77777777">
      <w:pPr>
        <w:pStyle w:val="DecHCase"/>
      </w:pPr>
    </w:p>
    <w:p w:rsidRPr="009D406A" w:rsidR="007A4070" w:rsidP="009D406A" w:rsidRDefault="007A4070" w14:paraId="6AEA2692" w14:textId="75FFECEF">
      <w:pPr>
        <w:pStyle w:val="DecHCase"/>
      </w:pPr>
    </w:p>
    <w:p w:rsidRPr="009D406A" w:rsidR="007A4070" w:rsidP="009D406A" w:rsidRDefault="007A4070" w14:paraId="33D69A56" w14:textId="77777777">
      <w:pPr>
        <w:pStyle w:val="DecHCase"/>
      </w:pPr>
      <w:r w:rsidRPr="009D406A">
        <w:t>STRASBOURG</w:t>
      </w:r>
    </w:p>
    <w:p w:rsidRPr="009D406A" w:rsidR="007A4070" w:rsidP="009D406A" w:rsidRDefault="00DA3E62" w14:paraId="4AEBB347" w14:textId="77777777">
      <w:pPr>
        <w:pStyle w:val="DecHCase"/>
      </w:pPr>
      <w:r w:rsidRPr="009D406A">
        <w:t>14 septembre 2021</w:t>
      </w:r>
    </w:p>
    <w:p w:rsidRPr="009D406A" w:rsidR="00516B59" w:rsidP="009D406A" w:rsidRDefault="007A4070" w14:paraId="5235AF3D" w14:textId="1B2A4A1A">
      <w:pPr>
        <w:rPr>
          <w:rFonts w:ascii="Times New Roman" w:hAnsi="Times New Roman" w:cs="Times New Roman"/>
          <w:i/>
          <w:sz w:val="22"/>
        </w:rPr>
      </w:pPr>
      <w:r w:rsidRPr="009D406A">
        <w:rPr>
          <w:i/>
          <w:sz w:val="22"/>
        </w:rPr>
        <w:t xml:space="preserve">Cet arrêt </w:t>
      </w:r>
      <w:r w:rsidRPr="009D406A" w:rsidR="00DA3E62">
        <w:rPr>
          <w:i/>
          <w:sz w:val="22"/>
        </w:rPr>
        <w:t>deviendra définitif dans les conditions définies à l</w:t>
      </w:r>
      <w:r w:rsidRPr="009D406A" w:rsidR="009D406A">
        <w:rPr>
          <w:i/>
          <w:sz w:val="22"/>
        </w:rPr>
        <w:t>’</w:t>
      </w:r>
      <w:r w:rsidRPr="009D406A" w:rsidR="00DA3E62">
        <w:rPr>
          <w:i/>
          <w:sz w:val="22"/>
        </w:rPr>
        <w:t>article 44 § 2 de la Convention</w:t>
      </w:r>
      <w:r w:rsidRPr="009D406A">
        <w:rPr>
          <w:i/>
          <w:sz w:val="22"/>
        </w:rPr>
        <w:t>. Il peut subir des retouches de fo</w:t>
      </w:r>
      <w:r w:rsidRPr="009D406A" w:rsidR="00516B59">
        <w:rPr>
          <w:rFonts w:ascii="Times New Roman" w:hAnsi="Times New Roman" w:cs="Times New Roman"/>
          <w:i/>
          <w:sz w:val="22"/>
        </w:rPr>
        <w:t>rme.</w:t>
      </w:r>
    </w:p>
    <w:p w:rsidRPr="009D406A" w:rsidR="00516B59" w:rsidP="009D406A" w:rsidRDefault="00516B59" w14:paraId="70909A5D" w14:textId="77777777">
      <w:pPr>
        <w:ind w:left="720"/>
        <w:rPr>
          <w:rFonts w:ascii="Times New Roman" w:hAnsi="Times New Roman" w:cs="Times New Roman"/>
          <w:sz w:val="22"/>
        </w:rPr>
        <w:sectPr w:rsidRPr="009D406A" w:rsidR="00516B59" w:rsidSect="00902601">
          <w:headerReference w:type="default" r:id="rId8"/>
          <w:footerReference w:type="even" r:id="rId9"/>
          <w:footerReference w:type="default" r:id="rId10"/>
          <w:headerReference w:type="first" r:id="rId11"/>
          <w:footerReference w:type="first" r:id="rId12"/>
          <w:footnotePr>
            <w:numRestart w:val="eachSect"/>
          </w:footnotePr>
          <w:endnotePr>
            <w:numFmt w:val="decimal"/>
          </w:endnotePr>
          <w:pgSz w:w="11906" w:h="16838" w:code="9"/>
          <w:pgMar w:top="2274" w:right="2274" w:bottom="2274" w:left="2274" w:header="1701" w:footer="720" w:gutter="0"/>
          <w:pgNumType w:start="1"/>
          <w:cols w:space="720"/>
          <w:noEndnote/>
          <w:titlePg/>
        </w:sectPr>
      </w:pPr>
    </w:p>
    <w:p w:rsidRPr="009D406A" w:rsidR="004344E6" w:rsidP="009D406A" w:rsidRDefault="004344E6" w14:paraId="767ECE81" w14:textId="2D2F9848">
      <w:pPr>
        <w:pStyle w:val="JuCase"/>
      </w:pPr>
      <w:r w:rsidRPr="009D406A">
        <w:t>En l</w:t>
      </w:r>
      <w:r w:rsidRPr="009D406A" w:rsidR="009D406A">
        <w:t>’</w:t>
      </w:r>
      <w:r w:rsidRPr="009D406A">
        <w:t xml:space="preserve">affaire </w:t>
      </w:r>
      <w:r w:rsidRPr="009D406A" w:rsidR="00DA3E62">
        <w:t>Brus c. Belgique</w:t>
      </w:r>
      <w:r w:rsidRPr="009D406A">
        <w:t>,</w:t>
      </w:r>
    </w:p>
    <w:p w:rsidRPr="009D406A" w:rsidR="004344E6" w:rsidP="009D406A" w:rsidRDefault="004344E6" w14:paraId="79C51A47" w14:textId="7994A2B0">
      <w:pPr>
        <w:pStyle w:val="JuPara"/>
      </w:pPr>
      <w:r w:rsidRPr="009D406A">
        <w:t>La Cour européenne des droits de l</w:t>
      </w:r>
      <w:r w:rsidRPr="009D406A" w:rsidR="009D406A">
        <w:t>’</w:t>
      </w:r>
      <w:r w:rsidRPr="009D406A">
        <w:t>homme (</w:t>
      </w:r>
      <w:r w:rsidRPr="009D406A" w:rsidR="00DA3E62">
        <w:t>troisième section</w:t>
      </w:r>
      <w:r w:rsidRPr="009D406A">
        <w:t xml:space="preserve">), siégeant en </w:t>
      </w:r>
      <w:r w:rsidRPr="009D406A" w:rsidR="00DA3E62">
        <w:rPr>
          <w:color w:val="000000"/>
        </w:rPr>
        <w:t>une</w:t>
      </w:r>
      <w:r w:rsidRPr="009D406A" w:rsidR="00DA3E62">
        <w:t xml:space="preserve"> Chambre composée</w:t>
      </w:r>
      <w:r w:rsidRPr="009D406A">
        <w:t xml:space="preserve"> de :</w:t>
      </w:r>
    </w:p>
    <w:p w:rsidRPr="009D406A" w:rsidR="004344E6" w:rsidP="009D406A" w:rsidRDefault="0017584D" w14:paraId="198E19E5" w14:textId="77777777">
      <w:pPr>
        <w:pStyle w:val="JuJudges"/>
      </w:pPr>
      <w:r w:rsidRPr="009D406A">
        <w:tab/>
        <w:t>Georgios A. Serghides,</w:t>
      </w:r>
      <w:r w:rsidRPr="009D406A">
        <w:rPr>
          <w:i/>
        </w:rPr>
        <w:t xml:space="preserve"> président,</w:t>
      </w:r>
      <w:r w:rsidRPr="009D406A">
        <w:rPr>
          <w:i/>
        </w:rPr>
        <w:br/>
      </w:r>
      <w:r w:rsidRPr="009D406A">
        <w:tab/>
        <w:t>Paul Lemmens,</w:t>
      </w:r>
      <w:r w:rsidRPr="009D406A">
        <w:rPr>
          <w:i/>
        </w:rPr>
        <w:br/>
      </w:r>
      <w:r w:rsidRPr="009D406A">
        <w:tab/>
        <w:t xml:space="preserve">Georges </w:t>
      </w:r>
      <w:proofErr w:type="spellStart"/>
      <w:r w:rsidRPr="009D406A">
        <w:t>Ravarani</w:t>
      </w:r>
      <w:proofErr w:type="spellEnd"/>
      <w:r w:rsidRPr="009D406A">
        <w:t>,</w:t>
      </w:r>
      <w:r w:rsidRPr="009D406A">
        <w:rPr>
          <w:i/>
        </w:rPr>
        <w:br/>
      </w:r>
      <w:r w:rsidRPr="009D406A">
        <w:tab/>
        <w:t xml:space="preserve">María </w:t>
      </w:r>
      <w:proofErr w:type="spellStart"/>
      <w:r w:rsidRPr="009D406A">
        <w:t>Elósegui</w:t>
      </w:r>
      <w:proofErr w:type="spellEnd"/>
      <w:r w:rsidRPr="009D406A">
        <w:t>,</w:t>
      </w:r>
      <w:r w:rsidRPr="009D406A">
        <w:rPr>
          <w:i/>
        </w:rPr>
        <w:br/>
      </w:r>
      <w:r w:rsidRPr="009D406A">
        <w:tab/>
      </w:r>
      <w:proofErr w:type="spellStart"/>
      <w:r w:rsidRPr="009D406A">
        <w:t>Darian</w:t>
      </w:r>
      <w:proofErr w:type="spellEnd"/>
      <w:r w:rsidRPr="009D406A">
        <w:t xml:space="preserve"> </w:t>
      </w:r>
      <w:proofErr w:type="spellStart"/>
      <w:r w:rsidRPr="009D406A">
        <w:t>Pavli</w:t>
      </w:r>
      <w:proofErr w:type="spellEnd"/>
      <w:r w:rsidRPr="009D406A">
        <w:t>,</w:t>
      </w:r>
      <w:r w:rsidRPr="009D406A">
        <w:rPr>
          <w:i/>
        </w:rPr>
        <w:br/>
      </w:r>
      <w:r w:rsidRPr="009D406A">
        <w:tab/>
        <w:t>Peeter Roosma,</w:t>
      </w:r>
      <w:r w:rsidRPr="009D406A">
        <w:rPr>
          <w:i/>
        </w:rPr>
        <w:br/>
      </w:r>
      <w:r w:rsidRPr="009D406A">
        <w:tab/>
        <w:t xml:space="preserve">Andreas </w:t>
      </w:r>
      <w:proofErr w:type="spellStart"/>
      <w:r w:rsidRPr="009D406A">
        <w:t>Zünd</w:t>
      </w:r>
      <w:proofErr w:type="spellEnd"/>
      <w:r w:rsidRPr="009D406A">
        <w:t>,</w:t>
      </w:r>
      <w:r w:rsidRPr="009D406A">
        <w:rPr>
          <w:i/>
        </w:rPr>
        <w:t xml:space="preserve"> juges,</w:t>
      </w:r>
      <w:r w:rsidRPr="009D406A">
        <w:rPr>
          <w:i/>
        </w:rPr>
        <w:br/>
      </w:r>
      <w:r w:rsidRPr="009D406A" w:rsidR="004344E6">
        <w:t xml:space="preserve">et de </w:t>
      </w:r>
      <w:r w:rsidRPr="009D406A" w:rsidR="009009CF">
        <w:t>Olga Chernishova</w:t>
      </w:r>
      <w:r w:rsidRPr="009D406A" w:rsidR="004344E6">
        <w:t xml:space="preserve">, </w:t>
      </w:r>
      <w:r w:rsidRPr="009D406A" w:rsidR="00260C75">
        <w:rPr>
          <w:i/>
        </w:rPr>
        <w:t>greffière</w:t>
      </w:r>
      <w:r w:rsidRPr="009D406A" w:rsidR="009009CF">
        <w:rPr>
          <w:i/>
        </w:rPr>
        <w:t xml:space="preserve"> adjointe</w:t>
      </w:r>
      <w:r w:rsidRPr="009D406A" w:rsidR="00DA3E62">
        <w:rPr>
          <w:iCs/>
        </w:rPr>
        <w:t xml:space="preserve"> </w:t>
      </w:r>
      <w:r w:rsidRPr="009D406A" w:rsidR="00DA3E62">
        <w:rPr>
          <w:i/>
          <w:iCs/>
        </w:rPr>
        <w:t>d</w:t>
      </w:r>
      <w:r w:rsidRPr="009D406A" w:rsidR="00DA3E62">
        <w:rPr>
          <w:i/>
        </w:rPr>
        <w:t>e section</w:t>
      </w:r>
      <w:r w:rsidRPr="009D406A" w:rsidR="004344E6">
        <w:t>,</w:t>
      </w:r>
    </w:p>
    <w:p w:rsidRPr="009D406A" w:rsidR="00DA3E62" w:rsidP="009D406A" w:rsidRDefault="00DA3E62" w14:paraId="7B8422A8" w14:textId="77777777">
      <w:pPr>
        <w:pStyle w:val="JuPara"/>
      </w:pPr>
      <w:r w:rsidRPr="009D406A">
        <w:t>Vu :</w:t>
      </w:r>
    </w:p>
    <w:p w:rsidRPr="009D406A" w:rsidR="00DA3E62" w:rsidP="009D406A" w:rsidRDefault="00DA3E62" w14:paraId="17327747" w14:textId="1D454E35">
      <w:pPr>
        <w:pStyle w:val="JuPara"/>
      </w:pPr>
      <w:proofErr w:type="gramStart"/>
      <w:r w:rsidRPr="009D406A">
        <w:t>la</w:t>
      </w:r>
      <w:proofErr w:type="gramEnd"/>
      <w:r w:rsidRPr="009D406A">
        <w:t xml:space="preserve"> requête (n</w:t>
      </w:r>
      <w:r w:rsidRPr="009D406A">
        <w:rPr>
          <w:vertAlign w:val="superscript"/>
        </w:rPr>
        <w:t>o</w:t>
      </w:r>
      <w:r w:rsidRPr="009D406A">
        <w:t xml:space="preserve"> 18779/15) dirigée contre le Royaume de Belgique et dont un ressortissant néerlandais, M. Karel Brus (« le requérant ») a </w:t>
      </w:r>
      <w:bookmarkStart w:name="_Hlk36124016" w:id="0"/>
      <w:r w:rsidRPr="009D406A">
        <w:t>saisi la Cour en vertu de l</w:t>
      </w:r>
      <w:r w:rsidRPr="009D406A" w:rsidR="009D406A">
        <w:t>’</w:t>
      </w:r>
      <w:r w:rsidRPr="009D406A">
        <w:t>article 34 de la Convention de sauvegarde des droits de l</w:t>
      </w:r>
      <w:r w:rsidRPr="009D406A" w:rsidR="009D406A">
        <w:t>’</w:t>
      </w:r>
      <w:r w:rsidRPr="009D406A">
        <w:t>homme et des libertés fondamentales (« la Convention »)</w:t>
      </w:r>
      <w:bookmarkEnd w:id="0"/>
      <w:r w:rsidRPr="009D406A">
        <w:t xml:space="preserve"> le 14 avril 2015,</w:t>
      </w:r>
    </w:p>
    <w:p w:rsidRPr="009D406A" w:rsidR="00DA3E62" w:rsidP="009D406A" w:rsidRDefault="00DA3E62" w14:paraId="0616962B" w14:textId="77777777">
      <w:pPr>
        <w:pStyle w:val="JuPara"/>
      </w:pPr>
      <w:proofErr w:type="gramStart"/>
      <w:r w:rsidRPr="009D406A">
        <w:t>la</w:t>
      </w:r>
      <w:proofErr w:type="gramEnd"/>
      <w:r w:rsidRPr="009D406A">
        <w:t xml:space="preserve"> décision de porter la requête à la connaissance du gouvernement belge (« le Gouvernement »),</w:t>
      </w:r>
    </w:p>
    <w:p w:rsidRPr="009D406A" w:rsidR="00DA3E62" w:rsidP="009D406A" w:rsidRDefault="00DA3E62" w14:paraId="2B8BAC04" w14:textId="77777777">
      <w:pPr>
        <w:pStyle w:val="JuPara"/>
      </w:pPr>
      <w:proofErr w:type="gramStart"/>
      <w:r w:rsidRPr="009D406A">
        <w:t>les</w:t>
      </w:r>
      <w:proofErr w:type="gramEnd"/>
      <w:r w:rsidRPr="009D406A">
        <w:t xml:space="preserve"> observations des parties,</w:t>
      </w:r>
    </w:p>
    <w:p w:rsidRPr="009D406A" w:rsidR="00DA3E62" w:rsidP="009D406A" w:rsidRDefault="00DA3E62" w14:paraId="2852D85E" w14:textId="77777777">
      <w:pPr>
        <w:pStyle w:val="JuPara"/>
      </w:pPr>
      <w:proofErr w:type="gramStart"/>
      <w:r w:rsidRPr="009D406A">
        <w:t>la</w:t>
      </w:r>
      <w:proofErr w:type="gramEnd"/>
      <w:r w:rsidRPr="009D406A">
        <w:t xml:space="preserve"> décision du gouvernement néerlandais de ne pas intervenir en tant que tierce partie (article 36 § 1 de la Convention),</w:t>
      </w:r>
    </w:p>
    <w:p w:rsidRPr="009D406A" w:rsidR="004344E6" w:rsidP="009D406A" w:rsidRDefault="004344E6" w14:paraId="0D43497F" w14:textId="77777777">
      <w:pPr>
        <w:pStyle w:val="JuPara"/>
      </w:pPr>
      <w:r w:rsidRPr="009D406A">
        <w:t>Après en avoir délibéré en chambre du conseil le</w:t>
      </w:r>
      <w:r w:rsidRPr="009D406A" w:rsidR="00E16C66">
        <w:t xml:space="preserve"> 13 avril </w:t>
      </w:r>
      <w:r w:rsidRPr="009D406A" w:rsidR="00DA37FE">
        <w:t xml:space="preserve">2021 </w:t>
      </w:r>
      <w:r w:rsidRPr="009D406A" w:rsidR="00E16C66">
        <w:t>et le</w:t>
      </w:r>
      <w:r w:rsidRPr="009D406A">
        <w:t xml:space="preserve"> </w:t>
      </w:r>
      <w:r w:rsidRPr="009D406A" w:rsidR="00DA3E62">
        <w:t>6</w:t>
      </w:r>
      <w:r w:rsidRPr="009D406A" w:rsidR="00DA37FE">
        <w:t> </w:t>
      </w:r>
      <w:r w:rsidRPr="009D406A" w:rsidR="00DA3E62">
        <w:t>juillet 2021</w:t>
      </w:r>
      <w:r w:rsidRPr="009D406A">
        <w:t>,</w:t>
      </w:r>
    </w:p>
    <w:p w:rsidRPr="009D406A" w:rsidR="00DA3E62" w:rsidP="009D406A" w:rsidRDefault="004344E6" w14:paraId="69673B37" w14:textId="37FDBEC1">
      <w:pPr>
        <w:pStyle w:val="JuPara"/>
      </w:pPr>
      <w:r w:rsidRPr="009D406A">
        <w:t>Rend l</w:t>
      </w:r>
      <w:r w:rsidRPr="009D406A" w:rsidR="009D406A">
        <w:t>’</w:t>
      </w:r>
      <w:r w:rsidRPr="009D406A">
        <w:t>arrêt que voici</w:t>
      </w:r>
      <w:r w:rsidRPr="009D406A" w:rsidR="00876F03">
        <w:t xml:space="preserve">, </w:t>
      </w:r>
      <w:r w:rsidRPr="009D406A" w:rsidR="004248B5">
        <w:t>adopté à cette dernière date :</w:t>
      </w:r>
    </w:p>
    <w:p w:rsidRPr="009D406A" w:rsidR="00DA3E62" w:rsidP="009D406A" w:rsidRDefault="00DA3E62" w14:paraId="3857A205" w14:textId="77777777">
      <w:pPr>
        <w:pStyle w:val="JuHHead"/>
      </w:pPr>
      <w:r w:rsidRPr="009D406A">
        <w:rPr>
          <w:caps w:val="0"/>
        </w:rPr>
        <w:t>INTRODUCTION</w:t>
      </w:r>
    </w:p>
    <w:p w:rsidRPr="009D406A" w:rsidR="00DA3E62" w:rsidP="009D406A" w:rsidRDefault="00DA3E62" w14:paraId="14EF6905" w14:textId="6CF98F7D">
      <w:pPr>
        <w:pStyle w:val="JuPara"/>
      </w:pPr>
      <w:r w:rsidRPr="009D406A">
        <w:fldChar w:fldCharType="begin"/>
      </w:r>
      <w:r w:rsidRPr="009D406A">
        <w:instrText xml:space="preserve"> SEQ level0 \*arabic </w:instrText>
      </w:r>
      <w:r w:rsidRPr="009D406A">
        <w:fldChar w:fldCharType="separate"/>
      </w:r>
      <w:r w:rsidRPr="009D406A" w:rsidR="009D406A">
        <w:rPr>
          <w:noProof/>
        </w:rPr>
        <w:t>1</w:t>
      </w:r>
      <w:r w:rsidRPr="009D406A">
        <w:fldChar w:fldCharType="end"/>
      </w:r>
      <w:r w:rsidRPr="009D406A">
        <w:t>.  La présente affaire concerne une procédure pénale au terme de laquelle le requérant a été condamné à une peine d</w:t>
      </w:r>
      <w:r w:rsidRPr="009D406A" w:rsidR="009D406A">
        <w:t>’</w:t>
      </w:r>
      <w:r w:rsidRPr="009D406A">
        <w:t>emprisonnement. Est en jeu l</w:t>
      </w:r>
      <w:r w:rsidRPr="009D406A" w:rsidR="009D406A">
        <w:t>’</w:t>
      </w:r>
      <w:r w:rsidRPr="009D406A">
        <w:t>article 6 de la Convention, sous l</w:t>
      </w:r>
      <w:r w:rsidRPr="009D406A" w:rsidR="009D406A">
        <w:t>’</w:t>
      </w:r>
      <w:r w:rsidRPr="009D406A">
        <w:t>angle de l</w:t>
      </w:r>
      <w:r w:rsidRPr="009D406A" w:rsidR="009D406A">
        <w:t>’</w:t>
      </w:r>
      <w:r w:rsidRPr="009D406A">
        <w:t>équité globale de la procédure et du caractère raisonnable de sa durée.</w:t>
      </w:r>
    </w:p>
    <w:p w:rsidRPr="009D406A" w:rsidR="00DA3E62" w:rsidP="009D406A" w:rsidRDefault="00DA3E62" w14:paraId="3F9C9811" w14:textId="77777777">
      <w:pPr>
        <w:pStyle w:val="JuHHead"/>
      </w:pPr>
      <w:bookmarkStart w:name="_Hlk36126677" w:id="1"/>
      <w:r w:rsidRPr="009D406A">
        <w:t>EN FAIT</w:t>
      </w:r>
    </w:p>
    <w:bookmarkEnd w:id="1"/>
    <w:p w:rsidRPr="009D406A" w:rsidR="00DA3E62" w:rsidP="009D406A" w:rsidRDefault="00DA3E62" w14:paraId="7582A74E" w14:textId="547AA377">
      <w:pPr>
        <w:pStyle w:val="JuPara"/>
      </w:pPr>
      <w:r w:rsidRPr="009D406A">
        <w:fldChar w:fldCharType="begin"/>
      </w:r>
      <w:r w:rsidRPr="009D406A">
        <w:instrText xml:space="preserve"> SEQ level0 \*arabic </w:instrText>
      </w:r>
      <w:r w:rsidRPr="009D406A">
        <w:fldChar w:fldCharType="separate"/>
      </w:r>
      <w:r w:rsidRPr="009D406A" w:rsidR="009D406A">
        <w:rPr>
          <w:noProof/>
        </w:rPr>
        <w:t>2</w:t>
      </w:r>
      <w:r w:rsidRPr="009D406A">
        <w:fldChar w:fldCharType="end"/>
      </w:r>
      <w:r w:rsidRPr="009D406A">
        <w:t>.  Le requérant est né en 1949 et réside à Zaventem. Il est représenté par M</w:t>
      </w:r>
      <w:r w:rsidRPr="009D406A">
        <w:rPr>
          <w:vertAlign w:val="superscript"/>
        </w:rPr>
        <w:t>e</w:t>
      </w:r>
      <w:r w:rsidRPr="009D406A">
        <w:t xml:space="preserve"> G. </w:t>
      </w:r>
      <w:proofErr w:type="spellStart"/>
      <w:r w:rsidRPr="009D406A">
        <w:t>Warson</w:t>
      </w:r>
      <w:proofErr w:type="spellEnd"/>
      <w:r w:rsidRPr="009D406A">
        <w:t>, avocat.</w:t>
      </w:r>
    </w:p>
    <w:p w:rsidRPr="009D406A" w:rsidR="00DA3E62" w:rsidP="009D406A" w:rsidRDefault="00DA3E62" w14:paraId="30594117" w14:textId="060D6473">
      <w:pPr>
        <w:pStyle w:val="JuPara"/>
      </w:pPr>
      <w:r w:rsidRPr="009D406A">
        <w:fldChar w:fldCharType="begin"/>
      </w:r>
      <w:r w:rsidRPr="009D406A">
        <w:instrText xml:space="preserve"> SEQ level0 \*arabic </w:instrText>
      </w:r>
      <w:r w:rsidRPr="009D406A">
        <w:fldChar w:fldCharType="separate"/>
      </w:r>
      <w:r w:rsidRPr="009D406A" w:rsidR="009D406A">
        <w:rPr>
          <w:noProof/>
        </w:rPr>
        <w:t>3</w:t>
      </w:r>
      <w:r w:rsidRPr="009D406A">
        <w:fldChar w:fldCharType="end"/>
      </w:r>
      <w:r w:rsidRPr="009D406A">
        <w:t>.  Le Gouvernement a été représenté par son agente M</w:t>
      </w:r>
      <w:r w:rsidRPr="009D406A">
        <w:rPr>
          <w:vertAlign w:val="superscript"/>
        </w:rPr>
        <w:t>me</w:t>
      </w:r>
      <w:r w:rsidRPr="009D406A">
        <w:t> I. </w:t>
      </w:r>
      <w:proofErr w:type="spellStart"/>
      <w:r w:rsidRPr="009D406A">
        <w:t>Niedlispacher</w:t>
      </w:r>
      <w:proofErr w:type="spellEnd"/>
      <w:r w:rsidRPr="009D406A">
        <w:t>, service public fédéral de la Justice.</w:t>
      </w:r>
    </w:p>
    <w:p w:rsidRPr="009D406A" w:rsidR="00DA3E62" w:rsidP="009D406A" w:rsidRDefault="00DA3E62" w14:paraId="6B22DC9B" w14:textId="2780E8F2">
      <w:pPr>
        <w:pStyle w:val="JuPara"/>
      </w:pPr>
      <w:r w:rsidRPr="009D406A">
        <w:fldChar w:fldCharType="begin"/>
      </w:r>
      <w:r w:rsidRPr="009D406A">
        <w:instrText xml:space="preserve"> SEQ level0 \*arabic </w:instrText>
      </w:r>
      <w:r w:rsidRPr="009D406A">
        <w:fldChar w:fldCharType="separate"/>
      </w:r>
      <w:r w:rsidRPr="009D406A" w:rsidR="009D406A">
        <w:rPr>
          <w:noProof/>
        </w:rPr>
        <w:t>4</w:t>
      </w:r>
      <w:r w:rsidRPr="009D406A">
        <w:fldChar w:fldCharType="end"/>
      </w:r>
      <w:r w:rsidRPr="009D406A">
        <w:t>.  Le 11 mai 2001, le parquet de Bruxelles se vit transmettre un rapport établi par l</w:t>
      </w:r>
      <w:r w:rsidRPr="009D406A" w:rsidR="009D406A">
        <w:t>’</w:t>
      </w:r>
      <w:r w:rsidRPr="009D406A">
        <w:t>Office européen de lutte antifraude (« OLAF ») de la Commission européenne qui révélait que le requérant, à l</w:t>
      </w:r>
      <w:r w:rsidRPr="009D406A" w:rsidR="009D406A">
        <w:t>’</w:t>
      </w:r>
      <w:r w:rsidRPr="009D406A">
        <w:t>époque fonctionnaire de la Commission, était impliqué, avec une dizaine d</w:t>
      </w:r>
      <w:r w:rsidRPr="009D406A" w:rsidR="009D406A">
        <w:t>’</w:t>
      </w:r>
      <w:r w:rsidRPr="009D406A">
        <w:t>autres personnes, dans des faits de corruption à propos des conditions d</w:t>
      </w:r>
      <w:r w:rsidRPr="009D406A" w:rsidR="009D406A">
        <w:t>’</w:t>
      </w:r>
      <w:r w:rsidRPr="009D406A">
        <w:t>importation des céréales dans l</w:t>
      </w:r>
      <w:r w:rsidRPr="009D406A" w:rsidR="009D406A">
        <w:t>’</w:t>
      </w:r>
      <w:r w:rsidRPr="009D406A">
        <w:t>Union européenne.</w:t>
      </w:r>
    </w:p>
    <w:p w:rsidRPr="009D406A" w:rsidR="00DA3E62" w:rsidP="009D406A" w:rsidRDefault="00DA3E62" w14:paraId="33760A90" w14:textId="621850BA">
      <w:pPr>
        <w:pStyle w:val="JuPara"/>
      </w:pPr>
      <w:r w:rsidRPr="009D406A">
        <w:fldChar w:fldCharType="begin"/>
      </w:r>
      <w:r w:rsidRPr="009D406A">
        <w:instrText xml:space="preserve"> SEQ level0 \*arabic </w:instrText>
      </w:r>
      <w:r w:rsidRPr="009D406A">
        <w:fldChar w:fldCharType="separate"/>
      </w:r>
      <w:r w:rsidRPr="009D406A" w:rsidR="009D406A">
        <w:rPr>
          <w:noProof/>
        </w:rPr>
        <w:t>5</w:t>
      </w:r>
      <w:r w:rsidRPr="009D406A">
        <w:fldChar w:fldCharType="end"/>
      </w:r>
      <w:r w:rsidRPr="009D406A">
        <w:t>.  Le 30 novembre 2001, l</w:t>
      </w:r>
      <w:r w:rsidRPr="009D406A" w:rsidR="009D406A">
        <w:t>’</w:t>
      </w:r>
      <w:r w:rsidRPr="009D406A">
        <w:t>immunité du requérant fut levée. Le 17 décembre 2001, un juge d</w:t>
      </w:r>
      <w:r w:rsidRPr="009D406A" w:rsidR="009D406A">
        <w:t>’</w:t>
      </w:r>
      <w:r w:rsidRPr="009D406A">
        <w:t>instruction du tribunal de première instance de Bruxelles fut désigné pour instruire l</w:t>
      </w:r>
      <w:r w:rsidRPr="009D406A" w:rsidR="009D406A">
        <w:t>’</w:t>
      </w:r>
      <w:r w:rsidRPr="009D406A">
        <w:t>affaire. Plusieurs devoirs d</w:t>
      </w:r>
      <w:r w:rsidRPr="009D406A" w:rsidR="009D406A">
        <w:t>’</w:t>
      </w:r>
      <w:r w:rsidRPr="009D406A">
        <w:t>enquête furent réalisés entre 2001 et 2006 (écoutes téléphoniques et autres mesures de surveillance, perquisitions, expertises financières et commissions rogatoires) mettant en évidence les liens entre les prévenus et l</w:t>
      </w:r>
      <w:r w:rsidRPr="009D406A" w:rsidR="009D406A">
        <w:t>’</w:t>
      </w:r>
      <w:r w:rsidRPr="009D406A">
        <w:t>existence de filières basées en France et aux Pays-Bas.</w:t>
      </w:r>
    </w:p>
    <w:p w:rsidRPr="009D406A" w:rsidR="00DA3E62" w:rsidP="009D406A" w:rsidRDefault="00DA3E62" w14:paraId="528011A6" w14:textId="3FF16797">
      <w:pPr>
        <w:pStyle w:val="JuPara"/>
      </w:pPr>
      <w:r w:rsidRPr="009D406A">
        <w:fldChar w:fldCharType="begin"/>
      </w:r>
      <w:r w:rsidRPr="009D406A">
        <w:instrText xml:space="preserve"> SEQ level0 \*arabic </w:instrText>
      </w:r>
      <w:r w:rsidRPr="009D406A">
        <w:fldChar w:fldCharType="separate"/>
      </w:r>
      <w:r w:rsidRPr="009D406A" w:rsidR="009D406A">
        <w:rPr>
          <w:noProof/>
        </w:rPr>
        <w:t>6</w:t>
      </w:r>
      <w:r w:rsidRPr="009D406A">
        <w:fldChar w:fldCharType="end"/>
      </w:r>
      <w:r w:rsidRPr="009D406A">
        <w:t>.  Entretemps, le 15 octobre 2003, le requérant fut privé de liberté. Conformément au droit interne à l</w:t>
      </w:r>
      <w:r w:rsidRPr="009D406A" w:rsidR="009D406A">
        <w:t>’</w:t>
      </w:r>
      <w:r w:rsidRPr="009D406A">
        <w:t>époque des faits (paragraphe </w:t>
      </w:r>
      <w:r w:rsidRPr="009D406A">
        <w:fldChar w:fldCharType="begin"/>
      </w:r>
      <w:r w:rsidRPr="009D406A">
        <w:instrText xml:space="preserve"> REF DroitInterneAssistance \h  \* MERGEFORMAT </w:instrText>
      </w:r>
      <w:r w:rsidRPr="009D406A">
        <w:fldChar w:fldCharType="separate"/>
      </w:r>
      <w:r w:rsidRPr="009D406A" w:rsidR="009D406A">
        <w:t>21</w:t>
      </w:r>
      <w:r w:rsidRPr="009D406A">
        <w:fldChar w:fldCharType="end"/>
      </w:r>
      <w:r w:rsidRPr="009D406A">
        <w:t xml:space="preserve"> ci</w:t>
      </w:r>
      <w:r w:rsidRPr="009D406A" w:rsidR="0017584D">
        <w:noBreakHyphen/>
      </w:r>
      <w:r w:rsidRPr="009D406A">
        <w:t>dessous), le requérant ne fut pas assisté de son conseil durant les auditions et interrogatoires qui furent organisés lors de sa détention préventive et durant toute la phase de l</w:t>
      </w:r>
      <w:r w:rsidRPr="009D406A" w:rsidR="009D406A">
        <w:t>’</w:t>
      </w:r>
      <w:r w:rsidRPr="009D406A">
        <w:t>instruction. Le 17 décembre 2003 un interrogatoire récapitulatif eut lieu, à la demande du requérant. Cette audition se déroula en français et sans la présence de son avocat, pourtant prévue par la loi (</w:t>
      </w:r>
      <w:r w:rsidRPr="009D406A">
        <w:rPr>
          <w:i/>
          <w:iCs/>
        </w:rPr>
        <w:t>ibidem</w:t>
      </w:r>
      <w:r w:rsidRPr="009D406A">
        <w:t>). Le lendemain, le requérant fut libéré sous caution. Plus tard, par un arrêt du 14 juillet 2004, la chambre des mises en accusation de la cour d</w:t>
      </w:r>
      <w:r w:rsidRPr="009D406A" w:rsidR="009D406A">
        <w:t>’</w:t>
      </w:r>
      <w:r w:rsidRPr="009D406A">
        <w:t>appel de Bruxelles, devant laquelle le requérant avait évoqué des pressions exercées sur lui par les enquêteurs et demandé l</w:t>
      </w:r>
      <w:r w:rsidRPr="009D406A" w:rsidR="009D406A">
        <w:t>’</w:t>
      </w:r>
      <w:r w:rsidRPr="009D406A">
        <w:t>organisation d</w:t>
      </w:r>
      <w:r w:rsidRPr="009D406A" w:rsidR="009D406A">
        <w:t>’</w:t>
      </w:r>
      <w:r w:rsidRPr="009D406A">
        <w:t>un interrogatoire régulier, annula le procès-verbal d</w:t>
      </w:r>
      <w:r w:rsidRPr="009D406A" w:rsidR="009D406A">
        <w:t>’</w:t>
      </w:r>
      <w:r w:rsidRPr="009D406A">
        <w:t>audition en vertu de l</w:t>
      </w:r>
      <w:r w:rsidRPr="009D406A" w:rsidR="009D406A">
        <w:t>’</w:t>
      </w:r>
      <w:r w:rsidRPr="009D406A">
        <w:t>article 31 de la loi du 15 juin 1935 sur l</w:t>
      </w:r>
      <w:r w:rsidRPr="009D406A" w:rsidR="009D406A">
        <w:t>’</w:t>
      </w:r>
      <w:r w:rsidRPr="009D406A">
        <w:t>emploi des langues en matière judiciaire et ordonna que cet interrogatoire soit réitéré. Aucun nouvel interrogatoire récapitulatif ne fut organisé, le requérant ne se trouvant plus en détention. Le 6 décembre 2006, le requérant fut privé de liberté le temps d</w:t>
      </w:r>
      <w:r w:rsidRPr="009D406A" w:rsidR="009D406A">
        <w:t>’</w:t>
      </w:r>
      <w:r w:rsidRPr="009D406A">
        <w:t>une mesure d</w:t>
      </w:r>
      <w:r w:rsidRPr="009D406A" w:rsidR="009D406A">
        <w:t>’</w:t>
      </w:r>
      <w:r w:rsidRPr="009D406A">
        <w:t>instruction à son domicile à laquelle il s</w:t>
      </w:r>
      <w:r w:rsidRPr="009D406A" w:rsidR="009D406A">
        <w:t>’</w:t>
      </w:r>
      <w:r w:rsidRPr="009D406A">
        <w:t>était opposé.</w:t>
      </w:r>
    </w:p>
    <w:p w:rsidRPr="009D406A" w:rsidR="00DA3E62" w:rsidP="009D406A" w:rsidRDefault="00DA3E62" w14:paraId="1631F742" w14:textId="7D0D192A">
      <w:pPr>
        <w:pStyle w:val="JuPara"/>
      </w:pPr>
      <w:r w:rsidRPr="009D406A">
        <w:fldChar w:fldCharType="begin"/>
      </w:r>
      <w:r w:rsidRPr="009D406A">
        <w:instrText xml:space="preserve"> SEQ level0 \*arabic </w:instrText>
      </w:r>
      <w:r w:rsidRPr="009D406A">
        <w:fldChar w:fldCharType="separate"/>
      </w:r>
      <w:r w:rsidRPr="009D406A" w:rsidR="009D406A">
        <w:rPr>
          <w:noProof/>
        </w:rPr>
        <w:t>7</w:t>
      </w:r>
      <w:r w:rsidRPr="009D406A">
        <w:fldChar w:fldCharType="end"/>
      </w:r>
      <w:r w:rsidRPr="009D406A">
        <w:t>.  En 2007, le requérant tenta à deux reprises, en vain, de récuser le juge d</w:t>
      </w:r>
      <w:r w:rsidRPr="009D406A" w:rsidR="009D406A">
        <w:t>’</w:t>
      </w:r>
      <w:r w:rsidRPr="009D406A">
        <w:t>instruction. Le 23 janvier 2008, le juge d</w:t>
      </w:r>
      <w:r w:rsidRPr="009D406A" w:rsidR="009D406A">
        <w:t>’</w:t>
      </w:r>
      <w:r w:rsidRPr="009D406A">
        <w:t>instruction communiqua le dossier au parquet. Par un arrêt du 31 décembre 2008, la chambre des mises en accusation constata la régularité des techniques particulières de recherche. Le 11 mai 2009, le parquet signa ses réquisitions. La première audience pour le règlement de la procédure, fixée au 4 février 2010, fut reportée en raison de devoirs d</w:t>
      </w:r>
      <w:r w:rsidRPr="009D406A" w:rsidR="009D406A">
        <w:t>’</w:t>
      </w:r>
      <w:r w:rsidRPr="009D406A">
        <w:t>instruction complémentaires demandés notamment par le requérant. La cause fut prise en délibéré à la fin de l</w:t>
      </w:r>
      <w:r w:rsidRPr="009D406A" w:rsidR="009D406A">
        <w:t>’</w:t>
      </w:r>
      <w:r w:rsidRPr="009D406A">
        <w:t>audience du 23 novembre 2010.</w:t>
      </w:r>
    </w:p>
    <w:bookmarkStart w:name="FaitsRèglementProc" w:id="2"/>
    <w:bookmarkStart w:name="FaitsCMA17032011" w:id="3"/>
    <w:p w:rsidRPr="009D406A" w:rsidR="00DA3E62" w:rsidP="009D406A" w:rsidRDefault="00DA3E62" w14:paraId="15E74C50" w14:textId="3C7D1BC3">
      <w:pPr>
        <w:pStyle w:val="JuPara"/>
      </w:pPr>
      <w:r w:rsidRPr="009D406A">
        <w:fldChar w:fldCharType="begin"/>
      </w:r>
      <w:r w:rsidRPr="009D406A">
        <w:instrText xml:space="preserve"> SEQ level0 \*arabic </w:instrText>
      </w:r>
      <w:r w:rsidRPr="009D406A">
        <w:fldChar w:fldCharType="separate"/>
      </w:r>
      <w:r w:rsidRPr="009D406A" w:rsidR="009D406A">
        <w:rPr>
          <w:noProof/>
        </w:rPr>
        <w:t>8</w:t>
      </w:r>
      <w:r w:rsidRPr="009D406A">
        <w:fldChar w:fldCharType="end"/>
      </w:r>
      <w:bookmarkEnd w:id="2"/>
      <w:bookmarkEnd w:id="3"/>
      <w:r w:rsidRPr="009D406A">
        <w:t>.  Par ordonnance de la chambre du conseil du tribunal de première instance de Bruxelles du 11 janvier 2011, le requérant fut renvoyé devant le tribunal correctionnel, principalement pour des faits de violation du secret professionnel et de corruption passive. Cette décision fut confirmée par un arrêt de la chambre des mises en accusation de la cour d</w:t>
      </w:r>
      <w:r w:rsidRPr="009D406A" w:rsidR="009D406A">
        <w:t>’</w:t>
      </w:r>
      <w:r w:rsidRPr="009D406A">
        <w:t>appel de Bruxelles du 17 mars 2011. En réponse à la demande du requérant de déclarer les poursuites irrecevables du fait qu</w:t>
      </w:r>
      <w:r w:rsidRPr="009D406A" w:rsidR="009D406A">
        <w:t>’</w:t>
      </w:r>
      <w:r w:rsidRPr="009D406A">
        <w:t>il n</w:t>
      </w:r>
      <w:r w:rsidRPr="009D406A" w:rsidR="009D406A">
        <w:t>’</w:t>
      </w:r>
      <w:r w:rsidRPr="009D406A">
        <w:t>avait pas été procédé à un autre interrogatoire récapitulatif en présence de son avocat, la chambre des mises en accusation considéra qu</w:t>
      </w:r>
      <w:r w:rsidRPr="009D406A" w:rsidR="009D406A">
        <w:t>’</w:t>
      </w:r>
      <w:r w:rsidRPr="009D406A">
        <w:t>aucune violation des droits de la défense ne pouvait en être déduite dès lors qu</w:t>
      </w:r>
      <w:r w:rsidRPr="009D406A" w:rsidR="009D406A">
        <w:t>’</w:t>
      </w:r>
      <w:r w:rsidRPr="009D406A">
        <w:t>il était loisible à l</w:t>
      </w:r>
      <w:r w:rsidRPr="009D406A" w:rsidR="009D406A">
        <w:t>’</w:t>
      </w:r>
      <w:r w:rsidRPr="009D406A">
        <w:t>intéressé et à son conseil de s</w:t>
      </w:r>
      <w:r w:rsidRPr="009D406A" w:rsidR="009D406A">
        <w:t>’</w:t>
      </w:r>
      <w:r w:rsidRPr="009D406A">
        <w:t>expliquer sur les faits devant la juridiction du fond.</w:t>
      </w:r>
    </w:p>
    <w:bookmarkStart w:name="FaitsCass01062011" w:id="4"/>
    <w:p w:rsidRPr="009D406A" w:rsidR="00DA3E62" w:rsidP="009D406A" w:rsidRDefault="00DA3E62" w14:paraId="6567486A" w14:textId="003EA4A6">
      <w:pPr>
        <w:pStyle w:val="JuPara"/>
      </w:pPr>
      <w:r w:rsidRPr="009D406A">
        <w:fldChar w:fldCharType="begin"/>
      </w:r>
      <w:r w:rsidRPr="009D406A">
        <w:instrText xml:space="preserve"> SEQ level0 \*arabic </w:instrText>
      </w:r>
      <w:r w:rsidRPr="009D406A">
        <w:fldChar w:fldCharType="separate"/>
      </w:r>
      <w:r w:rsidRPr="009D406A" w:rsidR="009D406A">
        <w:rPr>
          <w:noProof/>
        </w:rPr>
        <w:t>9</w:t>
      </w:r>
      <w:r w:rsidRPr="009D406A">
        <w:fldChar w:fldCharType="end"/>
      </w:r>
      <w:bookmarkEnd w:id="4"/>
      <w:r w:rsidRPr="009D406A">
        <w:t xml:space="preserve">.  Le requérant se </w:t>
      </w:r>
      <w:proofErr w:type="spellStart"/>
      <w:r w:rsidRPr="009D406A">
        <w:t>pourvut</w:t>
      </w:r>
      <w:proofErr w:type="spellEnd"/>
      <w:r w:rsidRPr="009D406A">
        <w:t xml:space="preserve"> en cassation contre cet arrêt. Il fit valoir que la chambre des mises en accusation aurait dû déclarer les poursuites irrecevables pour violation de ses droits de la défense dès lors qu</w:t>
      </w:r>
      <w:r w:rsidRPr="009D406A" w:rsidR="009D406A">
        <w:t>’</w:t>
      </w:r>
      <w:r w:rsidRPr="009D406A">
        <w:t>il n</w:t>
      </w:r>
      <w:r w:rsidRPr="009D406A" w:rsidR="009D406A">
        <w:t>’</w:t>
      </w:r>
      <w:r w:rsidRPr="009D406A">
        <w:t>avait pas été procédé à un nouvel interrogatoire récapitulatif, le privant ainsi de toute possibilité d</w:t>
      </w:r>
      <w:r w:rsidRPr="009D406A" w:rsidR="009D406A">
        <w:t>’</w:t>
      </w:r>
      <w:r w:rsidRPr="009D406A">
        <w:t>être entendu par les enquêteurs en présence de son avocat. Par un arrêt du 1</w:t>
      </w:r>
      <w:r w:rsidRPr="009D406A">
        <w:rPr>
          <w:vertAlign w:val="superscript"/>
        </w:rPr>
        <w:t>er</w:t>
      </w:r>
      <w:r w:rsidRPr="009D406A">
        <w:t xml:space="preserve"> juin 2011, la Cour de cassation rejeta le pourvoi. Elle considéra qu</w:t>
      </w:r>
      <w:r w:rsidRPr="009D406A" w:rsidR="009D406A">
        <w:t>’</w:t>
      </w:r>
      <w:r w:rsidRPr="009D406A">
        <w:t>il n</w:t>
      </w:r>
      <w:r w:rsidRPr="009D406A" w:rsidR="009D406A">
        <w:t>’</w:t>
      </w:r>
      <w:r w:rsidRPr="009D406A">
        <w:t>était pas requis, pour que le procès fût équitable, que toutes les auditions se soient déroulées avec l</w:t>
      </w:r>
      <w:r w:rsidRPr="009D406A" w:rsidR="009D406A">
        <w:t>’</w:t>
      </w:r>
      <w:r w:rsidRPr="009D406A">
        <w:t>assistance d</w:t>
      </w:r>
      <w:r w:rsidRPr="009D406A" w:rsidR="009D406A">
        <w:t>’</w:t>
      </w:r>
      <w:r w:rsidRPr="009D406A">
        <w:t>un avocat et que l</w:t>
      </w:r>
      <w:r w:rsidRPr="009D406A" w:rsidR="009D406A">
        <w:t>’</w:t>
      </w:r>
      <w:r w:rsidRPr="009D406A">
        <w:t>équité d</w:t>
      </w:r>
      <w:r w:rsidRPr="009D406A" w:rsidR="009D406A">
        <w:t>’</w:t>
      </w:r>
      <w:r w:rsidRPr="009D406A">
        <w:t>un procès pénal s</w:t>
      </w:r>
      <w:r w:rsidRPr="009D406A" w:rsidR="009D406A">
        <w:t>’</w:t>
      </w:r>
      <w:r w:rsidRPr="009D406A">
        <w:t>appréciait par rapport à l</w:t>
      </w:r>
      <w:r w:rsidRPr="009D406A" w:rsidR="009D406A">
        <w:t>’</w:t>
      </w:r>
      <w:r w:rsidRPr="009D406A">
        <w:t>ensemble de la procédure. En ce qui concerne l</w:t>
      </w:r>
      <w:r w:rsidRPr="009D406A" w:rsidR="009D406A">
        <w:t>’</w:t>
      </w:r>
      <w:r w:rsidRPr="009D406A">
        <w:t>absence d</w:t>
      </w:r>
      <w:r w:rsidRPr="009D406A" w:rsidR="009D406A">
        <w:t>’</w:t>
      </w:r>
      <w:r w:rsidRPr="009D406A">
        <w:t>un avocat lors des interrogatoires, la Cour nota que la chambre des mises en accusation avait statué sur l</w:t>
      </w:r>
      <w:r w:rsidRPr="009D406A" w:rsidR="009D406A">
        <w:t>’</w:t>
      </w:r>
      <w:r w:rsidRPr="009D406A">
        <w:t>appel d</w:t>
      </w:r>
      <w:r w:rsidRPr="009D406A" w:rsidR="009D406A">
        <w:t>’</w:t>
      </w:r>
      <w:r w:rsidRPr="009D406A">
        <w:t>une ordonnance de renvoi correctionnel et qu</w:t>
      </w:r>
      <w:r w:rsidRPr="009D406A" w:rsidR="009D406A">
        <w:t>’</w:t>
      </w:r>
      <w:r w:rsidRPr="009D406A">
        <w:t>elle ne s</w:t>
      </w:r>
      <w:r w:rsidRPr="009D406A" w:rsidR="009D406A">
        <w:t>’</w:t>
      </w:r>
      <w:r w:rsidRPr="009D406A">
        <w:t>était donc pas prononcée sur la culpabilité ou l</w:t>
      </w:r>
      <w:r w:rsidRPr="009D406A" w:rsidR="009D406A">
        <w:t>’</w:t>
      </w:r>
      <w:r w:rsidRPr="009D406A">
        <w:t>innocence du requérant. Il n</w:t>
      </w:r>
      <w:r w:rsidRPr="009D406A" w:rsidR="009D406A">
        <w:t>’</w:t>
      </w:r>
      <w:r w:rsidRPr="009D406A">
        <w:t>apparaissait dès lors pas que l</w:t>
      </w:r>
      <w:r w:rsidRPr="009D406A" w:rsidR="009D406A">
        <w:t>’</w:t>
      </w:r>
      <w:r w:rsidRPr="009D406A">
        <w:t>arrêt avait utilisé, pour fonder une condamnation, une déclaration quelconque faite lors d</w:t>
      </w:r>
      <w:r w:rsidRPr="009D406A" w:rsidR="009D406A">
        <w:t>’</w:t>
      </w:r>
      <w:r w:rsidRPr="009D406A">
        <w:t>un interrogatoire subi sans l</w:t>
      </w:r>
      <w:r w:rsidRPr="009D406A" w:rsidR="009D406A">
        <w:t>’</w:t>
      </w:r>
      <w:r w:rsidRPr="009D406A">
        <w:t>assistance d</w:t>
      </w:r>
      <w:r w:rsidRPr="009D406A" w:rsidR="009D406A">
        <w:t>’</w:t>
      </w:r>
      <w:r w:rsidRPr="009D406A">
        <w:t>un avocat au cours du délai de garde à vue. Quant à l</w:t>
      </w:r>
      <w:r w:rsidRPr="009D406A" w:rsidR="009D406A">
        <w:t>’</w:t>
      </w:r>
      <w:r w:rsidRPr="009D406A">
        <w:t>absence d</w:t>
      </w:r>
      <w:r w:rsidRPr="009D406A" w:rsidR="009D406A">
        <w:t>’</w:t>
      </w:r>
      <w:r w:rsidRPr="009D406A">
        <w:t>un interrogatoire récapitulatif régulier pendant la détention préventive, la Cour de cassation considéra qu</w:t>
      </w:r>
      <w:r w:rsidRPr="009D406A" w:rsidR="009D406A">
        <w:t>’</w:t>
      </w:r>
      <w:r w:rsidRPr="009D406A">
        <w:t>il incombait au juge de constater si les droits de la défense avaient été violés en raison de cette circonstance. En considérant qu</w:t>
      </w:r>
      <w:r w:rsidRPr="009D406A" w:rsidR="009D406A">
        <w:t>’</w:t>
      </w:r>
      <w:r w:rsidRPr="009D406A">
        <w:t>en l</w:t>
      </w:r>
      <w:r w:rsidRPr="009D406A" w:rsidR="009D406A">
        <w:t>’</w:t>
      </w:r>
      <w:r w:rsidRPr="009D406A">
        <w:t>absence de cet interrogatoire, le requérant pourrait s</w:t>
      </w:r>
      <w:r w:rsidRPr="009D406A" w:rsidR="009D406A">
        <w:t>’</w:t>
      </w:r>
      <w:r w:rsidRPr="009D406A">
        <w:t>expliquer devant le tribunal correctionnel sur les faits qui lui étaient reprochés, de sorte que les droits de la défense n</w:t>
      </w:r>
      <w:r w:rsidRPr="009D406A" w:rsidR="009D406A">
        <w:t>’</w:t>
      </w:r>
      <w:r w:rsidRPr="009D406A">
        <w:t>étaient pas violés, la chambre des mises en accusation avait pu légalement justifier sa décision.</w:t>
      </w:r>
    </w:p>
    <w:bookmarkStart w:name="FaitsDuréeInstruction" w:id="5"/>
    <w:p w:rsidRPr="009D406A" w:rsidR="00DA3E62" w:rsidP="009D406A" w:rsidRDefault="00DA3E62" w14:paraId="465202EB" w14:textId="10F12061">
      <w:pPr>
        <w:pStyle w:val="JuPara"/>
      </w:pPr>
      <w:r w:rsidRPr="009D406A">
        <w:fldChar w:fldCharType="begin"/>
      </w:r>
      <w:r w:rsidRPr="009D406A">
        <w:instrText xml:space="preserve"> SEQ level0 \*arabic </w:instrText>
      </w:r>
      <w:r w:rsidRPr="009D406A">
        <w:fldChar w:fldCharType="separate"/>
      </w:r>
      <w:r w:rsidRPr="009D406A" w:rsidR="009D406A">
        <w:rPr>
          <w:noProof/>
        </w:rPr>
        <w:t>10</w:t>
      </w:r>
      <w:r w:rsidRPr="009D406A">
        <w:fldChar w:fldCharType="end"/>
      </w:r>
      <w:bookmarkEnd w:id="5"/>
      <w:r w:rsidRPr="009D406A">
        <w:t>.  La cause, impliquant 15 inculpés, fut fixée devant le tribunal correctionnel le 12 octobre 2011, mais reportée à la demande du requérant. Ce dernier ne comparut pas aux audiences fixées en mars et avril 2012, invoquant des raisons médicales qui ne purent être vérifiées. Il comparut personnellement à une des audiences, celle du 7 mai 2012. Par jugement du 27</w:t>
      </w:r>
      <w:r w:rsidRPr="009D406A" w:rsidR="00F8540D">
        <w:t> </w:t>
      </w:r>
      <w:r w:rsidRPr="009D406A">
        <w:t>juin 2012, le tribunal condamna le requérant à une peine de prison de 40</w:t>
      </w:r>
      <w:r w:rsidRPr="009D406A" w:rsidR="00F8540D">
        <w:t> </w:t>
      </w:r>
      <w:r w:rsidRPr="009D406A">
        <w:t>mois, à une amende de 50 000 euros (« EUR »), et à certaines peines accessoires. Ce jugement ne mentionnait aucune objection de la part du requérant quant à la régularité de la procédure.</w:t>
      </w:r>
    </w:p>
    <w:p w:rsidRPr="009D406A" w:rsidR="00DA3E62" w:rsidP="009D406A" w:rsidRDefault="00DA3E62" w14:paraId="5346C73D" w14:textId="357138F5">
      <w:pPr>
        <w:pStyle w:val="JuPara"/>
      </w:pPr>
      <w:r w:rsidRPr="009D406A">
        <w:fldChar w:fldCharType="begin"/>
      </w:r>
      <w:r w:rsidRPr="009D406A">
        <w:instrText xml:space="preserve"> SEQ level0 \*arabic </w:instrText>
      </w:r>
      <w:r w:rsidRPr="009D406A">
        <w:fldChar w:fldCharType="separate"/>
      </w:r>
      <w:r w:rsidRPr="009D406A" w:rsidR="009D406A">
        <w:rPr>
          <w:noProof/>
        </w:rPr>
        <w:t>11</w:t>
      </w:r>
      <w:r w:rsidRPr="009D406A">
        <w:fldChar w:fldCharType="end"/>
      </w:r>
      <w:r w:rsidRPr="009D406A">
        <w:t>.  Le recours en opposition formé par le requérant contre ce jugement fut déclaré irrecevable par jugement du tribunal de première instance du 27 septembre 2012, au motif que le jugement contre lequel l</w:t>
      </w:r>
      <w:r w:rsidRPr="009D406A" w:rsidR="009D406A">
        <w:t>’</w:t>
      </w:r>
      <w:r w:rsidRPr="009D406A">
        <w:t>opposition était faite avait été rendu contradictoirement à l</w:t>
      </w:r>
      <w:r w:rsidRPr="009D406A" w:rsidR="009D406A">
        <w:t>’</w:t>
      </w:r>
      <w:r w:rsidRPr="009D406A">
        <w:t>égard du requérant. Ce jugement du 27 septembre 2012 fut confirmé par la cour d</w:t>
      </w:r>
      <w:r w:rsidRPr="009D406A" w:rsidR="009D406A">
        <w:t>’</w:t>
      </w:r>
      <w:r w:rsidRPr="009D406A">
        <w:t>appel de Bruxelles le 31 octobre 2012.</w:t>
      </w:r>
    </w:p>
    <w:p w:rsidRPr="009D406A" w:rsidR="00DA3E62" w:rsidP="009D406A" w:rsidRDefault="00DA3E62" w14:paraId="5D564F24" w14:textId="6947A9D8">
      <w:pPr>
        <w:pStyle w:val="JuPara"/>
      </w:pPr>
      <w:r w:rsidRPr="009D406A">
        <w:fldChar w:fldCharType="begin"/>
      </w:r>
      <w:r w:rsidRPr="009D406A">
        <w:instrText xml:space="preserve"> SEQ level0 \*arabic </w:instrText>
      </w:r>
      <w:r w:rsidRPr="009D406A">
        <w:fldChar w:fldCharType="separate"/>
      </w:r>
      <w:r w:rsidRPr="009D406A" w:rsidR="009D406A">
        <w:rPr>
          <w:noProof/>
        </w:rPr>
        <w:t>12</w:t>
      </w:r>
      <w:r w:rsidRPr="009D406A">
        <w:fldChar w:fldCharType="end"/>
      </w:r>
      <w:r w:rsidRPr="009D406A">
        <w:t>. </w:t>
      </w:r>
      <w:r w:rsidRPr="009D406A" w:rsidR="0017584D">
        <w:t> </w:t>
      </w:r>
      <w:r w:rsidRPr="009D406A">
        <w:t>Le requérant et le ministère public ayant entretemps fait appel contre le jugement du 27 juin 2012, la cour d</w:t>
      </w:r>
      <w:r w:rsidRPr="009D406A" w:rsidR="009D406A">
        <w:t>’</w:t>
      </w:r>
      <w:r w:rsidRPr="009D406A">
        <w:t>appel de Bruxelles, par un arrêt rendu par défaut à l</w:t>
      </w:r>
      <w:r w:rsidRPr="009D406A" w:rsidR="009D406A">
        <w:t>’</w:t>
      </w:r>
      <w:r w:rsidRPr="009D406A">
        <w:t>égard du requérant le 6 mai 2013, maintint les condamnations prononcées contre lui, sous réserve de la peine de prison qui fut portée à cinq ans. Elle ordonna son arrestation immédiate.</w:t>
      </w:r>
    </w:p>
    <w:p w:rsidRPr="009D406A" w:rsidR="00DA3E62" w:rsidP="009D406A" w:rsidRDefault="00DA3E62" w14:paraId="53270C11" w14:textId="5CFAC209">
      <w:pPr>
        <w:pStyle w:val="JuPara"/>
      </w:pPr>
      <w:r w:rsidRPr="009D406A">
        <w:fldChar w:fldCharType="begin"/>
      </w:r>
      <w:r w:rsidRPr="009D406A">
        <w:instrText xml:space="preserve"> SEQ level0 \*arabic </w:instrText>
      </w:r>
      <w:r w:rsidRPr="009D406A">
        <w:fldChar w:fldCharType="separate"/>
      </w:r>
      <w:r w:rsidRPr="009D406A" w:rsidR="009D406A">
        <w:rPr>
          <w:noProof/>
        </w:rPr>
        <w:t>13</w:t>
      </w:r>
      <w:r w:rsidRPr="009D406A">
        <w:fldChar w:fldCharType="end"/>
      </w:r>
      <w:r w:rsidRPr="009D406A">
        <w:t>.</w:t>
      </w:r>
      <w:r w:rsidRPr="009D406A" w:rsidR="0017584D">
        <w:t>  </w:t>
      </w:r>
      <w:r w:rsidRPr="009D406A">
        <w:t>Le requérant fut arrêté en février 2014 en Espagne. Il forma aussitôt opposition contre l</w:t>
      </w:r>
      <w:r w:rsidRPr="009D406A" w:rsidR="009D406A">
        <w:t>’</w:t>
      </w:r>
      <w:r w:rsidRPr="009D406A">
        <w:t>arrêt précité du 6 mai 2013.</w:t>
      </w:r>
    </w:p>
    <w:bookmarkStart w:name="FaitsJurFondAssistance" w:id="6"/>
    <w:bookmarkStart w:name="FaitsCA10062014Start" w:id="7"/>
    <w:p w:rsidRPr="009D406A" w:rsidR="00DA3E62" w:rsidP="009D406A" w:rsidRDefault="00DA3E62" w14:paraId="1C06C8E9" w14:textId="7C39D269">
      <w:pPr>
        <w:pStyle w:val="JuPara"/>
      </w:pPr>
      <w:r w:rsidRPr="009D406A">
        <w:fldChar w:fldCharType="begin"/>
      </w:r>
      <w:r w:rsidRPr="009D406A">
        <w:instrText xml:space="preserve"> SEQ level0 \*arabic \* MERGEFORMAT </w:instrText>
      </w:r>
      <w:r w:rsidRPr="009D406A">
        <w:fldChar w:fldCharType="separate"/>
      </w:r>
      <w:r w:rsidRPr="009D406A" w:rsidR="009D406A">
        <w:rPr>
          <w:noProof/>
        </w:rPr>
        <w:t>14</w:t>
      </w:r>
      <w:r w:rsidRPr="009D406A">
        <w:fldChar w:fldCharType="end"/>
      </w:r>
      <w:bookmarkEnd w:id="6"/>
      <w:bookmarkEnd w:id="7"/>
      <w:r w:rsidRPr="009D406A">
        <w:t>.  La cour d</w:t>
      </w:r>
      <w:r w:rsidRPr="009D406A" w:rsidR="009D406A">
        <w:t>’</w:t>
      </w:r>
      <w:r w:rsidRPr="009D406A">
        <w:t>appel statua contradictoirement sur l</w:t>
      </w:r>
      <w:r w:rsidRPr="009D406A" w:rsidR="009D406A">
        <w:t>’</w:t>
      </w:r>
      <w:r w:rsidRPr="009D406A">
        <w:t>opposition, par un arrêt du 10 juin 2014. Devant cette cour, le requérant s</w:t>
      </w:r>
      <w:r w:rsidRPr="009D406A" w:rsidR="009D406A">
        <w:t>’</w:t>
      </w:r>
      <w:r w:rsidRPr="009D406A">
        <w:t>était notamment plaint du fait que, contrairement à ce qu</w:t>
      </w:r>
      <w:r w:rsidRPr="009D406A" w:rsidR="009D406A">
        <w:t>’</w:t>
      </w:r>
      <w:r w:rsidRPr="009D406A">
        <w:t>avait ordonné la chambre des mises en accusation par son arrêt du 14 juillet 2004, le procès-verbal de l</w:t>
      </w:r>
      <w:r w:rsidRPr="009D406A" w:rsidR="009D406A">
        <w:t>’</w:t>
      </w:r>
      <w:r w:rsidRPr="009D406A">
        <w:t>interrogatoire récapitulatif du 17 décembre 2003 n</w:t>
      </w:r>
      <w:r w:rsidRPr="009D406A" w:rsidR="009D406A">
        <w:t>’</w:t>
      </w:r>
      <w:r w:rsidRPr="009D406A">
        <w:t>avait pas été retiré du dossier et qu</w:t>
      </w:r>
      <w:r w:rsidRPr="009D406A" w:rsidR="009D406A">
        <w:t>’</w:t>
      </w:r>
      <w:r w:rsidRPr="009D406A">
        <w:t>il n</w:t>
      </w:r>
      <w:r w:rsidRPr="009D406A" w:rsidR="009D406A">
        <w:t>’</w:t>
      </w:r>
      <w:r w:rsidRPr="009D406A">
        <w:t>avait pas été procédé à un nouvel interrogatoire. La cour d</w:t>
      </w:r>
      <w:r w:rsidRPr="009D406A" w:rsidR="009D406A">
        <w:t>’</w:t>
      </w:r>
      <w:r w:rsidRPr="009D406A">
        <w:t>appel rejeta ce moyen considérant que cette problématique avait déjà été soulevée au stade du règlement de la procédure et tranchée par la Cour de cassation statuant le 1</w:t>
      </w:r>
      <w:r w:rsidRPr="009D406A">
        <w:rPr>
          <w:vertAlign w:val="superscript"/>
        </w:rPr>
        <w:t>er</w:t>
      </w:r>
      <w:r w:rsidRPr="009D406A">
        <w:t xml:space="preserve"> juin 2011 sur le pourvoi du requérant dirigé contre l</w:t>
      </w:r>
      <w:r w:rsidRPr="009D406A" w:rsidR="009D406A">
        <w:t>’</w:t>
      </w:r>
      <w:r w:rsidRPr="009D406A">
        <w:t>arrêt de la chambre des mises en accusation (paragraphe </w:t>
      </w:r>
      <w:r w:rsidRPr="009D406A">
        <w:fldChar w:fldCharType="begin"/>
      </w:r>
      <w:r w:rsidRPr="009D406A">
        <w:instrText xml:space="preserve"> REF FaitsCass01062011 \h </w:instrText>
      </w:r>
      <w:r w:rsidRPr="009D406A">
        <w:fldChar w:fldCharType="separate"/>
      </w:r>
      <w:r w:rsidRPr="009D406A" w:rsidR="009D406A">
        <w:rPr>
          <w:noProof/>
        </w:rPr>
        <w:t>9</w:t>
      </w:r>
      <w:r w:rsidRPr="009D406A">
        <w:fldChar w:fldCharType="end"/>
      </w:r>
      <w:r w:rsidRPr="009D406A">
        <w:t xml:space="preserve"> ci-dessus). Elle ajouta qu</w:t>
      </w:r>
      <w:r w:rsidRPr="009D406A" w:rsidR="009D406A">
        <w:t>’</w:t>
      </w:r>
      <w:r w:rsidRPr="009D406A">
        <w:t>en tout état de cause l</w:t>
      </w:r>
      <w:r w:rsidRPr="009D406A" w:rsidR="009D406A">
        <w:t>’</w:t>
      </w:r>
      <w:r w:rsidRPr="009D406A">
        <w:t>interrogatoire récapitulatif était spécifique à la détention préventive, qui avait pris fin immédiatement après l</w:t>
      </w:r>
      <w:r w:rsidRPr="009D406A" w:rsidR="009D406A">
        <w:t>’</w:t>
      </w:r>
      <w:r w:rsidRPr="009D406A">
        <w:t>interrogatoire récapitulatif. Enfin, la simple circonstance que la pièce litigieuse n</w:t>
      </w:r>
      <w:r w:rsidRPr="009D406A" w:rsidR="009D406A">
        <w:t>’</w:t>
      </w:r>
      <w:r w:rsidRPr="009D406A">
        <w:t>eût pas été écartée ne constituait pas, à elle seule, une violation des droits de la défense. Dans le dispositif de son arrêt, la cour d</w:t>
      </w:r>
      <w:r w:rsidRPr="009D406A" w:rsidR="009D406A">
        <w:t>’</w:t>
      </w:r>
      <w:r w:rsidRPr="009D406A">
        <w:t>appel explicitement écarta le procès-verbal de l</w:t>
      </w:r>
      <w:r w:rsidRPr="009D406A" w:rsidR="009D406A">
        <w:t>’</w:t>
      </w:r>
      <w:r w:rsidRPr="009D406A">
        <w:t>interrogatoire récapitulatif.</w:t>
      </w:r>
    </w:p>
    <w:bookmarkStart w:name="FaitsCA10062014Bis" w:id="8"/>
    <w:p w:rsidRPr="009D406A" w:rsidR="00DA3E62" w:rsidP="009D406A" w:rsidRDefault="00DA3E62" w14:paraId="4B56593A" w14:textId="5B73DA6F">
      <w:pPr>
        <w:pStyle w:val="JuPara"/>
      </w:pPr>
      <w:r w:rsidRPr="009D406A">
        <w:fldChar w:fldCharType="begin"/>
      </w:r>
      <w:r w:rsidRPr="009D406A">
        <w:instrText xml:space="preserve"> SEQ level0 \*arabic \* MERGEFORMAT </w:instrText>
      </w:r>
      <w:r w:rsidRPr="009D406A">
        <w:fldChar w:fldCharType="separate"/>
      </w:r>
      <w:r w:rsidRPr="009D406A" w:rsidR="009D406A">
        <w:rPr>
          <w:noProof/>
        </w:rPr>
        <w:t>15</w:t>
      </w:r>
      <w:r w:rsidRPr="009D406A">
        <w:fldChar w:fldCharType="end"/>
      </w:r>
      <w:bookmarkEnd w:id="8"/>
      <w:r w:rsidRPr="009D406A">
        <w:t>.  Le requérant s</w:t>
      </w:r>
      <w:r w:rsidRPr="009D406A" w:rsidR="009D406A">
        <w:t>’</w:t>
      </w:r>
      <w:r w:rsidRPr="009D406A">
        <w:t>était également plaint de l</w:t>
      </w:r>
      <w:r w:rsidRPr="009D406A" w:rsidR="009D406A">
        <w:t>’</w:t>
      </w:r>
      <w:r w:rsidRPr="009D406A">
        <w:t>absence de son avocat à l</w:t>
      </w:r>
      <w:r w:rsidRPr="009D406A" w:rsidR="009D406A">
        <w:t>’</w:t>
      </w:r>
      <w:r w:rsidRPr="009D406A">
        <w:t>ensemble des auditions menées durant l</w:t>
      </w:r>
      <w:r w:rsidRPr="009D406A" w:rsidR="009D406A">
        <w:t>’</w:t>
      </w:r>
      <w:r w:rsidRPr="009D406A">
        <w:t>instruction. La cour d</w:t>
      </w:r>
      <w:r w:rsidRPr="009D406A" w:rsidR="009D406A">
        <w:t>’</w:t>
      </w:r>
      <w:r w:rsidRPr="009D406A">
        <w:t>appel admit que ces auditions, hors de la présence d</w:t>
      </w:r>
      <w:r w:rsidRPr="009D406A" w:rsidR="009D406A">
        <w:t>’</w:t>
      </w:r>
      <w:r w:rsidRPr="009D406A">
        <w:t>un avocat, ne pouvaient constituer, en tant que telles, la preuve de la culpabilité du requérant. Elle considéra la plus grande partie des nombreuses préventions établies – 39</w:t>
      </w:r>
      <w:r w:rsidRPr="009D406A" w:rsidR="0017584D">
        <w:t> </w:t>
      </w:r>
      <w:r w:rsidRPr="009D406A">
        <w:t>préventions établies étaient mentionnées – sur base de preuves qui étaient étrangères aux déclarations du requérant faites au cours de ses auditions. Toutefois, en ce qui concernait six préventions, la cour d</w:t>
      </w:r>
      <w:r w:rsidRPr="009D406A" w:rsidR="009D406A">
        <w:t>’</w:t>
      </w:r>
      <w:r w:rsidRPr="009D406A">
        <w:t>appel se référa «</w:t>
      </w:r>
      <w:r w:rsidRPr="009D406A" w:rsidR="00F8540D">
        <w:t> </w:t>
      </w:r>
      <w:r w:rsidRPr="009D406A">
        <w:t>à titre surabondant</w:t>
      </w:r>
      <w:r w:rsidRPr="009D406A" w:rsidR="00F8540D">
        <w:t> </w:t>
      </w:r>
      <w:r w:rsidRPr="009D406A">
        <w:t>» à de telles déclarations, par lesquelles il avait reconnu des faits qui lui étaient reprochés – principalement la divulgation de certaines informations et la réception de certains avantages en contrepartie.</w:t>
      </w:r>
    </w:p>
    <w:p w:rsidRPr="009D406A" w:rsidR="00DA3E62" w:rsidP="009D406A" w:rsidRDefault="00DA3E62" w14:paraId="4AA9E3F5" w14:textId="59F82A38">
      <w:pPr>
        <w:pStyle w:val="JuPara"/>
      </w:pPr>
      <w:r w:rsidRPr="009D406A">
        <w:fldChar w:fldCharType="begin"/>
      </w:r>
      <w:r w:rsidRPr="009D406A">
        <w:instrText xml:space="preserve"> SEQ level0 \*arabic </w:instrText>
      </w:r>
      <w:r w:rsidRPr="009D406A">
        <w:fldChar w:fldCharType="separate"/>
      </w:r>
      <w:r w:rsidRPr="009D406A" w:rsidR="009D406A">
        <w:rPr>
          <w:noProof/>
        </w:rPr>
        <w:t>16</w:t>
      </w:r>
      <w:r w:rsidRPr="009D406A">
        <w:fldChar w:fldCharType="end"/>
      </w:r>
      <w:r w:rsidRPr="009D406A">
        <w:t>.  En ce qui concernait la fixation de la peine, la cour d</w:t>
      </w:r>
      <w:r w:rsidRPr="009D406A" w:rsidR="009D406A">
        <w:t>’</w:t>
      </w:r>
      <w:r w:rsidRPr="009D406A">
        <w:t>appel refusa de constater le dépassement du délai raisonnable et d</w:t>
      </w:r>
      <w:r w:rsidRPr="009D406A" w:rsidR="009D406A">
        <w:t>’</w:t>
      </w:r>
      <w:r w:rsidRPr="009D406A">
        <w:t>appliquer l</w:t>
      </w:r>
      <w:r w:rsidRPr="009D406A" w:rsidR="009D406A">
        <w:t>’</w:t>
      </w:r>
      <w:r w:rsidRPr="009D406A">
        <w:t>article</w:t>
      </w:r>
      <w:r w:rsidRPr="009D406A" w:rsidR="0017584D">
        <w:t> </w:t>
      </w:r>
      <w:r w:rsidRPr="009D406A">
        <w:t>21</w:t>
      </w:r>
      <w:r w:rsidRPr="009D406A">
        <w:rPr>
          <w:i/>
          <w:iCs/>
        </w:rPr>
        <w:t>ter</w:t>
      </w:r>
      <w:r w:rsidRPr="009D406A">
        <w:t xml:space="preserve"> du titre préliminaire du code d</w:t>
      </w:r>
      <w:r w:rsidRPr="009D406A" w:rsidR="009D406A">
        <w:t>’</w:t>
      </w:r>
      <w:r w:rsidRPr="009D406A">
        <w:t>instruction criminelle (paragraphe</w:t>
      </w:r>
      <w:r w:rsidRPr="009D406A" w:rsidR="0017584D">
        <w:t> </w:t>
      </w:r>
      <w:r w:rsidRPr="009D406A">
        <w:fldChar w:fldCharType="begin"/>
      </w:r>
      <w:r w:rsidRPr="009D406A">
        <w:instrText xml:space="preserve"> REF DroitInterneArt21ter \h  \* MERGEFORMAT </w:instrText>
      </w:r>
      <w:r w:rsidRPr="009D406A">
        <w:fldChar w:fldCharType="separate"/>
      </w:r>
      <w:r w:rsidRPr="009D406A" w:rsidR="009D406A">
        <w:t>22</w:t>
      </w:r>
      <w:r w:rsidRPr="009D406A">
        <w:fldChar w:fldCharType="end"/>
      </w:r>
      <w:r w:rsidRPr="009D406A">
        <w:t xml:space="preserve"> ci</w:t>
      </w:r>
      <w:r w:rsidRPr="009D406A" w:rsidR="00F8540D">
        <w:noBreakHyphen/>
      </w:r>
      <w:r w:rsidRPr="009D406A">
        <w:t>dessous). Elle considéra qu</w:t>
      </w:r>
      <w:r w:rsidRPr="009D406A" w:rsidR="009D406A">
        <w:t>’</w:t>
      </w:r>
      <w:r w:rsidRPr="009D406A">
        <w:t>eu égard aux différentes étapes de la procédure, celle-ci n</w:t>
      </w:r>
      <w:r w:rsidRPr="009D406A" w:rsidR="009D406A">
        <w:t>’</w:t>
      </w:r>
      <w:r w:rsidRPr="009D406A">
        <w:t>avait pas subi de retard anormal : l</w:t>
      </w:r>
      <w:r w:rsidRPr="009D406A" w:rsidR="009D406A">
        <w:t>’</w:t>
      </w:r>
      <w:r w:rsidRPr="009D406A">
        <w:t>enquête n</w:t>
      </w:r>
      <w:r w:rsidRPr="009D406A" w:rsidR="009D406A">
        <w:t>’</w:t>
      </w:r>
      <w:r w:rsidRPr="009D406A">
        <w:t>avait pas été anormalement longue compte tenu des versions données par plusieurs personnes inculpées, lesquelles avaient nécessité de nombreuses vérifications ; les délais pour fixer l</w:t>
      </w:r>
      <w:r w:rsidRPr="009D406A" w:rsidR="009D406A">
        <w:t>’</w:t>
      </w:r>
      <w:r w:rsidRPr="009D406A">
        <w:t>affaire devant les différentes juridictions n</w:t>
      </w:r>
      <w:r w:rsidRPr="009D406A" w:rsidR="009D406A">
        <w:t>’</w:t>
      </w:r>
      <w:r w:rsidRPr="009D406A">
        <w:t>avaient pas été exagérément longs ; le temps pris par ces juridictions pour rendre leur décision n</w:t>
      </w:r>
      <w:r w:rsidRPr="009D406A" w:rsidR="009D406A">
        <w:t>’</w:t>
      </w:r>
      <w:r w:rsidRPr="009D406A">
        <w:t>était pas anormal. En outre, le requérant avait lui-même contribué, par son attitude, à retarder le cours de la procédure. Après sa comparution le 7 mai 2012 devant le premier juge du fond, la procédure n</w:t>
      </w:r>
      <w:r w:rsidRPr="009D406A" w:rsidR="009D406A">
        <w:t>’</w:t>
      </w:r>
      <w:r w:rsidRPr="009D406A">
        <w:t>avait plus subi d</w:t>
      </w:r>
      <w:r w:rsidRPr="009D406A" w:rsidR="009D406A">
        <w:t>’</w:t>
      </w:r>
      <w:r w:rsidRPr="009D406A">
        <w:t>avatars. S</w:t>
      </w:r>
      <w:r w:rsidRPr="009D406A" w:rsidR="009D406A">
        <w:t>’</w:t>
      </w:r>
      <w:r w:rsidRPr="009D406A">
        <w:t>il s</w:t>
      </w:r>
      <w:r w:rsidRPr="009D406A" w:rsidR="009D406A">
        <w:t>’</w:t>
      </w:r>
      <w:r w:rsidRPr="009D406A">
        <w:t>était écoulé deux ans entre cette date et l</w:t>
      </w:r>
      <w:r w:rsidRPr="009D406A" w:rsidR="009D406A">
        <w:t>’</w:t>
      </w:r>
      <w:r w:rsidRPr="009D406A">
        <w:t>arrêt de la cour d</w:t>
      </w:r>
      <w:r w:rsidRPr="009D406A" w:rsidR="009D406A">
        <w:t>’</w:t>
      </w:r>
      <w:r w:rsidRPr="009D406A">
        <w:t>appel sur opposition, il fallait prendre en compte qu</w:t>
      </w:r>
      <w:r w:rsidRPr="009D406A" w:rsidR="009D406A">
        <w:t>’</w:t>
      </w:r>
      <w:r w:rsidRPr="009D406A">
        <w:t>entretemps le requérant ne s</w:t>
      </w:r>
      <w:r w:rsidRPr="009D406A" w:rsidR="009D406A">
        <w:t>’</w:t>
      </w:r>
      <w:r w:rsidRPr="009D406A">
        <w:t>était plus présenté et avait été arrêté.</w:t>
      </w:r>
    </w:p>
    <w:p w:rsidRPr="009D406A" w:rsidR="00DA3E62" w:rsidP="009D406A" w:rsidRDefault="00DA3E62" w14:paraId="729AF854" w14:textId="6895005F">
      <w:pPr>
        <w:pStyle w:val="JuPara"/>
      </w:pPr>
      <w:r w:rsidRPr="009D406A">
        <w:fldChar w:fldCharType="begin"/>
      </w:r>
      <w:r w:rsidRPr="009D406A">
        <w:instrText xml:space="preserve"> SEQ level0 \*arabic </w:instrText>
      </w:r>
      <w:r w:rsidRPr="009D406A">
        <w:fldChar w:fldCharType="separate"/>
      </w:r>
      <w:r w:rsidRPr="009D406A" w:rsidR="009D406A">
        <w:rPr>
          <w:noProof/>
        </w:rPr>
        <w:t>17</w:t>
      </w:r>
      <w:r w:rsidRPr="009D406A">
        <w:fldChar w:fldCharType="end"/>
      </w:r>
      <w:r w:rsidRPr="009D406A">
        <w:t>. </w:t>
      </w:r>
      <w:r w:rsidRPr="009D406A" w:rsidR="0017584D">
        <w:t> </w:t>
      </w:r>
      <w:r w:rsidRPr="009D406A">
        <w:t>Le requérant fut condamné pour l</w:t>
      </w:r>
      <w:r w:rsidRPr="009D406A" w:rsidR="009D406A">
        <w:t>’</w:t>
      </w:r>
      <w:r w:rsidRPr="009D406A">
        <w:t>ensemble des préventions déclarées établies à une peine de prison de 40 mois, avec sursis pour la moitié de cette peine, à une amende de 50 000 EUR, et à plusieurs peines accessoires. N</w:t>
      </w:r>
      <w:r w:rsidRPr="009D406A" w:rsidR="009D406A">
        <w:t>’</w:t>
      </w:r>
      <w:r w:rsidRPr="009D406A">
        <w:t>ayant pas comparu devant la cour d</w:t>
      </w:r>
      <w:r w:rsidRPr="009D406A" w:rsidR="009D406A">
        <w:t>’</w:t>
      </w:r>
      <w:r w:rsidRPr="009D406A">
        <w:t>appel, son arrestation immédiate fut ordonnée.</w:t>
      </w:r>
    </w:p>
    <w:bookmarkStart w:name="FaitsCass15102014Start" w:id="9"/>
    <w:p w:rsidRPr="009D406A" w:rsidR="00DA3E62" w:rsidP="009D406A" w:rsidRDefault="00DA3E62" w14:paraId="3E35B5E9" w14:textId="46BD0427">
      <w:pPr>
        <w:pStyle w:val="JuPara"/>
      </w:pPr>
      <w:r w:rsidRPr="009D406A">
        <w:fldChar w:fldCharType="begin"/>
      </w:r>
      <w:r w:rsidRPr="009D406A">
        <w:instrText xml:space="preserve"> SEQ level0 \*arabic </w:instrText>
      </w:r>
      <w:r w:rsidRPr="009D406A">
        <w:fldChar w:fldCharType="separate"/>
      </w:r>
      <w:r w:rsidRPr="009D406A" w:rsidR="009D406A">
        <w:rPr>
          <w:noProof/>
        </w:rPr>
        <w:t>18</w:t>
      </w:r>
      <w:r w:rsidRPr="009D406A">
        <w:fldChar w:fldCharType="end"/>
      </w:r>
      <w:bookmarkEnd w:id="9"/>
      <w:r w:rsidRPr="009D406A">
        <w:t>.  Par un arrêt du 15 octobre 2014, la Cour de cassation rejeta le pourvoi introduit par le requérant contre l</w:t>
      </w:r>
      <w:r w:rsidRPr="009D406A" w:rsidR="009D406A">
        <w:t>’</w:t>
      </w:r>
      <w:r w:rsidRPr="009D406A">
        <w:t>arrêt précité. Statuant sur un moyen tiré de la violation de l</w:t>
      </w:r>
      <w:r w:rsidRPr="009D406A" w:rsidR="009D406A">
        <w:t>’</w:t>
      </w:r>
      <w:r w:rsidRPr="009D406A">
        <w:t>article 6 § 3 c) de la Convention, du fait que la cour d</w:t>
      </w:r>
      <w:r w:rsidRPr="009D406A" w:rsidR="009D406A">
        <w:t>’</w:t>
      </w:r>
      <w:r w:rsidRPr="009D406A">
        <w:t>appel avait pris en considération, fût-ce à titre surabondant, des auditions faites pendant l</w:t>
      </w:r>
      <w:r w:rsidRPr="009D406A" w:rsidR="009D406A">
        <w:t>’</w:t>
      </w:r>
      <w:r w:rsidRPr="009D406A">
        <w:t>instruction sans l</w:t>
      </w:r>
      <w:r w:rsidRPr="009D406A" w:rsidR="009D406A">
        <w:t>’</w:t>
      </w:r>
      <w:r w:rsidRPr="009D406A">
        <w:t>assistance d</w:t>
      </w:r>
      <w:r w:rsidRPr="009D406A" w:rsidR="009D406A">
        <w:t>’</w:t>
      </w:r>
      <w:r w:rsidRPr="009D406A">
        <w:t>un avocat, la Cour de cassation constata que dans son pourvoi le requérant critiquait ainsi la déclaration de culpabilité pour deux faits, respectivement de corruption et de violation du secret professionnel, visés dans deux préventions spécifiques. Elle considéra que la peine imposée était légalement justifiée par les autres infractions déclarées établies, de sorte que le moyen était irrecevable à défaut d</w:t>
      </w:r>
      <w:r w:rsidRPr="009D406A" w:rsidR="009D406A">
        <w:t>’</w:t>
      </w:r>
      <w:r w:rsidRPr="009D406A">
        <w:t>intérêt.</w:t>
      </w:r>
    </w:p>
    <w:bookmarkStart w:name="FaitsCass15102014End" w:id="10"/>
    <w:p w:rsidRPr="009D406A" w:rsidR="00DA3E62" w:rsidP="009D406A" w:rsidRDefault="00DA3E62" w14:paraId="2D908E2D" w14:textId="2F31E0D2">
      <w:pPr>
        <w:pStyle w:val="JuPara"/>
      </w:pPr>
      <w:r w:rsidRPr="009D406A">
        <w:fldChar w:fldCharType="begin"/>
      </w:r>
      <w:r w:rsidRPr="009D406A">
        <w:instrText xml:space="preserve"> SEQ level0 \*arabic </w:instrText>
      </w:r>
      <w:r w:rsidRPr="009D406A">
        <w:fldChar w:fldCharType="separate"/>
      </w:r>
      <w:r w:rsidRPr="009D406A" w:rsidR="009D406A">
        <w:rPr>
          <w:noProof/>
        </w:rPr>
        <w:t>19</w:t>
      </w:r>
      <w:r w:rsidRPr="009D406A">
        <w:fldChar w:fldCharType="end"/>
      </w:r>
      <w:bookmarkEnd w:id="10"/>
      <w:r w:rsidRPr="009D406A">
        <w:t>.</w:t>
      </w:r>
      <w:r w:rsidRPr="009D406A" w:rsidR="0017584D">
        <w:t>  </w:t>
      </w:r>
      <w:r w:rsidRPr="009D406A">
        <w:t>Un autre moyen faisait grief à l</w:t>
      </w:r>
      <w:r w:rsidRPr="009D406A" w:rsidR="009D406A">
        <w:t>’</w:t>
      </w:r>
      <w:r w:rsidRPr="009D406A">
        <w:t>arrêt attaqué de considérer que le requérant ne pouvait soulever devant la cour d</w:t>
      </w:r>
      <w:r w:rsidRPr="009D406A" w:rsidR="009D406A">
        <w:t>’</w:t>
      </w:r>
      <w:r w:rsidRPr="009D406A">
        <w:t>appel les mêmes arguments que ceux qu</w:t>
      </w:r>
      <w:r w:rsidRPr="009D406A" w:rsidR="009D406A">
        <w:t>’</w:t>
      </w:r>
      <w:r w:rsidRPr="009D406A">
        <w:t>il avait invoqués à l</w:t>
      </w:r>
      <w:r w:rsidRPr="009D406A" w:rsidR="009D406A">
        <w:t>’</w:t>
      </w:r>
      <w:r w:rsidRPr="009D406A">
        <w:t>issue de l</w:t>
      </w:r>
      <w:r w:rsidRPr="009D406A" w:rsidR="009D406A">
        <w:t>’</w:t>
      </w:r>
      <w:r w:rsidRPr="009D406A">
        <w:t>instruction quant à la régularité de la procédure dès lors que la chambre des mises en accusation avait statué à cet égard et que le pourvoi en cassation contre cette décision avait été rejeté. Selon le requérant, en statuant ainsi, la cour d</w:t>
      </w:r>
      <w:r w:rsidRPr="009D406A" w:rsidR="009D406A">
        <w:t>’</w:t>
      </w:r>
      <w:r w:rsidRPr="009D406A">
        <w:t>appel avait commis un excès de pouvoir et violé l</w:t>
      </w:r>
      <w:r w:rsidRPr="009D406A" w:rsidR="009D406A">
        <w:t>’</w:t>
      </w:r>
      <w:r w:rsidRPr="009D406A">
        <w:t>article 6 de la Convention. La Cour de cassation rejeta ce moyen notamment pour les motifs suivants :</w:t>
      </w:r>
    </w:p>
    <w:p w:rsidRPr="009D406A" w:rsidR="00DA3E62" w:rsidP="009D406A" w:rsidRDefault="00DA3E62" w14:paraId="1DAB28B8" w14:textId="3DC984BC">
      <w:pPr>
        <w:pStyle w:val="JuQuot"/>
      </w:pPr>
      <w:r w:rsidRPr="009D406A">
        <w:t>« De la seule circonstance que la loi limite le droit du prévenu de soulever devant le juge du fond une contestation qui a été tranchée contradictoirement par la juridiction d</w:t>
      </w:r>
      <w:r w:rsidRPr="009D406A" w:rsidR="009D406A">
        <w:t>’</w:t>
      </w:r>
      <w:r w:rsidRPr="009D406A">
        <w:t>instruction lors du règlement de la procédure, il ne saurait se déduire ni une violation de l</w:t>
      </w:r>
      <w:r w:rsidRPr="009D406A" w:rsidR="009D406A">
        <w:t>’</w:t>
      </w:r>
      <w:r w:rsidRPr="009D406A">
        <w:t>article 6 de la Convention ni une méconnaissance des droits de la défense.</w:t>
      </w:r>
    </w:p>
    <w:p w:rsidRPr="009D406A" w:rsidR="00DA3E62" w:rsidP="009D406A" w:rsidRDefault="00DA3E62" w14:paraId="4A45E28D" w14:textId="30C0EF27">
      <w:pPr>
        <w:pStyle w:val="JuQuot"/>
      </w:pPr>
      <w:r w:rsidRPr="009D406A">
        <w:t>Il en va de même du fait qu</w:t>
      </w:r>
      <w:r w:rsidRPr="009D406A" w:rsidR="009D406A">
        <w:t>’</w:t>
      </w:r>
      <w:r w:rsidRPr="009D406A">
        <w:t>une pièce annulée par la juridiction d</w:t>
      </w:r>
      <w:r w:rsidRPr="009D406A" w:rsidR="009D406A">
        <w:t>’</w:t>
      </w:r>
      <w:r w:rsidRPr="009D406A">
        <w:t>instruction n</w:t>
      </w:r>
      <w:r w:rsidRPr="009D406A" w:rsidR="009D406A">
        <w:t>’</w:t>
      </w:r>
      <w:r w:rsidRPr="009D406A">
        <w:t>a pas été matériellement retirée du dossier avant l</w:t>
      </w:r>
      <w:r w:rsidRPr="009D406A" w:rsidR="009D406A">
        <w:t>’</w:t>
      </w:r>
      <w:r w:rsidRPr="009D406A">
        <w:t>examen de la cause devant la juridiction de renvoi alors que les juges d</w:t>
      </w:r>
      <w:r w:rsidRPr="009D406A" w:rsidR="009D406A">
        <w:t>’</w:t>
      </w:r>
      <w:r w:rsidRPr="009D406A">
        <w:t>appel ont réparé cette omission en écartant ladite pièce.</w:t>
      </w:r>
    </w:p>
    <w:p w:rsidRPr="009D406A" w:rsidR="00DA3E62" w:rsidP="009D406A" w:rsidRDefault="00DA3E62" w14:paraId="76110E8A" w14:textId="103B76B1">
      <w:pPr>
        <w:pStyle w:val="JuQuot"/>
      </w:pPr>
      <w:r w:rsidRPr="009D406A">
        <w:t>L</w:t>
      </w:r>
      <w:r w:rsidRPr="009D406A" w:rsidR="009D406A">
        <w:t>’</w:t>
      </w:r>
      <w:r w:rsidRPr="009D406A">
        <w:t>équité du procès s</w:t>
      </w:r>
      <w:r w:rsidRPr="009D406A" w:rsidR="009D406A">
        <w:t>’</w:t>
      </w:r>
      <w:r w:rsidRPr="009D406A">
        <w:t>appréciant à la lumière de l</w:t>
      </w:r>
      <w:r w:rsidRPr="009D406A" w:rsidR="009D406A">
        <w:t>’</w:t>
      </w:r>
      <w:r w:rsidRPr="009D406A">
        <w:t>ensemble de la procédure, l</w:t>
      </w:r>
      <w:r w:rsidRPr="009D406A" w:rsidR="009D406A">
        <w:t>’</w:t>
      </w:r>
      <w:r w:rsidRPr="009D406A">
        <w:t>article 6 de la Convention ne saurait davantage être violé en raison du fait que, au cours de la détention préventive, l</w:t>
      </w:r>
      <w:r w:rsidRPr="009D406A" w:rsidR="009D406A">
        <w:t>’</w:t>
      </w:r>
      <w:r w:rsidRPr="009D406A">
        <w:t>interrogatoire récapitulatif devant le juge d</w:t>
      </w:r>
      <w:r w:rsidRPr="009D406A" w:rsidR="009D406A">
        <w:t>’</w:t>
      </w:r>
      <w:r w:rsidRPr="009D406A">
        <w:t>instruction, annulé par un arrêt de la chambre des mises en accusation, n</w:t>
      </w:r>
      <w:r w:rsidRPr="009D406A" w:rsidR="009D406A">
        <w:t>’</w:t>
      </w:r>
      <w:r w:rsidRPr="009D406A">
        <w:t>a pas pu être recommencé, le demandeur ayant été remis en liberté le lendemain. »</w:t>
      </w:r>
    </w:p>
    <w:p w:rsidRPr="009D406A" w:rsidR="00DA3E62" w:rsidP="009D406A" w:rsidRDefault="00DA3E62" w14:paraId="0767C3BD" w14:textId="6EBF4D69">
      <w:pPr>
        <w:pStyle w:val="JuPara"/>
      </w:pPr>
      <w:r w:rsidRPr="009D406A">
        <w:fldChar w:fldCharType="begin"/>
      </w:r>
      <w:r w:rsidRPr="009D406A">
        <w:instrText xml:space="preserve"> SEQ level0 \*arabic </w:instrText>
      </w:r>
      <w:r w:rsidRPr="009D406A">
        <w:fldChar w:fldCharType="separate"/>
      </w:r>
      <w:r w:rsidRPr="009D406A" w:rsidR="009D406A">
        <w:rPr>
          <w:noProof/>
        </w:rPr>
        <w:t>20</w:t>
      </w:r>
      <w:r w:rsidRPr="009D406A">
        <w:fldChar w:fldCharType="end"/>
      </w:r>
      <w:r w:rsidRPr="009D406A">
        <w:t>.  La Cour de cassation n</w:t>
      </w:r>
      <w:r w:rsidRPr="009D406A" w:rsidR="009D406A">
        <w:t>’</w:t>
      </w:r>
      <w:r w:rsidRPr="009D406A">
        <w:t>accueillit pas davantage un moyen tiré de la violation de l</w:t>
      </w:r>
      <w:r w:rsidRPr="009D406A" w:rsidR="009D406A">
        <w:t>’</w:t>
      </w:r>
      <w:r w:rsidRPr="009D406A">
        <w:t>article 6 § 1 de la Convention et fondé sur le dépassement du délai raisonnable, en estimant que les juges d</w:t>
      </w:r>
      <w:r w:rsidRPr="009D406A" w:rsidR="009D406A">
        <w:t>’</w:t>
      </w:r>
      <w:r w:rsidRPr="009D406A">
        <w:t>appel avaient pu légalement déduire des éléments constatés par eux « que le délai raisonnable dans lequel le [requérant] avait droit à ce que sa cause fût entendue, n</w:t>
      </w:r>
      <w:r w:rsidRPr="009D406A" w:rsidR="009D406A">
        <w:t>’</w:t>
      </w:r>
      <w:r w:rsidRPr="009D406A">
        <w:t>était pas dépassé ».</w:t>
      </w:r>
    </w:p>
    <w:p w:rsidRPr="009D406A" w:rsidR="00DA3E62" w:rsidP="009D406A" w:rsidRDefault="00DA3E62" w14:paraId="32CCEA06" w14:textId="77777777">
      <w:pPr>
        <w:pStyle w:val="JuHHead"/>
        <w:numPr>
          <w:ilvl w:val="0"/>
          <w:numId w:val="1"/>
        </w:numPr>
      </w:pPr>
      <w:bookmarkStart w:name="_Hlk36127227" w:id="11"/>
      <w:r w:rsidRPr="009D406A">
        <w:rPr>
          <w:caps w:val="0"/>
        </w:rPr>
        <w:t>LE CADRE JURIDIQUE ET LA PRATIQUE INTERNES PERTINENTS</w:t>
      </w:r>
    </w:p>
    <w:bookmarkStart w:name="DroitInterneAssistance" w:id="12"/>
    <w:bookmarkStart w:name="_Hlk36127236" w:id="13"/>
    <w:bookmarkEnd w:id="11"/>
    <w:p w:rsidRPr="009D406A" w:rsidR="00DA3E62" w:rsidP="009D406A" w:rsidRDefault="00DA3E62" w14:paraId="7A3AC324" w14:textId="4714E7F6">
      <w:pPr>
        <w:pStyle w:val="JuPara"/>
      </w:pPr>
      <w:r w:rsidRPr="009D406A">
        <w:fldChar w:fldCharType="begin"/>
      </w:r>
      <w:r w:rsidRPr="009D406A">
        <w:instrText xml:space="preserve"> SEQ level0 \*arabic </w:instrText>
      </w:r>
      <w:r w:rsidRPr="009D406A">
        <w:fldChar w:fldCharType="separate"/>
      </w:r>
      <w:r w:rsidRPr="009D406A" w:rsidR="009D406A">
        <w:rPr>
          <w:noProof/>
        </w:rPr>
        <w:t>21</w:t>
      </w:r>
      <w:r w:rsidRPr="009D406A">
        <w:fldChar w:fldCharType="end"/>
      </w:r>
      <w:bookmarkEnd w:id="12"/>
      <w:r w:rsidRPr="009D406A">
        <w:t>.  Les dispositions pertinentes relatives à l</w:t>
      </w:r>
      <w:r w:rsidRPr="009D406A" w:rsidR="009D406A">
        <w:t>’</w:t>
      </w:r>
      <w:r w:rsidRPr="009D406A">
        <w:t>assistance de l</w:t>
      </w:r>
      <w:r w:rsidRPr="009D406A" w:rsidR="009D406A">
        <w:t>’</w:t>
      </w:r>
      <w:r w:rsidRPr="009D406A">
        <w:t>avocat durant la phase préliminaire du procès pénal à l</w:t>
      </w:r>
      <w:r w:rsidRPr="009D406A" w:rsidR="009D406A">
        <w:t>’</w:t>
      </w:r>
      <w:r w:rsidRPr="009D406A">
        <w:t>époque des faits de l</w:t>
      </w:r>
      <w:r w:rsidRPr="009D406A" w:rsidR="009D406A">
        <w:t>’</w:t>
      </w:r>
      <w:r w:rsidRPr="009D406A">
        <w:t xml:space="preserve">affaire sont décrites dans </w:t>
      </w:r>
      <w:r w:rsidRPr="009D406A">
        <w:rPr>
          <w:i/>
        </w:rPr>
        <w:t>Beuze c. Belgique</w:t>
      </w:r>
      <w:r w:rsidRPr="009D406A">
        <w:t xml:space="preserve"> [GC] (n</w:t>
      </w:r>
      <w:r w:rsidRPr="009D406A">
        <w:rPr>
          <w:vertAlign w:val="superscript"/>
        </w:rPr>
        <w:t>o</w:t>
      </w:r>
      <w:r w:rsidRPr="009D406A">
        <w:t xml:space="preserve"> 71409/10, §§ 49-77, 9 novembre 2018). Il est notamment rappelé que, par exception au reste de la phase de l</w:t>
      </w:r>
      <w:r w:rsidRPr="009D406A" w:rsidR="009D406A">
        <w:t>’</w:t>
      </w:r>
      <w:r w:rsidRPr="009D406A">
        <w:t>instruction judiciaire, couverte par le secret de l</w:t>
      </w:r>
      <w:r w:rsidRPr="009D406A" w:rsidR="009D406A">
        <w:t>’</w:t>
      </w:r>
      <w:r w:rsidRPr="009D406A">
        <w:t>instruction et sans possibilité pour l</w:t>
      </w:r>
      <w:r w:rsidRPr="009D406A" w:rsidR="009D406A">
        <w:t>’</w:t>
      </w:r>
      <w:r w:rsidRPr="009D406A">
        <w:t>avocat d</w:t>
      </w:r>
      <w:r w:rsidRPr="009D406A" w:rsidR="009D406A">
        <w:t>’</w:t>
      </w:r>
      <w:r w:rsidRPr="009D406A">
        <w:t>assister aux auditions, l</w:t>
      </w:r>
      <w:r w:rsidRPr="009D406A" w:rsidR="009D406A">
        <w:t>’</w:t>
      </w:r>
      <w:r w:rsidRPr="009D406A">
        <w:t>article</w:t>
      </w:r>
      <w:r w:rsidRPr="009D406A" w:rsidR="00F8540D">
        <w:t> </w:t>
      </w:r>
      <w:r w:rsidRPr="009D406A">
        <w:t>22, alinéa</w:t>
      </w:r>
      <w:r w:rsidRPr="009D406A" w:rsidR="00F8540D">
        <w:t> </w:t>
      </w:r>
      <w:r w:rsidRPr="009D406A">
        <w:t>2, de la loi du 20 juillet 1990 relative à la détention préventive prévoyait la possibilité pour l</w:t>
      </w:r>
      <w:r w:rsidRPr="009D406A" w:rsidR="009D406A">
        <w:t>’</w:t>
      </w:r>
      <w:r w:rsidRPr="009D406A">
        <w:t>avocat d</w:t>
      </w:r>
      <w:r w:rsidRPr="009D406A" w:rsidR="009D406A">
        <w:t>’</w:t>
      </w:r>
      <w:r w:rsidRPr="009D406A">
        <w:t>assister à l</w:t>
      </w:r>
      <w:r w:rsidRPr="009D406A" w:rsidR="009D406A">
        <w:t>’</w:t>
      </w:r>
      <w:r w:rsidRPr="009D406A">
        <w:t>interrogatoire récapitulatif devant le juge d</w:t>
      </w:r>
      <w:r w:rsidRPr="009D406A" w:rsidR="009D406A">
        <w:t>’</w:t>
      </w:r>
      <w:r w:rsidRPr="009D406A">
        <w:t>instruction. Cette disposition était ainsi formulée avant sa modification par la loi du 13 août 2011 modifiant le code d</w:t>
      </w:r>
      <w:r w:rsidRPr="009D406A" w:rsidR="009D406A">
        <w:t>’</w:t>
      </w:r>
      <w:r w:rsidRPr="009D406A">
        <w:t>instruction criminelle et la loi relative à la détention préventive, entrée en vigueur le 1</w:t>
      </w:r>
      <w:r w:rsidRPr="009D406A">
        <w:rPr>
          <w:vertAlign w:val="superscript"/>
        </w:rPr>
        <w:t>er</w:t>
      </w:r>
      <w:r w:rsidRPr="009D406A">
        <w:t xml:space="preserve"> janvier 2012 (dite « loi </w:t>
      </w:r>
      <w:proofErr w:type="spellStart"/>
      <w:r w:rsidRPr="009D406A">
        <w:t>Salduz</w:t>
      </w:r>
      <w:proofErr w:type="spellEnd"/>
      <w:r w:rsidRPr="009D406A">
        <w:t xml:space="preserve"> ») :</w:t>
      </w:r>
    </w:p>
    <w:p w:rsidRPr="009D406A" w:rsidR="00DA3E62" w:rsidP="009D406A" w:rsidRDefault="00DA3E62" w14:paraId="3B5D298D" w14:textId="6205D76E">
      <w:pPr>
        <w:pStyle w:val="JuQuot"/>
      </w:pPr>
      <w:r w:rsidRPr="009D406A">
        <w:t>« Sur requête de l</w:t>
      </w:r>
      <w:r w:rsidRPr="009D406A" w:rsidR="009D406A">
        <w:t>’</w:t>
      </w:r>
      <w:r w:rsidRPr="009D406A">
        <w:t>inculpé ou de son conseil, le juge d</w:t>
      </w:r>
      <w:r w:rsidRPr="009D406A" w:rsidR="009D406A">
        <w:t>’</w:t>
      </w:r>
      <w:r w:rsidRPr="009D406A">
        <w:t>instruction convoque l</w:t>
      </w:r>
      <w:r w:rsidRPr="009D406A" w:rsidR="009D406A">
        <w:t>’</w:t>
      </w:r>
      <w:r w:rsidRPr="009D406A">
        <w:t>inculpé dans les dix jours qui précèdent chaque comparution en chambre du conseil ou en chambre des mises en accusation statuant sur renvoi conformément à l</w:t>
      </w:r>
      <w:r w:rsidRPr="009D406A" w:rsidR="009D406A">
        <w:t>’</w:t>
      </w:r>
      <w:r w:rsidRPr="009D406A">
        <w:t>article 31, § 4 pour un interrogatoire récapitulatif ; le greffier notifie immédiatement et par écrit ou par télécopieur la convocation au conseil de l</w:t>
      </w:r>
      <w:r w:rsidRPr="009D406A" w:rsidR="009D406A">
        <w:t>’</w:t>
      </w:r>
      <w:r w:rsidRPr="009D406A">
        <w:t>inculpé et au procureur du Roi, lesquels peuvent assister à cet interrogatoire. »</w:t>
      </w:r>
    </w:p>
    <w:bookmarkStart w:name="DroitInterneArt21ter" w:id="14"/>
    <w:p w:rsidRPr="009D406A" w:rsidR="00DA3E62" w:rsidP="009D406A" w:rsidRDefault="00DA3E62" w14:paraId="000FC83D" w14:textId="3530EEFA">
      <w:pPr>
        <w:pStyle w:val="JuPara"/>
      </w:pPr>
      <w:r w:rsidRPr="009D406A">
        <w:fldChar w:fldCharType="begin"/>
      </w:r>
      <w:r w:rsidRPr="009D406A">
        <w:instrText xml:space="preserve"> SEQ level0 \*arabic </w:instrText>
      </w:r>
      <w:r w:rsidRPr="009D406A">
        <w:fldChar w:fldCharType="separate"/>
      </w:r>
      <w:r w:rsidRPr="009D406A" w:rsidR="009D406A">
        <w:rPr>
          <w:noProof/>
        </w:rPr>
        <w:t>22</w:t>
      </w:r>
      <w:r w:rsidRPr="009D406A">
        <w:fldChar w:fldCharType="end"/>
      </w:r>
      <w:bookmarkEnd w:id="14"/>
      <w:r w:rsidRPr="009D406A">
        <w:t>.  L</w:t>
      </w:r>
      <w:r w:rsidRPr="009D406A" w:rsidR="009D406A">
        <w:t>’</w:t>
      </w:r>
      <w:r w:rsidRPr="009D406A">
        <w:t>article 21</w:t>
      </w:r>
      <w:r w:rsidRPr="009D406A">
        <w:rPr>
          <w:i/>
          <w:iCs/>
        </w:rPr>
        <w:t>ter </w:t>
      </w:r>
      <w:r w:rsidRPr="009D406A">
        <w:t>du titre préliminaire du Code d</w:t>
      </w:r>
      <w:r w:rsidRPr="009D406A" w:rsidR="009D406A">
        <w:t>’</w:t>
      </w:r>
      <w:r w:rsidRPr="009D406A">
        <w:t>instruction criminelle dispose que, si un dépassement du délai raisonnable est constaté au préjudice du prévenu, le juge du fond peut prononcer la condamnation par simple déclaration de culpabilité ou prononcer une peine inférieure à la peine minimale prévue par la loi. Le juge du fond peut aussi prononcer une peine prévue par la loi mais réduite de manière réelle et mesurable par rapport à celle qu</w:t>
      </w:r>
      <w:r w:rsidRPr="009D406A" w:rsidR="009D406A">
        <w:t>’</w:t>
      </w:r>
      <w:r w:rsidRPr="009D406A">
        <w:t>il aurait infligée s</w:t>
      </w:r>
      <w:r w:rsidRPr="009D406A" w:rsidR="009D406A">
        <w:t>’</w:t>
      </w:r>
      <w:r w:rsidRPr="009D406A">
        <w:t>il n</w:t>
      </w:r>
      <w:r w:rsidRPr="009D406A" w:rsidR="009D406A">
        <w:t>’</w:t>
      </w:r>
      <w:r w:rsidRPr="009D406A">
        <w:t>avait pas constaté la durée excessive de la procédure (voir, par exemple, Cass. 25</w:t>
      </w:r>
      <w:r w:rsidRPr="009D406A" w:rsidR="00F8540D">
        <w:t> </w:t>
      </w:r>
      <w:r w:rsidRPr="009D406A">
        <w:t>janvier 2012, P.11.1104.F ; Cass. 18 septembre 2012, P.12.0349.N ; Cass. 30</w:t>
      </w:r>
      <w:r w:rsidRPr="009D406A" w:rsidR="00F8540D">
        <w:t> </w:t>
      </w:r>
      <w:r w:rsidRPr="009D406A">
        <w:t>avril 2013, P.12.1133.N ; Cass. 7 octobre 2014, P.14.0506.N).</w:t>
      </w:r>
      <w:bookmarkEnd w:id="13"/>
    </w:p>
    <w:p w:rsidRPr="009D406A" w:rsidR="00DA3E62" w:rsidP="009D406A" w:rsidRDefault="00DA3E62" w14:paraId="7881809B" w14:textId="77777777">
      <w:pPr>
        <w:pStyle w:val="JuHHead"/>
      </w:pPr>
      <w:bookmarkStart w:name="_Hlk36127250" w:id="15"/>
      <w:r w:rsidRPr="009D406A">
        <w:rPr>
          <w:caps w:val="0"/>
        </w:rPr>
        <w:t>EN DROIT</w:t>
      </w:r>
    </w:p>
    <w:bookmarkEnd w:id="15"/>
    <w:p w:rsidRPr="009D406A" w:rsidR="00DA3E62" w:rsidP="009D406A" w:rsidRDefault="00DA3E62" w14:paraId="1B2FC036" w14:textId="57E9F5F2">
      <w:pPr>
        <w:pStyle w:val="JuHIRoman"/>
      </w:pPr>
      <w:r w:rsidRPr="009D406A">
        <w:t>SUR LA VIOLATION ALLÉGUÉE DE L</w:t>
      </w:r>
      <w:r w:rsidRPr="009D406A" w:rsidR="009D406A">
        <w:t>’</w:t>
      </w:r>
      <w:r w:rsidRPr="009D406A">
        <w:t>ARTICLE 6 § 1 DE LA CONVENTION (ÉQUITÉ DU PROCÈS)</w:t>
      </w:r>
    </w:p>
    <w:p w:rsidRPr="009D406A" w:rsidR="00DA3E62" w:rsidP="009D406A" w:rsidRDefault="00DA3E62" w14:paraId="11ED8926" w14:textId="5783C734">
      <w:pPr>
        <w:pStyle w:val="JuPara"/>
      </w:pPr>
      <w:r w:rsidRPr="009D406A">
        <w:fldChar w:fldCharType="begin"/>
      </w:r>
      <w:r w:rsidRPr="009D406A">
        <w:instrText xml:space="preserve"> SEQ level0 \*arabic </w:instrText>
      </w:r>
      <w:r w:rsidRPr="009D406A">
        <w:fldChar w:fldCharType="separate"/>
      </w:r>
      <w:r w:rsidRPr="009D406A" w:rsidR="009D406A">
        <w:rPr>
          <w:noProof/>
        </w:rPr>
        <w:t>23</w:t>
      </w:r>
      <w:r w:rsidRPr="009D406A">
        <w:fldChar w:fldCharType="end"/>
      </w:r>
      <w:r w:rsidRPr="009D406A">
        <w:t>.  Le requérant allègue que le fait d</w:t>
      </w:r>
      <w:r w:rsidRPr="009D406A" w:rsidR="009D406A">
        <w:t>’</w:t>
      </w:r>
      <w:r w:rsidRPr="009D406A">
        <w:t>avoir été privé du droit d</w:t>
      </w:r>
      <w:r w:rsidRPr="009D406A" w:rsidR="009D406A">
        <w:t>’</w:t>
      </w:r>
      <w:r w:rsidRPr="009D406A">
        <w:t>accès à un avocat lors de sa détention préventive et durant les auditions et interrogatoires menés durant la phase préalable au procès, notamment durant l</w:t>
      </w:r>
      <w:r w:rsidRPr="009D406A" w:rsidR="009D406A">
        <w:t>’</w:t>
      </w:r>
      <w:r w:rsidRPr="009D406A">
        <w:t>interrogatoire récapitulatif du 17 décembre 2003, a emporté violation de son droit à un procès équitable garanti par l</w:t>
      </w:r>
      <w:r w:rsidRPr="009D406A" w:rsidR="009D406A">
        <w:t>’</w:t>
      </w:r>
      <w:r w:rsidRPr="009D406A">
        <w:t>article 6 §§ 1 et 3</w:t>
      </w:r>
      <w:r w:rsidRPr="009D406A" w:rsidR="00F8540D">
        <w:t> </w:t>
      </w:r>
      <w:r w:rsidRPr="009D406A">
        <w:t>c) de la Convention. Ces dispositions sont ainsi libellées :</w:t>
      </w:r>
    </w:p>
    <w:p w:rsidRPr="009D406A" w:rsidR="00DA3E62" w:rsidP="009D406A" w:rsidRDefault="00DA3E62" w14:paraId="60B32CC0" w14:textId="77777777">
      <w:pPr>
        <w:pStyle w:val="JuQuot"/>
      </w:pPr>
      <w:r w:rsidRPr="009D406A">
        <w:t>« 1.  Toute personne a droit à ce que sa cause soit entendue équitablement, publiquement (...) par un tribunal (...) qui décidera (...) du bien-fondé de toute accusation en matière pénale dirigée contre elle. (...)</w:t>
      </w:r>
    </w:p>
    <w:p w:rsidRPr="009D406A" w:rsidR="00DA3E62" w:rsidP="009D406A" w:rsidRDefault="00DA3E62" w14:paraId="54C8B98F" w14:textId="77777777">
      <w:pPr>
        <w:pStyle w:val="JuQuot"/>
      </w:pPr>
      <w:r w:rsidRPr="009D406A">
        <w:t>(...)</w:t>
      </w:r>
    </w:p>
    <w:p w:rsidRPr="009D406A" w:rsidR="00DA3E62" w:rsidP="009D406A" w:rsidRDefault="00DA3E62" w14:paraId="33838DCC" w14:textId="77777777">
      <w:pPr>
        <w:pStyle w:val="JuQuot"/>
      </w:pPr>
      <w:r w:rsidRPr="009D406A">
        <w:t xml:space="preserve">3.  Tout accusé </w:t>
      </w:r>
      <w:proofErr w:type="gramStart"/>
      <w:r w:rsidRPr="009D406A">
        <w:t>a</w:t>
      </w:r>
      <w:proofErr w:type="gramEnd"/>
      <w:r w:rsidRPr="009D406A">
        <w:t xml:space="preserve"> droit notamment à :</w:t>
      </w:r>
    </w:p>
    <w:p w:rsidRPr="009D406A" w:rsidR="00DA3E62" w:rsidP="009D406A" w:rsidRDefault="00DA3E62" w14:paraId="58E3A5B2" w14:textId="77777777">
      <w:pPr>
        <w:pStyle w:val="JuQuot"/>
      </w:pPr>
      <w:r w:rsidRPr="009D406A">
        <w:t>(...)</w:t>
      </w:r>
    </w:p>
    <w:p w:rsidRPr="009D406A" w:rsidR="00DA3E62" w:rsidP="009D406A" w:rsidRDefault="00DA3E62" w14:paraId="30588EA8" w14:textId="51BB7604">
      <w:pPr>
        <w:pStyle w:val="JuQuot"/>
      </w:pPr>
      <w:r w:rsidRPr="009D406A">
        <w:t>c)  se défendre lui-même ou avoir l</w:t>
      </w:r>
      <w:r w:rsidRPr="009D406A" w:rsidR="009D406A">
        <w:t>’</w:t>
      </w:r>
      <w:r w:rsidRPr="009D406A">
        <w:t>assistance d</w:t>
      </w:r>
      <w:r w:rsidRPr="009D406A" w:rsidR="009D406A">
        <w:t>’</w:t>
      </w:r>
      <w:r w:rsidRPr="009D406A">
        <w:t>un défenseur de son choix et, s</w:t>
      </w:r>
      <w:r w:rsidRPr="009D406A" w:rsidR="009D406A">
        <w:t>’</w:t>
      </w:r>
      <w:r w:rsidRPr="009D406A">
        <w:t>il n</w:t>
      </w:r>
      <w:r w:rsidRPr="009D406A" w:rsidR="009D406A">
        <w:t>’</w:t>
      </w:r>
      <w:r w:rsidRPr="009D406A">
        <w:t>a pas les moyens de rémunérer un défenseur, pouvoir être assisté gratuitement par un avocat d</w:t>
      </w:r>
      <w:r w:rsidRPr="009D406A" w:rsidR="009D406A">
        <w:t>’</w:t>
      </w:r>
      <w:r w:rsidRPr="009D406A">
        <w:t>office, lorsque les intérêts de la justice l</w:t>
      </w:r>
      <w:r w:rsidRPr="009D406A" w:rsidR="009D406A">
        <w:t>’</w:t>
      </w:r>
      <w:r w:rsidRPr="009D406A">
        <w:t>exigent ; »</w:t>
      </w:r>
    </w:p>
    <w:p w:rsidRPr="009D406A" w:rsidR="00DA3E62" w:rsidP="009D406A" w:rsidRDefault="00DA3E62" w14:paraId="50659993" w14:textId="77777777">
      <w:pPr>
        <w:pStyle w:val="JuHA"/>
        <w:ind w:left="1191"/>
      </w:pPr>
      <w:r w:rsidRPr="009D406A">
        <w:t>Sur la recevabilité</w:t>
      </w:r>
    </w:p>
    <w:p w:rsidRPr="009D406A" w:rsidR="00DA3E62" w:rsidP="009D406A" w:rsidRDefault="00DA3E62" w14:paraId="64C16E5F" w14:textId="12E244F2">
      <w:pPr>
        <w:pStyle w:val="JuPara"/>
      </w:pPr>
      <w:r w:rsidRPr="009D406A">
        <w:fldChar w:fldCharType="begin"/>
      </w:r>
      <w:r w:rsidRPr="009D406A">
        <w:instrText xml:space="preserve"> SEQ level0 \*arabic </w:instrText>
      </w:r>
      <w:r w:rsidRPr="009D406A">
        <w:fldChar w:fldCharType="separate"/>
      </w:r>
      <w:r w:rsidRPr="009D406A" w:rsidR="009D406A">
        <w:rPr>
          <w:noProof/>
        </w:rPr>
        <w:t>24</w:t>
      </w:r>
      <w:r w:rsidRPr="009D406A">
        <w:fldChar w:fldCharType="end"/>
      </w:r>
      <w:r w:rsidRPr="009D406A">
        <w:t>.  Constatant que ce grief n</w:t>
      </w:r>
      <w:r w:rsidRPr="009D406A" w:rsidR="009D406A">
        <w:t>’</w:t>
      </w:r>
      <w:r w:rsidRPr="009D406A">
        <w:t>est pas manifestement mal fondé au sens de l</w:t>
      </w:r>
      <w:r w:rsidRPr="009D406A" w:rsidR="009D406A">
        <w:t>’</w:t>
      </w:r>
      <w:r w:rsidRPr="009D406A">
        <w:t>article 35 § 3 a) de la Convention et qu</w:t>
      </w:r>
      <w:r w:rsidRPr="009D406A" w:rsidR="009D406A">
        <w:t>’</w:t>
      </w:r>
      <w:r w:rsidRPr="009D406A">
        <w:t>il ne se heurte par ailleurs à aucun autre motif d</w:t>
      </w:r>
      <w:r w:rsidRPr="009D406A" w:rsidR="009D406A">
        <w:t>’</w:t>
      </w:r>
      <w:r w:rsidRPr="009D406A">
        <w:t>irrecevabilité, la Cour le déclare recevable.</w:t>
      </w:r>
    </w:p>
    <w:p w:rsidRPr="009D406A" w:rsidR="00DA3E62" w:rsidP="009D406A" w:rsidRDefault="00DA3E62" w14:paraId="6BB427C6" w14:textId="77777777">
      <w:pPr>
        <w:pStyle w:val="JuHA"/>
        <w:ind w:left="1191"/>
      </w:pPr>
      <w:r w:rsidRPr="009D406A">
        <w:t>Sur le fond</w:t>
      </w:r>
    </w:p>
    <w:p w:rsidRPr="009D406A" w:rsidR="00DA3E62" w:rsidP="009D406A" w:rsidRDefault="00DA3E62" w14:paraId="7966BB08" w14:textId="77777777">
      <w:pPr>
        <w:pStyle w:val="JuH1"/>
      </w:pPr>
      <w:r w:rsidRPr="009D406A">
        <w:t>Thèses des parties</w:t>
      </w:r>
    </w:p>
    <w:p w:rsidRPr="009D406A" w:rsidR="00DA3E62" w:rsidP="009D406A" w:rsidRDefault="00DA3E62" w14:paraId="75221585" w14:textId="0C0439D8">
      <w:pPr>
        <w:pStyle w:val="JuPara"/>
      </w:pPr>
      <w:r w:rsidRPr="009D406A">
        <w:fldChar w:fldCharType="begin"/>
      </w:r>
      <w:r w:rsidRPr="009D406A">
        <w:instrText xml:space="preserve"> SEQ level0 \*arabic </w:instrText>
      </w:r>
      <w:r w:rsidRPr="009D406A">
        <w:fldChar w:fldCharType="separate"/>
      </w:r>
      <w:r w:rsidRPr="009D406A" w:rsidR="009D406A">
        <w:rPr>
          <w:noProof/>
        </w:rPr>
        <w:t>25</w:t>
      </w:r>
      <w:r w:rsidRPr="009D406A">
        <w:fldChar w:fldCharType="end"/>
      </w:r>
      <w:r w:rsidRPr="009D406A">
        <w:t>.  Le requérant soutient que depuis le début de l</w:t>
      </w:r>
      <w:r w:rsidRPr="009D406A" w:rsidR="009D406A">
        <w:t>’</w:t>
      </w:r>
      <w:r w:rsidRPr="009D406A">
        <w:t>enquête il a été victime de pressions de la part des enquêteurs, dont il a fait part au magistrat instructeur. Étant donné qu</w:t>
      </w:r>
      <w:r w:rsidRPr="009D406A" w:rsidR="009D406A">
        <w:t>’</w:t>
      </w:r>
      <w:r w:rsidRPr="009D406A">
        <w:t>il ne pouvait bénéficier de la présence de son avocat durant les auditions et interrogatoires, qui lui aurait permis de s</w:t>
      </w:r>
      <w:r w:rsidRPr="009D406A" w:rsidR="009D406A">
        <w:t>’</w:t>
      </w:r>
      <w:r w:rsidRPr="009D406A">
        <w:t>exprimer plus librement, de mettre sa défense en perspective et de déjouer lesdites pressions, il a demandé qu</w:t>
      </w:r>
      <w:r w:rsidRPr="009D406A" w:rsidR="009D406A">
        <w:t>’</w:t>
      </w:r>
      <w:r w:rsidRPr="009D406A">
        <w:t>un interrogatoire récapitulatif, seule audition que la loi autorisait de mener en présence du conseil, soit organisé. Si un tel interrogatoire a bien eu lieu, il l</w:t>
      </w:r>
      <w:r w:rsidRPr="009D406A" w:rsidR="009D406A">
        <w:t>’</w:t>
      </w:r>
      <w:r w:rsidRPr="009D406A">
        <w:t>a été en français et sans la présence de son avocat. Or, au cours de cette audition, le requérant, sous la pression, a fait des déclarations qui l</w:t>
      </w:r>
      <w:r w:rsidRPr="009D406A" w:rsidR="009D406A">
        <w:t>’</w:t>
      </w:r>
      <w:r w:rsidRPr="009D406A">
        <w:t>ont incriminé. Il n</w:t>
      </w:r>
      <w:r w:rsidRPr="009D406A" w:rsidR="009D406A">
        <w:t>’</w:t>
      </w:r>
      <w:r w:rsidRPr="009D406A">
        <w:t>a cessé ensuite de demander de procéder à un nouvel interrogatoire en présence de son avocat. La chambre des mises en accusation a sanctionné l</w:t>
      </w:r>
      <w:r w:rsidRPr="009D406A" w:rsidR="009D406A">
        <w:t>’</w:t>
      </w:r>
      <w:r w:rsidRPr="009D406A">
        <w:t>irrégularité de la procédure du point de vue de la loi sur l</w:t>
      </w:r>
      <w:r w:rsidRPr="009D406A" w:rsidR="009D406A">
        <w:t>’</w:t>
      </w:r>
      <w:r w:rsidRPr="009D406A">
        <w:t>emploi des langues en matière judiciaire en annulant le procès-verbal du 17 décembre 2003, mais il n</w:t>
      </w:r>
      <w:r w:rsidRPr="009D406A" w:rsidR="009D406A">
        <w:t>’</w:t>
      </w:r>
      <w:r w:rsidRPr="009D406A">
        <w:t xml:space="preserve">a jamais été donné </w:t>
      </w:r>
      <w:proofErr w:type="gramStart"/>
      <w:r w:rsidRPr="009D406A">
        <w:t>suite à</w:t>
      </w:r>
      <w:proofErr w:type="gramEnd"/>
      <w:r w:rsidRPr="009D406A">
        <w:t xml:space="preserve"> cet arrêt. En effet, ce procès</w:t>
      </w:r>
      <w:r w:rsidRPr="009D406A" w:rsidR="0017584D">
        <w:noBreakHyphen/>
      </w:r>
      <w:r w:rsidRPr="009D406A">
        <w:t>verbal n</w:t>
      </w:r>
      <w:r w:rsidRPr="009D406A" w:rsidR="009D406A">
        <w:t>’</w:t>
      </w:r>
      <w:r w:rsidRPr="009D406A">
        <w:t>a pas été retiré du dossier et un interrogatoire récapitulatif en néerlandais et en présence d</w:t>
      </w:r>
      <w:r w:rsidRPr="009D406A" w:rsidR="009D406A">
        <w:t>’</w:t>
      </w:r>
      <w:r w:rsidRPr="009D406A">
        <w:t>un avocat n</w:t>
      </w:r>
      <w:r w:rsidRPr="009D406A" w:rsidR="009D406A">
        <w:t>’</w:t>
      </w:r>
      <w:r w:rsidRPr="009D406A">
        <w:t>a pas été organisé. Affirmer qu</w:t>
      </w:r>
      <w:r w:rsidRPr="009D406A" w:rsidR="009D406A">
        <w:t>’</w:t>
      </w:r>
      <w:r w:rsidRPr="009D406A">
        <w:t>il aurait toujours été loisible au requérant de s</w:t>
      </w:r>
      <w:r w:rsidRPr="009D406A" w:rsidR="009D406A">
        <w:t>’</w:t>
      </w:r>
      <w:r w:rsidRPr="009D406A">
        <w:t>exprimer devant les juges du fond, ne tient pas compte de la difficulté de se défendre à propos de faits anciens qui n</w:t>
      </w:r>
      <w:r w:rsidRPr="009D406A" w:rsidR="009D406A">
        <w:t>’</w:t>
      </w:r>
      <w:r w:rsidRPr="009D406A">
        <w:t>ont pas été enquêtés dans le respect des droits de la défense. Il faut aussi tenir compte du refus du juge d</w:t>
      </w:r>
      <w:r w:rsidRPr="009D406A" w:rsidR="009D406A">
        <w:t>’</w:t>
      </w:r>
      <w:r w:rsidRPr="009D406A">
        <w:t>instruction d</w:t>
      </w:r>
      <w:r w:rsidRPr="009D406A" w:rsidR="009D406A">
        <w:t>’</w:t>
      </w:r>
      <w:r w:rsidRPr="009D406A">
        <w:t>effectuer des devoirs complémentaires qui auraient permis au requérant de mettre certains faits dans une perspective plus proche de sa stratégie de défense. En définitive, non seulement le procès-verbal de l</w:t>
      </w:r>
      <w:r w:rsidRPr="009D406A" w:rsidR="009D406A">
        <w:t>’</w:t>
      </w:r>
      <w:r w:rsidRPr="009D406A">
        <w:t>interrogatoire irrégulier est resté dans le dossier jusqu</w:t>
      </w:r>
      <w:r w:rsidRPr="009D406A" w:rsidR="009D406A">
        <w:t>’</w:t>
      </w:r>
      <w:r w:rsidRPr="009D406A">
        <w:t>en appel mais de plus les juges d</w:t>
      </w:r>
      <w:r w:rsidRPr="009D406A" w:rsidR="009D406A">
        <w:t>’</w:t>
      </w:r>
      <w:r w:rsidRPr="009D406A">
        <w:t>appel se sont référés, pour établir plusieurs préventions, aux déclarations faites par le requérant au cours d</w:t>
      </w:r>
      <w:r w:rsidRPr="009D406A" w:rsidR="009D406A">
        <w:t>’</w:t>
      </w:r>
      <w:r w:rsidRPr="009D406A">
        <w:t>auditions menées sans avocat. La mention « à titre surabondant » ne saurait masquer que ces déclarations ont nécessairement eu un impact sur la conviction des juges pour fonder leur décision sur sa culpabilité.</w:t>
      </w:r>
    </w:p>
    <w:p w:rsidRPr="009D406A" w:rsidR="00DA3E62" w:rsidP="009D406A" w:rsidRDefault="00DA3E62" w14:paraId="37A073A5" w14:textId="02084B5D">
      <w:pPr>
        <w:pStyle w:val="JuPara"/>
      </w:pPr>
      <w:r w:rsidRPr="009D406A">
        <w:fldChar w:fldCharType="begin"/>
      </w:r>
      <w:r w:rsidRPr="009D406A">
        <w:instrText xml:space="preserve"> SEQ level0 \*arabic </w:instrText>
      </w:r>
      <w:r w:rsidRPr="009D406A">
        <w:fldChar w:fldCharType="separate"/>
      </w:r>
      <w:r w:rsidRPr="009D406A" w:rsidR="009D406A">
        <w:rPr>
          <w:noProof/>
        </w:rPr>
        <w:t>26</w:t>
      </w:r>
      <w:r w:rsidRPr="009D406A">
        <w:fldChar w:fldCharType="end"/>
      </w:r>
      <w:r w:rsidRPr="009D406A">
        <w:t>.  Le Gouvernement souligne que le procès-verbal litigieux a été annulé sur la base de la loi sur l</w:t>
      </w:r>
      <w:r w:rsidRPr="009D406A" w:rsidR="009D406A">
        <w:t>’</w:t>
      </w:r>
      <w:r w:rsidRPr="009D406A">
        <w:t>emploi des langues en matière judiciaire et non en raison de l</w:t>
      </w:r>
      <w:r w:rsidRPr="009D406A" w:rsidR="009D406A">
        <w:t>’</w:t>
      </w:r>
      <w:r w:rsidRPr="009D406A">
        <w:t>absence de l</w:t>
      </w:r>
      <w:r w:rsidRPr="009D406A" w:rsidR="009D406A">
        <w:t>’</w:t>
      </w:r>
      <w:r w:rsidRPr="009D406A">
        <w:t>avocat du requérant. Par ailleurs, le requérant a pu exposer ses arguments à ce propos devant les juridictions internes et a obtenu gain de cause puisque la cour d</w:t>
      </w:r>
      <w:r w:rsidRPr="009D406A" w:rsidR="009D406A">
        <w:t>’</w:t>
      </w:r>
      <w:r w:rsidRPr="009D406A">
        <w:t>appel a écarté ledit procès-verbal. Le Gouvernement souligne, en outre, que l</w:t>
      </w:r>
      <w:r w:rsidRPr="009D406A" w:rsidR="009D406A">
        <w:t>’</w:t>
      </w:r>
      <w:r w:rsidRPr="009D406A">
        <w:t>interrogatoire récapitulatif, à la fin de la détention préventive, permet uniquement de reprendre point par point les principaux éléments du dossier et d</w:t>
      </w:r>
      <w:r w:rsidRPr="009D406A" w:rsidR="009D406A">
        <w:t>’</w:t>
      </w:r>
      <w:r w:rsidRPr="009D406A">
        <w:t>acter les observations de l</w:t>
      </w:r>
      <w:r w:rsidRPr="009D406A" w:rsidR="009D406A">
        <w:t>’</w:t>
      </w:r>
      <w:r w:rsidRPr="009D406A">
        <w:t>inculpé à chacun d</w:t>
      </w:r>
      <w:r w:rsidRPr="009D406A" w:rsidR="009D406A">
        <w:t>’</w:t>
      </w:r>
      <w:r w:rsidRPr="009D406A">
        <w:t>eux. Il s</w:t>
      </w:r>
      <w:r w:rsidRPr="009D406A" w:rsidR="009D406A">
        <w:t>’</w:t>
      </w:r>
      <w:r w:rsidRPr="009D406A">
        <w:t>ensuit qu</w:t>
      </w:r>
      <w:r w:rsidRPr="009D406A" w:rsidR="009D406A">
        <w:t>’</w:t>
      </w:r>
      <w:r w:rsidRPr="009D406A">
        <w:t>aucune violation des droits de la défense ne pouvait être déduite du défaut d</w:t>
      </w:r>
      <w:r w:rsidRPr="009D406A" w:rsidR="009D406A">
        <w:t>’</w:t>
      </w:r>
      <w:r w:rsidRPr="009D406A">
        <w:t>organisation d</w:t>
      </w:r>
      <w:r w:rsidRPr="009D406A" w:rsidR="009D406A">
        <w:t>’</w:t>
      </w:r>
      <w:r w:rsidRPr="009D406A">
        <w:t>un nouvel interrogatoire récapitulatif puisque le requérant a ensuite eu la possibilité de s</w:t>
      </w:r>
      <w:r w:rsidRPr="009D406A" w:rsidR="009D406A">
        <w:t>’</w:t>
      </w:r>
      <w:r w:rsidRPr="009D406A">
        <w:t>expliquer sur les faits qui lui étaient reprochés devant les juridictions du fond. Quant à l</w:t>
      </w:r>
      <w:r w:rsidRPr="009D406A" w:rsidR="009D406A">
        <w:t>’</w:t>
      </w:r>
      <w:r w:rsidRPr="009D406A">
        <w:t>absence d</w:t>
      </w:r>
      <w:r w:rsidRPr="009D406A" w:rsidR="009D406A">
        <w:t>’</w:t>
      </w:r>
      <w:r w:rsidRPr="009D406A">
        <w:t>un avocat au cours de l</w:t>
      </w:r>
      <w:r w:rsidRPr="009D406A" w:rsidR="009D406A">
        <w:t>’</w:t>
      </w:r>
      <w:r w:rsidRPr="009D406A">
        <w:t>interrogatoire récapitulatif du 17 décembre 2003 et d</w:t>
      </w:r>
      <w:r w:rsidRPr="009D406A" w:rsidR="009D406A">
        <w:t>’</w:t>
      </w:r>
      <w:r w:rsidRPr="009D406A">
        <w:t>autres auditions, le Gouvernement fait valoir que ce ne sont pas les déclarations faites pendant l</w:t>
      </w:r>
      <w:r w:rsidRPr="009D406A" w:rsidR="009D406A">
        <w:t>’</w:t>
      </w:r>
      <w:r w:rsidRPr="009D406A">
        <w:t>instruction sans la présence d</w:t>
      </w:r>
      <w:r w:rsidRPr="009D406A" w:rsidR="009D406A">
        <w:t>’</w:t>
      </w:r>
      <w:r w:rsidRPr="009D406A">
        <w:t>un conseil qui ont fondé la décision de culpabilité de la cour d</w:t>
      </w:r>
      <w:r w:rsidRPr="009D406A" w:rsidR="009D406A">
        <w:t>’</w:t>
      </w:r>
      <w:r w:rsidRPr="009D406A">
        <w:t>appel, mais bien l</w:t>
      </w:r>
      <w:r w:rsidRPr="009D406A" w:rsidR="009D406A">
        <w:t>’</w:t>
      </w:r>
      <w:r w:rsidRPr="009D406A">
        <w:t>ensemble des preuves, notamment l</w:t>
      </w:r>
      <w:r w:rsidRPr="009D406A" w:rsidR="009D406A">
        <w:t>’</w:t>
      </w:r>
      <w:r w:rsidRPr="009D406A">
        <w:t>analyse de comptes en banque et de la situation patrimoniale du requérant, les écoutes téléphoniques, les documents saisis, les auditions d</w:t>
      </w:r>
      <w:r w:rsidRPr="009D406A" w:rsidR="009D406A">
        <w:t>’</w:t>
      </w:r>
      <w:r w:rsidRPr="009D406A">
        <w:t>autres accusés et témoins, et les transferts d</w:t>
      </w:r>
      <w:r w:rsidRPr="009D406A" w:rsidR="009D406A">
        <w:t>’</w:t>
      </w:r>
      <w:r w:rsidRPr="009D406A">
        <w:t>argent. Enfin, se référant à l</w:t>
      </w:r>
      <w:r w:rsidRPr="009D406A" w:rsidR="009D406A">
        <w:t>’</w:t>
      </w:r>
      <w:r w:rsidRPr="009D406A">
        <w:t>arrêt de la Cour de cassation du 15</w:t>
      </w:r>
      <w:r w:rsidRPr="009D406A" w:rsidR="00F8540D">
        <w:t> </w:t>
      </w:r>
      <w:r w:rsidRPr="009D406A">
        <w:t>octobre 2014, le Gouvernement constate que, même si on devait considérer que la mention à titre surabondant des déclarations faites sans l</w:t>
      </w:r>
      <w:r w:rsidRPr="009D406A" w:rsidR="009D406A">
        <w:t>’</w:t>
      </w:r>
      <w:r w:rsidRPr="009D406A">
        <w:t>assistance d</w:t>
      </w:r>
      <w:r w:rsidRPr="009D406A" w:rsidR="009D406A">
        <w:t>’</w:t>
      </w:r>
      <w:r w:rsidRPr="009D406A">
        <w:t>un avocat pouvait nuire au caractère équitable du procès, cette circonstance n</w:t>
      </w:r>
      <w:r w:rsidRPr="009D406A" w:rsidR="009D406A">
        <w:t>’</w:t>
      </w:r>
      <w:r w:rsidRPr="009D406A">
        <w:t>avait en l</w:t>
      </w:r>
      <w:r w:rsidRPr="009D406A" w:rsidR="009D406A">
        <w:t>’</w:t>
      </w:r>
      <w:r w:rsidRPr="009D406A">
        <w:t>espèce pas eu d</w:t>
      </w:r>
      <w:r w:rsidRPr="009D406A" w:rsidR="009D406A">
        <w:t>’</w:t>
      </w:r>
      <w:r w:rsidRPr="009D406A">
        <w:t>impact sur la peine, celle-ci étant légalement justifiée par les autres infractions déclarées établies. Les auditions sans l</w:t>
      </w:r>
      <w:r w:rsidRPr="009D406A" w:rsidR="009D406A">
        <w:t>’</w:t>
      </w:r>
      <w:r w:rsidRPr="009D406A">
        <w:t>assistance d</w:t>
      </w:r>
      <w:r w:rsidRPr="009D406A" w:rsidR="009D406A">
        <w:t>’</w:t>
      </w:r>
      <w:r w:rsidRPr="009D406A">
        <w:t>un avocat n</w:t>
      </w:r>
      <w:r w:rsidRPr="009D406A" w:rsidR="009D406A">
        <w:t>’</w:t>
      </w:r>
      <w:r w:rsidRPr="009D406A">
        <w:t>ont donc pas nui à l</w:t>
      </w:r>
      <w:r w:rsidRPr="009D406A" w:rsidR="009D406A">
        <w:t>’</w:t>
      </w:r>
      <w:r w:rsidRPr="009D406A">
        <w:t>équité globale du procès.</w:t>
      </w:r>
    </w:p>
    <w:p w:rsidRPr="009D406A" w:rsidR="00DA3E62" w:rsidP="009D406A" w:rsidRDefault="00DA3E62" w14:paraId="2181632D" w14:textId="77777777">
      <w:pPr>
        <w:pStyle w:val="JuH1"/>
      </w:pPr>
      <w:r w:rsidRPr="009D406A">
        <w:t>Appréciation de la Cour</w:t>
      </w:r>
    </w:p>
    <w:p w:rsidRPr="009D406A" w:rsidR="00DA3E62" w:rsidP="009D406A" w:rsidRDefault="00DA3E62" w14:paraId="7BC66DD7" w14:textId="294B251C">
      <w:pPr>
        <w:pStyle w:val="JuPara"/>
      </w:pPr>
      <w:r w:rsidRPr="009D406A">
        <w:fldChar w:fldCharType="begin"/>
      </w:r>
      <w:r w:rsidRPr="009D406A">
        <w:instrText xml:space="preserve"> SEQ level0 \*arabic </w:instrText>
      </w:r>
      <w:r w:rsidRPr="009D406A">
        <w:fldChar w:fldCharType="separate"/>
      </w:r>
      <w:r w:rsidRPr="009D406A" w:rsidR="009D406A">
        <w:rPr>
          <w:noProof/>
        </w:rPr>
        <w:t>27</w:t>
      </w:r>
      <w:r w:rsidRPr="009D406A">
        <w:fldChar w:fldCharType="end"/>
      </w:r>
      <w:r w:rsidRPr="009D406A">
        <w:t>.  Les principes généraux relatifs au droit à l</w:t>
      </w:r>
      <w:r w:rsidRPr="009D406A" w:rsidR="009D406A">
        <w:t>’</w:t>
      </w:r>
      <w:r w:rsidRPr="009D406A">
        <w:t>assistance d</w:t>
      </w:r>
      <w:r w:rsidRPr="009D406A" w:rsidR="009D406A">
        <w:t>’</w:t>
      </w:r>
      <w:r w:rsidRPr="009D406A">
        <w:t xml:space="preserve">un avocat sont résumés dans </w:t>
      </w:r>
      <w:r w:rsidRPr="009D406A">
        <w:rPr>
          <w:i/>
          <w:iCs/>
        </w:rPr>
        <w:t>Beuze c. Belgique</w:t>
      </w:r>
      <w:r w:rsidRPr="009D406A">
        <w:t xml:space="preserve"> ([GC], n</w:t>
      </w:r>
      <w:r w:rsidRPr="009D406A">
        <w:rPr>
          <w:vertAlign w:val="superscript"/>
        </w:rPr>
        <w:t>o</w:t>
      </w:r>
      <w:r w:rsidRPr="009D406A">
        <w:t xml:space="preserve"> 71409/10, §§</w:t>
      </w:r>
      <w:r w:rsidRPr="009D406A" w:rsidR="0017584D">
        <w:t> </w:t>
      </w:r>
      <w:r w:rsidRPr="009D406A">
        <w:t>119-150, 9 novembre 2018), dans lequel la Cour a réaffirmé que sa préoccupation première est d</w:t>
      </w:r>
      <w:r w:rsidRPr="009D406A" w:rsidR="009D406A">
        <w:t>’</w:t>
      </w:r>
      <w:r w:rsidRPr="009D406A">
        <w:t>évaluer l</w:t>
      </w:r>
      <w:r w:rsidRPr="009D406A" w:rsidR="009D406A">
        <w:t>’</w:t>
      </w:r>
      <w:r w:rsidRPr="009D406A">
        <w:t>équité globale de la procédure pénale. La Cour rappelle également que les droits garantis par l</w:t>
      </w:r>
      <w:r w:rsidRPr="009D406A" w:rsidR="009D406A">
        <w:t>’</w:t>
      </w:r>
      <w:r w:rsidRPr="009D406A">
        <w:t>article 6 § 3 ne sont pas des fins en soi : leur but intrinsèque est toujours de contribuer à garantir l</w:t>
      </w:r>
      <w:r w:rsidRPr="009D406A" w:rsidR="009D406A">
        <w:t>’</w:t>
      </w:r>
      <w:r w:rsidRPr="009D406A">
        <w:t>équité de la procédure pénale dans son ensemble. Le respect des exigences d</w:t>
      </w:r>
      <w:r w:rsidRPr="009D406A" w:rsidR="009D406A">
        <w:t>’</w:t>
      </w:r>
      <w:r w:rsidRPr="009D406A">
        <w:t>un procès équitable doit être examiné dans chaque cas au regard de l</w:t>
      </w:r>
      <w:r w:rsidRPr="009D406A" w:rsidR="009D406A">
        <w:t>’</w:t>
      </w:r>
      <w:r w:rsidRPr="009D406A">
        <w:t>évolution de la procédure dans son ensemble et non sur la base d</w:t>
      </w:r>
      <w:r w:rsidRPr="009D406A" w:rsidR="009D406A">
        <w:t>’</w:t>
      </w:r>
      <w:r w:rsidRPr="009D406A">
        <w:t>un examen isolé d</w:t>
      </w:r>
      <w:r w:rsidRPr="009D406A" w:rsidR="009D406A">
        <w:t>’</w:t>
      </w:r>
      <w:r w:rsidRPr="009D406A">
        <w:t>un aspect particulier ou d</w:t>
      </w:r>
      <w:r w:rsidRPr="009D406A" w:rsidR="009D406A">
        <w:t>’</w:t>
      </w:r>
      <w:r w:rsidRPr="009D406A">
        <w:t>un incident particulier (</w:t>
      </w:r>
      <w:r w:rsidRPr="009D406A">
        <w:rPr>
          <w:i/>
          <w:iCs/>
        </w:rPr>
        <w:t>Beuze</w:t>
      </w:r>
      <w:r w:rsidRPr="009D406A">
        <w:t>, précité, §§</w:t>
      </w:r>
      <w:r w:rsidRPr="009D406A" w:rsidR="00F8540D">
        <w:t> </w:t>
      </w:r>
      <w:r w:rsidRPr="009D406A">
        <w:t>121</w:t>
      </w:r>
      <w:r w:rsidRPr="009D406A" w:rsidR="00F8540D">
        <w:noBreakHyphen/>
      </w:r>
      <w:r w:rsidRPr="009D406A">
        <w:t xml:space="preserve">122 et, plus récemment, </w:t>
      </w:r>
      <w:proofErr w:type="spellStart"/>
      <w:r w:rsidRPr="009D406A">
        <w:rPr>
          <w:i/>
          <w:iCs/>
        </w:rPr>
        <w:t>Sesler</w:t>
      </w:r>
      <w:proofErr w:type="spellEnd"/>
      <w:r w:rsidRPr="009D406A">
        <w:rPr>
          <w:i/>
          <w:iCs/>
        </w:rPr>
        <w:t xml:space="preserve"> c. Russie</w:t>
      </w:r>
      <w:r w:rsidRPr="009D406A">
        <w:t xml:space="preserve"> (déc.), n</w:t>
      </w:r>
      <w:r w:rsidRPr="009D406A">
        <w:rPr>
          <w:vertAlign w:val="superscript"/>
        </w:rPr>
        <w:t>o</w:t>
      </w:r>
      <w:r w:rsidRPr="009D406A" w:rsidR="0017584D">
        <w:t> </w:t>
      </w:r>
      <w:r w:rsidRPr="009D406A">
        <w:t>67772/10, §</w:t>
      </w:r>
      <w:r w:rsidRPr="009D406A" w:rsidR="00F8540D">
        <w:t> </w:t>
      </w:r>
      <w:r w:rsidRPr="009D406A">
        <w:t>20, 1</w:t>
      </w:r>
      <w:r w:rsidRPr="009D406A">
        <w:rPr>
          <w:vertAlign w:val="superscript"/>
        </w:rPr>
        <w:t>er</w:t>
      </w:r>
      <w:r w:rsidRPr="009D406A">
        <w:t> septembre 2020).</w:t>
      </w:r>
    </w:p>
    <w:p w:rsidRPr="009D406A" w:rsidR="00DA3E62" w:rsidP="009D406A" w:rsidRDefault="00DA3E62" w14:paraId="0670CFAA" w14:textId="5D890CC3">
      <w:pPr>
        <w:pStyle w:val="JuPara"/>
      </w:pPr>
      <w:r w:rsidRPr="009D406A">
        <w:fldChar w:fldCharType="begin"/>
      </w:r>
      <w:r w:rsidRPr="009D406A">
        <w:instrText xml:space="preserve"> SEQ level0 \*arabic </w:instrText>
      </w:r>
      <w:r w:rsidRPr="009D406A">
        <w:fldChar w:fldCharType="separate"/>
      </w:r>
      <w:r w:rsidRPr="009D406A" w:rsidR="009D406A">
        <w:rPr>
          <w:noProof/>
        </w:rPr>
        <w:t>28</w:t>
      </w:r>
      <w:r w:rsidRPr="009D406A">
        <w:fldChar w:fldCharType="end"/>
      </w:r>
      <w:r w:rsidRPr="009D406A">
        <w:t>.  La Cour constate que les restrictions au droit d</w:t>
      </w:r>
      <w:r w:rsidRPr="009D406A" w:rsidR="009D406A">
        <w:t>’</w:t>
      </w:r>
      <w:r w:rsidRPr="009D406A">
        <w:t>accès à un avocat dont il est question en l</w:t>
      </w:r>
      <w:r w:rsidRPr="009D406A" w:rsidR="009D406A">
        <w:t>’</w:t>
      </w:r>
      <w:r w:rsidRPr="009D406A">
        <w:t>espèce ont été d</w:t>
      </w:r>
      <w:r w:rsidRPr="009D406A" w:rsidR="009D406A">
        <w:t>’</w:t>
      </w:r>
      <w:r w:rsidRPr="009D406A">
        <w:t>une ampleur particulière, le requérant n</w:t>
      </w:r>
      <w:r w:rsidRPr="009D406A" w:rsidR="009D406A">
        <w:t>’</w:t>
      </w:r>
      <w:r w:rsidRPr="009D406A">
        <w:t>ayant pas bénéficié de la présence de son avocat au cours des auditions, interrogatoires et autres actes d</w:t>
      </w:r>
      <w:r w:rsidRPr="009D406A" w:rsidR="009D406A">
        <w:t>’</w:t>
      </w:r>
      <w:r w:rsidRPr="009D406A">
        <w:t>instruction auxquels il a été procédé lors de sa détention préventive et durant la phase d</w:t>
      </w:r>
      <w:r w:rsidRPr="009D406A" w:rsidR="009D406A">
        <w:t>’</w:t>
      </w:r>
      <w:r w:rsidRPr="009D406A">
        <w:t>instruction. Elle rappelle également qu</w:t>
      </w:r>
      <w:r w:rsidRPr="009D406A" w:rsidR="009D406A">
        <w:t>’</w:t>
      </w:r>
      <w:r w:rsidRPr="009D406A">
        <w:t>à l</w:t>
      </w:r>
      <w:r w:rsidRPr="009D406A" w:rsidR="009D406A">
        <w:t>’</w:t>
      </w:r>
      <w:r w:rsidRPr="009D406A">
        <w:t>époque des faits, les restrictions litigieuses résultaient du silence de la loi belge et de l</w:t>
      </w:r>
      <w:r w:rsidRPr="009D406A" w:rsidR="009D406A">
        <w:t>’</w:t>
      </w:r>
      <w:r w:rsidRPr="009D406A">
        <w:t>interprétation qui en avait été faite par les juridictions internes, et avaient donc une portée générale et obligatoire.</w:t>
      </w:r>
    </w:p>
    <w:p w:rsidRPr="009D406A" w:rsidR="00DA3E62" w:rsidP="009D406A" w:rsidRDefault="00DA3E62" w14:paraId="30DB584B" w14:textId="4B627EBF">
      <w:pPr>
        <w:pStyle w:val="JuPara"/>
      </w:pPr>
      <w:r w:rsidRPr="009D406A">
        <w:fldChar w:fldCharType="begin"/>
      </w:r>
      <w:r w:rsidRPr="009D406A">
        <w:instrText xml:space="preserve"> SEQ level0 \*arabic </w:instrText>
      </w:r>
      <w:r w:rsidRPr="009D406A">
        <w:fldChar w:fldCharType="separate"/>
      </w:r>
      <w:r w:rsidRPr="009D406A" w:rsidR="009D406A">
        <w:rPr>
          <w:noProof/>
        </w:rPr>
        <w:t>29</w:t>
      </w:r>
      <w:r w:rsidRPr="009D406A">
        <w:fldChar w:fldCharType="end"/>
      </w:r>
      <w:r w:rsidRPr="009D406A">
        <w:t>.</w:t>
      </w:r>
      <w:r w:rsidRPr="009D406A" w:rsidR="0017584D">
        <w:t>  </w:t>
      </w:r>
      <w:r w:rsidRPr="009D406A">
        <w:t>Partant, le Gouvernement n</w:t>
      </w:r>
      <w:r w:rsidRPr="009D406A" w:rsidR="009D406A">
        <w:t>’</w:t>
      </w:r>
      <w:r w:rsidRPr="009D406A">
        <w:t>ayant par ailleurs pas établi l</w:t>
      </w:r>
      <w:r w:rsidRPr="009D406A" w:rsidR="009D406A">
        <w:t>’</w:t>
      </w:r>
      <w:r w:rsidRPr="009D406A">
        <w:t>existence de circonstances exceptionnelles qui auraient pu justifier lesdites restrictions, la Cour constate qu</w:t>
      </w:r>
      <w:r w:rsidRPr="009D406A" w:rsidR="009D406A">
        <w:t>’</w:t>
      </w:r>
      <w:r w:rsidRPr="009D406A">
        <w:t>aucune raison impérieuse ne justifiait en l</w:t>
      </w:r>
      <w:r w:rsidRPr="009D406A" w:rsidR="009D406A">
        <w:t>’</w:t>
      </w:r>
      <w:r w:rsidRPr="009D406A">
        <w:t>espèce les restrictions susmentionnées. Elle doit dès lors évaluer l</w:t>
      </w:r>
      <w:r w:rsidRPr="009D406A" w:rsidR="009D406A">
        <w:t>’</w:t>
      </w:r>
      <w:r w:rsidRPr="009D406A">
        <w:t>équité de la procédure en opérant un contrôle très strict. La charge de la preuve visant à démontrer de manière convaincante que le requérant a néanmoins bénéficié globalement d</w:t>
      </w:r>
      <w:r w:rsidRPr="009D406A" w:rsidR="009D406A">
        <w:t>’</w:t>
      </w:r>
      <w:r w:rsidRPr="009D406A">
        <w:t xml:space="preserve">un procès pénal équitable pèse sur le Gouvernement (voir, </w:t>
      </w:r>
      <w:r w:rsidRPr="009D406A">
        <w:rPr>
          <w:i/>
          <w:iCs/>
        </w:rPr>
        <w:t>mutatis mutandis</w:t>
      </w:r>
      <w:r w:rsidRPr="009D406A">
        <w:t xml:space="preserve">, </w:t>
      </w:r>
      <w:r w:rsidRPr="009D406A">
        <w:rPr>
          <w:i/>
          <w:iCs/>
        </w:rPr>
        <w:t>Beuze</w:t>
      </w:r>
      <w:r w:rsidRPr="009D406A">
        <w:t xml:space="preserve">, précité, §§ 160-165). Pour procéder à cette appréciation, la Cour est guidée par les critères résumés dans </w:t>
      </w:r>
      <w:r w:rsidRPr="009D406A">
        <w:rPr>
          <w:i/>
          <w:iCs/>
        </w:rPr>
        <w:t>Beuze</w:t>
      </w:r>
      <w:r w:rsidRPr="009D406A">
        <w:t xml:space="preserve"> (précité, §</w:t>
      </w:r>
      <w:r w:rsidRPr="009D406A" w:rsidR="00F8540D">
        <w:t> </w:t>
      </w:r>
      <w:r w:rsidRPr="009D406A">
        <w:t xml:space="preserve">150), </w:t>
      </w:r>
      <w:bookmarkStart w:name="_Hlk66014626" w:id="16"/>
      <w:r w:rsidRPr="009D406A">
        <w:t>dans la mesure où ils sont pertinents en l</w:t>
      </w:r>
      <w:r w:rsidRPr="009D406A" w:rsidR="009D406A">
        <w:t>’</w:t>
      </w:r>
      <w:r w:rsidRPr="009D406A">
        <w:t>espèce</w:t>
      </w:r>
      <w:bookmarkEnd w:id="16"/>
      <w:r w:rsidRPr="009D406A">
        <w:t>.</w:t>
      </w:r>
    </w:p>
    <w:p w:rsidRPr="009D406A" w:rsidR="00DA3E62" w:rsidP="009D406A" w:rsidRDefault="00DA3E62" w14:paraId="69D6FD2D" w14:textId="06BAFCB5">
      <w:pPr>
        <w:pStyle w:val="JuPara"/>
      </w:pPr>
      <w:r w:rsidRPr="009D406A">
        <w:fldChar w:fldCharType="begin"/>
      </w:r>
      <w:r w:rsidRPr="009D406A">
        <w:instrText xml:space="preserve"> SEQ level0 \*arabic </w:instrText>
      </w:r>
      <w:r w:rsidRPr="009D406A">
        <w:fldChar w:fldCharType="separate"/>
      </w:r>
      <w:r w:rsidRPr="009D406A" w:rsidR="009D406A">
        <w:rPr>
          <w:noProof/>
        </w:rPr>
        <w:t>30</w:t>
      </w:r>
      <w:r w:rsidRPr="009D406A">
        <w:fldChar w:fldCharType="end"/>
      </w:r>
      <w:r w:rsidRPr="009D406A">
        <w:t>.  La Cour note tout d</w:t>
      </w:r>
      <w:r w:rsidRPr="009D406A" w:rsidR="009D406A">
        <w:t>’</w:t>
      </w:r>
      <w:r w:rsidRPr="009D406A">
        <w:t>abord que des considérations d</w:t>
      </w:r>
      <w:r w:rsidRPr="009D406A" w:rsidR="009D406A">
        <w:t>’</w:t>
      </w:r>
      <w:r w:rsidRPr="009D406A">
        <w:t>intérêt public justifiaient les poursuites du requérant, celles-ci ayant pour objet des faits de corruption organisée à large échelle.</w:t>
      </w:r>
    </w:p>
    <w:p w:rsidRPr="009D406A" w:rsidR="00DA3E62" w:rsidP="009D406A" w:rsidRDefault="00DA3E62" w14:paraId="77BB8F92" w14:textId="71A99030">
      <w:pPr>
        <w:pStyle w:val="JuPara"/>
        <w:rPr>
          <w:strike/>
        </w:rPr>
      </w:pPr>
      <w:r w:rsidRPr="009D406A">
        <w:fldChar w:fldCharType="begin"/>
      </w:r>
      <w:r w:rsidRPr="009D406A">
        <w:instrText xml:space="preserve"> SEQ level0 \*arabic </w:instrText>
      </w:r>
      <w:r w:rsidRPr="009D406A">
        <w:fldChar w:fldCharType="separate"/>
      </w:r>
      <w:r w:rsidRPr="009D406A" w:rsidR="009D406A">
        <w:rPr>
          <w:noProof/>
        </w:rPr>
        <w:t>31</w:t>
      </w:r>
      <w:r w:rsidRPr="009D406A">
        <w:fldChar w:fldCharType="end"/>
      </w:r>
      <w:r w:rsidRPr="009D406A">
        <w:t>.  Elle constate ensuite l</w:t>
      </w:r>
      <w:r w:rsidRPr="009D406A" w:rsidR="009D406A">
        <w:t>’</w:t>
      </w:r>
      <w:r w:rsidRPr="009D406A">
        <w:t>absence de vulnérabilité particulière du requérant. Elle relève toutefois que l</w:t>
      </w:r>
      <w:r w:rsidRPr="009D406A" w:rsidR="009D406A">
        <w:t>’</w:t>
      </w:r>
      <w:r w:rsidRPr="009D406A">
        <w:t>exception de nullité soulevée par lui au stade du règlement de la procédure, sur le fondement de l</w:t>
      </w:r>
      <w:r w:rsidRPr="009D406A" w:rsidR="009D406A">
        <w:t>’</w:t>
      </w:r>
      <w:r w:rsidRPr="009D406A">
        <w:t>article 6 de la Convention, en raison de l</w:t>
      </w:r>
      <w:r w:rsidRPr="009D406A" w:rsidR="009D406A">
        <w:t>’</w:t>
      </w:r>
      <w:r w:rsidRPr="009D406A">
        <w:t>irrégularité de l</w:t>
      </w:r>
      <w:r w:rsidRPr="009D406A" w:rsidR="009D406A">
        <w:t>’</w:t>
      </w:r>
      <w:r w:rsidRPr="009D406A">
        <w:t>interrogatoire récapitulatif organisé le 17</w:t>
      </w:r>
      <w:r w:rsidRPr="009D406A" w:rsidR="0017584D">
        <w:t> </w:t>
      </w:r>
      <w:r w:rsidRPr="009D406A">
        <w:t>décembre 2003 sans la présence de son avocat, trouvait son origine dans des pressions qu</w:t>
      </w:r>
      <w:r w:rsidRPr="009D406A" w:rsidR="009D406A">
        <w:t>’</w:t>
      </w:r>
      <w:r w:rsidRPr="009D406A">
        <w:t>il aurait subies de la part des enquêteurs. Ainsi qu</w:t>
      </w:r>
      <w:r w:rsidRPr="009D406A" w:rsidR="009D406A">
        <w:t>’</w:t>
      </w:r>
      <w:r w:rsidRPr="009D406A">
        <w:t>il l</w:t>
      </w:r>
      <w:r w:rsidRPr="009D406A" w:rsidR="009D406A">
        <w:t>’</w:t>
      </w:r>
      <w:r w:rsidRPr="009D406A">
        <w:t>a exposé dans ses conclusions, son insistance à voir organiser un interrogatoire récapitulatif régulier tenait notamment à la possibilité de s</w:t>
      </w:r>
      <w:r w:rsidRPr="009D406A" w:rsidR="009D406A">
        <w:t>’</w:t>
      </w:r>
      <w:r w:rsidRPr="009D406A">
        <w:t>entretenir sur l</w:t>
      </w:r>
      <w:r w:rsidRPr="009D406A" w:rsidR="009D406A">
        <w:t>’</w:t>
      </w:r>
      <w:r w:rsidRPr="009D406A">
        <w:t>ensemble des faits qui lui étaient reprochés avec le magistrat instructeur et en présence de son avocat, possibilité qui n</w:t>
      </w:r>
      <w:r w:rsidRPr="009D406A" w:rsidR="009D406A">
        <w:t>’</w:t>
      </w:r>
      <w:r w:rsidRPr="009D406A">
        <w:t>existait pas autrement. Il n</w:t>
      </w:r>
      <w:r w:rsidRPr="009D406A" w:rsidR="009D406A">
        <w:t>’</w:t>
      </w:r>
      <w:r w:rsidRPr="009D406A">
        <w:t>est donc pas possible, comme le soutient le Gouvernement, d</w:t>
      </w:r>
      <w:r w:rsidRPr="009D406A" w:rsidR="009D406A">
        <w:t>’</w:t>
      </w:r>
      <w:r w:rsidRPr="009D406A">
        <w:t>isoler l</w:t>
      </w:r>
      <w:r w:rsidRPr="009D406A" w:rsidR="009D406A">
        <w:t>’</w:t>
      </w:r>
      <w:r w:rsidRPr="009D406A">
        <w:t>argument tiré du défaut d</w:t>
      </w:r>
      <w:r w:rsidRPr="009D406A" w:rsidR="009D406A">
        <w:t>’</w:t>
      </w:r>
      <w:r w:rsidRPr="009D406A">
        <w:t>interrogatoire récapitulatif de la problématique générale de la non-assistance d</w:t>
      </w:r>
      <w:r w:rsidRPr="009D406A" w:rsidR="009D406A">
        <w:t>’</w:t>
      </w:r>
      <w:r w:rsidRPr="009D406A">
        <w:t>un avocat durant la phase préalable du procès.</w:t>
      </w:r>
    </w:p>
    <w:p w:rsidRPr="009D406A" w:rsidR="00DA3E62" w:rsidP="009D406A" w:rsidRDefault="00DA3E62" w14:paraId="717FC747" w14:textId="18C98A62">
      <w:pPr>
        <w:pStyle w:val="JuPara"/>
      </w:pPr>
      <w:r w:rsidRPr="009D406A">
        <w:fldChar w:fldCharType="begin"/>
      </w:r>
      <w:r w:rsidRPr="009D406A">
        <w:instrText xml:space="preserve"> SEQ level0 \*arabic </w:instrText>
      </w:r>
      <w:r w:rsidRPr="009D406A">
        <w:fldChar w:fldCharType="separate"/>
      </w:r>
      <w:r w:rsidRPr="009D406A" w:rsidR="009D406A">
        <w:rPr>
          <w:noProof/>
        </w:rPr>
        <w:t>32</w:t>
      </w:r>
      <w:r w:rsidRPr="009D406A">
        <w:fldChar w:fldCharType="end"/>
      </w:r>
      <w:r w:rsidRPr="009D406A">
        <w:t>.  L</w:t>
      </w:r>
      <w:r w:rsidRPr="009D406A" w:rsidR="009D406A">
        <w:t>’</w:t>
      </w:r>
      <w:r w:rsidRPr="009D406A">
        <w:t>exception de nullité des poursuites a été rejetée au stade du règlement de la procédure, à la fin de l</w:t>
      </w:r>
      <w:r w:rsidRPr="009D406A" w:rsidR="009D406A">
        <w:t>’</w:t>
      </w:r>
      <w:r w:rsidRPr="009D406A">
        <w:t>instruction judiciaire, par la chambre des mises en accusation de la cour d</w:t>
      </w:r>
      <w:r w:rsidRPr="009D406A" w:rsidR="009D406A">
        <w:t>’</w:t>
      </w:r>
      <w:r w:rsidRPr="009D406A">
        <w:t>appel de Bruxelles au motif que l</w:t>
      </w:r>
      <w:r w:rsidRPr="009D406A" w:rsidR="009D406A">
        <w:t>’</w:t>
      </w:r>
      <w:r w:rsidRPr="009D406A">
        <w:t>équité du procès devait s</w:t>
      </w:r>
      <w:r w:rsidRPr="009D406A" w:rsidR="009D406A">
        <w:t>’</w:t>
      </w:r>
      <w:r w:rsidRPr="009D406A">
        <w:t>apprécier par rapport à l</w:t>
      </w:r>
      <w:r w:rsidRPr="009D406A" w:rsidR="009D406A">
        <w:t>’</w:t>
      </w:r>
      <w:r w:rsidRPr="009D406A">
        <w:t>ensemble de la procédure et que le requérant disposant encore de la possibilité de s</w:t>
      </w:r>
      <w:r w:rsidRPr="009D406A" w:rsidR="009D406A">
        <w:t>’</w:t>
      </w:r>
      <w:r w:rsidRPr="009D406A">
        <w:t>expliquer sur les faits devant les juridictions du fond, aucune violation des droits de la défense ne pouvait être constatée à ce stade (paragraphe</w:t>
      </w:r>
      <w:r w:rsidRPr="009D406A" w:rsidR="0017584D">
        <w:t> </w:t>
      </w:r>
      <w:r w:rsidRPr="009D406A">
        <w:fldChar w:fldCharType="begin"/>
      </w:r>
      <w:r w:rsidRPr="009D406A">
        <w:instrText xml:space="preserve"> REF FaitsRèglementProc \h  \* MERGEFORMAT </w:instrText>
      </w:r>
      <w:r w:rsidRPr="009D406A">
        <w:fldChar w:fldCharType="separate"/>
      </w:r>
      <w:r w:rsidRPr="009D406A" w:rsidR="009D406A">
        <w:t>8</w:t>
      </w:r>
      <w:r w:rsidRPr="009D406A">
        <w:fldChar w:fldCharType="end"/>
      </w:r>
      <w:r w:rsidRPr="009D406A">
        <w:t xml:space="preserve"> ci</w:t>
      </w:r>
      <w:r w:rsidRPr="009D406A" w:rsidR="00F8540D">
        <w:noBreakHyphen/>
      </w:r>
      <w:r w:rsidRPr="009D406A">
        <w:t>dessus). À la demande du requérant, au stade du jugement, de réévaluer la problématique de la non-assistance d</w:t>
      </w:r>
      <w:r w:rsidRPr="009D406A" w:rsidR="009D406A">
        <w:t>’</w:t>
      </w:r>
      <w:r w:rsidRPr="009D406A">
        <w:t>un avocat durant l</w:t>
      </w:r>
      <w:r w:rsidRPr="009D406A" w:rsidR="009D406A">
        <w:t>’</w:t>
      </w:r>
      <w:r w:rsidRPr="009D406A">
        <w:t>instruction, combinée à l</w:t>
      </w:r>
      <w:r w:rsidRPr="009D406A" w:rsidR="009D406A">
        <w:t>’</w:t>
      </w:r>
      <w:r w:rsidRPr="009D406A">
        <w:t>absence d</w:t>
      </w:r>
      <w:r w:rsidRPr="009D406A" w:rsidR="009D406A">
        <w:t>’</w:t>
      </w:r>
      <w:r w:rsidRPr="009D406A">
        <w:t>un interrogatoire récapitulatif régulier, la cour d</w:t>
      </w:r>
      <w:r w:rsidRPr="009D406A" w:rsidR="009D406A">
        <w:t>’</w:t>
      </w:r>
      <w:r w:rsidRPr="009D406A">
        <w:t>appel a toutefois ensuite répondu que cette question, prise isolément, avait été tranchée au stade du règlement de la procédure par l</w:t>
      </w:r>
      <w:r w:rsidRPr="009D406A" w:rsidR="009D406A">
        <w:t>’</w:t>
      </w:r>
      <w:r w:rsidRPr="009D406A">
        <w:t>arrêt de la Cour de cassation du 1</w:t>
      </w:r>
      <w:r w:rsidRPr="009D406A">
        <w:rPr>
          <w:vertAlign w:val="superscript"/>
        </w:rPr>
        <w:t>er</w:t>
      </w:r>
      <w:r w:rsidRPr="009D406A">
        <w:t xml:space="preserve"> juin 2011 (paragraphe </w:t>
      </w:r>
      <w:r w:rsidRPr="009D406A">
        <w:fldChar w:fldCharType="begin"/>
      </w:r>
      <w:r w:rsidRPr="009D406A">
        <w:instrText xml:space="preserve"> REF FaitsCA10062014Start \h  \* MERGEFORMAT </w:instrText>
      </w:r>
      <w:r w:rsidRPr="009D406A">
        <w:fldChar w:fldCharType="separate"/>
      </w:r>
      <w:r w:rsidRPr="009D406A" w:rsidR="009D406A">
        <w:t>14</w:t>
      </w:r>
      <w:r w:rsidRPr="009D406A">
        <w:fldChar w:fldCharType="end"/>
      </w:r>
      <w:r w:rsidRPr="009D406A">
        <w:t xml:space="preserve"> ci-dessus). Ce raisonnement a été validé par la Cour de cassation (paragraphes </w:t>
      </w:r>
      <w:r w:rsidRPr="009D406A">
        <w:fldChar w:fldCharType="begin"/>
      </w:r>
      <w:r w:rsidRPr="009D406A">
        <w:instrText xml:space="preserve"> REF FaitsCass15102014Start \h  \* MERGEFORMAT </w:instrText>
      </w:r>
      <w:r w:rsidRPr="009D406A">
        <w:fldChar w:fldCharType="separate"/>
      </w:r>
      <w:r w:rsidRPr="009D406A" w:rsidR="009D406A">
        <w:t>18</w:t>
      </w:r>
      <w:r w:rsidRPr="009D406A">
        <w:fldChar w:fldCharType="end"/>
      </w:r>
      <w:r w:rsidRPr="009D406A">
        <w:t>-</w:t>
      </w:r>
      <w:r w:rsidRPr="009D406A">
        <w:fldChar w:fldCharType="begin"/>
      </w:r>
      <w:r w:rsidRPr="009D406A">
        <w:instrText xml:space="preserve"> REF FaitsCass15102014End \h  \* MERGEFORMAT </w:instrText>
      </w:r>
      <w:r w:rsidRPr="009D406A">
        <w:fldChar w:fldCharType="separate"/>
      </w:r>
      <w:r w:rsidRPr="009D406A" w:rsidR="009D406A">
        <w:t>19</w:t>
      </w:r>
      <w:r w:rsidRPr="009D406A">
        <w:fldChar w:fldCharType="end"/>
      </w:r>
      <w:r w:rsidRPr="009D406A">
        <w:t xml:space="preserve"> ci</w:t>
      </w:r>
      <w:r w:rsidRPr="009D406A" w:rsidR="0017584D">
        <w:noBreakHyphen/>
      </w:r>
      <w:r w:rsidRPr="009D406A">
        <w:t>dessus). Aussi, rien ne démontre que les juridictions du fond aient procédé à une analyse de l</w:t>
      </w:r>
      <w:r w:rsidRPr="009D406A" w:rsidR="009D406A">
        <w:t>’</w:t>
      </w:r>
      <w:r w:rsidRPr="009D406A">
        <w:t>incidence de l</w:t>
      </w:r>
      <w:r w:rsidRPr="009D406A" w:rsidR="009D406A">
        <w:t>’</w:t>
      </w:r>
      <w:r w:rsidRPr="009D406A">
        <w:t>absence d</w:t>
      </w:r>
      <w:r w:rsidRPr="009D406A" w:rsidR="009D406A">
        <w:t>’</w:t>
      </w:r>
      <w:r w:rsidRPr="009D406A">
        <w:t>un avocat lors des interrogatoires et auditions sur les droits de défense (</w:t>
      </w:r>
      <w:r w:rsidRPr="009D406A">
        <w:rPr>
          <w:i/>
          <w:iCs/>
        </w:rPr>
        <w:t>Beuze</w:t>
      </w:r>
      <w:r w:rsidRPr="009D406A">
        <w:t>, précité, §§ 174 et 176 ; voir également, parmi d</w:t>
      </w:r>
      <w:r w:rsidRPr="009D406A" w:rsidR="009D406A">
        <w:t>’</w:t>
      </w:r>
      <w:r w:rsidRPr="009D406A">
        <w:t xml:space="preserve">autres, </w:t>
      </w:r>
      <w:proofErr w:type="spellStart"/>
      <w:r w:rsidRPr="009D406A">
        <w:rPr>
          <w:i/>
          <w:iCs/>
        </w:rPr>
        <w:t>Olivieri</w:t>
      </w:r>
      <w:proofErr w:type="spellEnd"/>
      <w:r w:rsidRPr="009D406A">
        <w:rPr>
          <w:i/>
          <w:iCs/>
        </w:rPr>
        <w:t xml:space="preserve"> c. France</w:t>
      </w:r>
      <w:r w:rsidRPr="009D406A">
        <w:t>, no 62313/12, §</w:t>
      </w:r>
      <w:r w:rsidRPr="009D406A" w:rsidR="0017584D">
        <w:t> </w:t>
      </w:r>
      <w:r w:rsidRPr="009D406A">
        <w:t>36, 11 juillet 2019). Par conséquent, la circonstance, invoquée par le Gouvernement, que la cour d</w:t>
      </w:r>
      <w:r w:rsidRPr="009D406A" w:rsidR="009D406A">
        <w:t>’</w:t>
      </w:r>
      <w:r w:rsidRPr="009D406A">
        <w:t>appel ait écarté le procès-verbal de l</w:t>
      </w:r>
      <w:r w:rsidRPr="009D406A" w:rsidR="009D406A">
        <w:t>’</w:t>
      </w:r>
      <w:r w:rsidRPr="009D406A">
        <w:t>interrogatoire récapitulatif irrégulier n</w:t>
      </w:r>
      <w:r w:rsidRPr="009D406A" w:rsidR="009D406A">
        <w:t>’</w:t>
      </w:r>
      <w:r w:rsidRPr="009D406A">
        <w:t>a pas joué un rôle important à cet égard.</w:t>
      </w:r>
    </w:p>
    <w:p w:rsidRPr="009D406A" w:rsidR="00DA3E62" w:rsidP="009D406A" w:rsidRDefault="00DA3E62" w14:paraId="4E0CD6B8" w14:textId="5ED22667">
      <w:pPr>
        <w:pStyle w:val="JuPara"/>
      </w:pPr>
      <w:r w:rsidRPr="009D406A">
        <w:fldChar w:fldCharType="begin"/>
      </w:r>
      <w:r w:rsidRPr="009D406A">
        <w:instrText xml:space="preserve"> SEQ level0 \*arabic </w:instrText>
      </w:r>
      <w:r w:rsidRPr="009D406A">
        <w:fldChar w:fldCharType="separate"/>
      </w:r>
      <w:r w:rsidRPr="009D406A" w:rsidR="009D406A">
        <w:rPr>
          <w:noProof/>
        </w:rPr>
        <w:t>33</w:t>
      </w:r>
      <w:r w:rsidRPr="009D406A">
        <w:fldChar w:fldCharType="end"/>
      </w:r>
      <w:r w:rsidRPr="009D406A">
        <w:t>.  Sur le point de savoir si les déclarations faites sans avocat par le requérant au stade de l</w:t>
      </w:r>
      <w:r w:rsidRPr="009D406A" w:rsidR="009D406A">
        <w:t>’</w:t>
      </w:r>
      <w:r w:rsidRPr="009D406A">
        <w:t>instruction ont joué un rôle dans les circonstances de l</w:t>
      </w:r>
      <w:r w:rsidRPr="009D406A" w:rsidR="009D406A">
        <w:t>’</w:t>
      </w:r>
      <w:r w:rsidRPr="009D406A">
        <w:t>espèce et si cette lacune procédurale a pu avoir un impact sur la condamnation finalement prononcée à son égard, la Cour note que le dossier pénal du requérant était fondé sur un grand nombre de faits, tous liés par une même intention criminelle, et que 39 préventions furent retenues contre lui. Pour six de ces préventions, la cour d</w:t>
      </w:r>
      <w:r w:rsidRPr="009D406A" w:rsidR="009D406A">
        <w:t>’</w:t>
      </w:r>
      <w:r w:rsidRPr="009D406A">
        <w:t>appel s</w:t>
      </w:r>
      <w:r w:rsidRPr="009D406A" w:rsidR="009D406A">
        <w:t>’</w:t>
      </w:r>
      <w:r w:rsidRPr="009D406A">
        <w:t>est référée à des déclarations qu</w:t>
      </w:r>
      <w:r w:rsidRPr="009D406A" w:rsidR="009D406A">
        <w:t>’</w:t>
      </w:r>
      <w:r w:rsidRPr="009D406A">
        <w:t>il avait faites sans avocat et dans lesquelles il reconnaissait des faits précis de divulgation d</w:t>
      </w:r>
      <w:r w:rsidRPr="009D406A" w:rsidR="009D406A">
        <w:t>’</w:t>
      </w:r>
      <w:r w:rsidRPr="009D406A">
        <w:t>informations et d</w:t>
      </w:r>
      <w:r w:rsidRPr="009D406A" w:rsidR="009D406A">
        <w:t>’</w:t>
      </w:r>
      <w:r w:rsidRPr="009D406A">
        <w:t>avantages reçus en contrepartie. Ainsi que cela ressort de l</w:t>
      </w:r>
      <w:r w:rsidRPr="009D406A" w:rsidR="009D406A">
        <w:t>’</w:t>
      </w:r>
      <w:r w:rsidRPr="009D406A">
        <w:t>arrêt longuement motivé de la cour d</w:t>
      </w:r>
      <w:r w:rsidRPr="009D406A" w:rsidR="009D406A">
        <w:t>’</w:t>
      </w:r>
      <w:r w:rsidRPr="009D406A">
        <w:t>appel, ces déclarations venaient pour la plupart confirmer des éléments recueillis par les enquêteurs avant les interrogatoires et la grande majorité des préventions ont été jugées établies sur la base d</w:t>
      </w:r>
      <w:r w:rsidRPr="009D406A" w:rsidR="009D406A">
        <w:t>’</w:t>
      </w:r>
      <w:r w:rsidRPr="009D406A">
        <w:t>autres éléments issus de l</w:t>
      </w:r>
      <w:r w:rsidRPr="009D406A" w:rsidR="009D406A">
        <w:t>’</w:t>
      </w:r>
      <w:r w:rsidRPr="009D406A">
        <w:t>enquête et non sur lesdites déclarations (paragraphe</w:t>
      </w:r>
      <w:r w:rsidRPr="009D406A" w:rsidR="0017584D">
        <w:t> </w:t>
      </w:r>
      <w:r w:rsidRPr="009D406A">
        <w:fldChar w:fldCharType="begin"/>
      </w:r>
      <w:r w:rsidRPr="009D406A">
        <w:instrText xml:space="preserve"> REF FaitsCA10062014Bis \h  \* MERGEFORMAT </w:instrText>
      </w:r>
      <w:r w:rsidRPr="009D406A">
        <w:fldChar w:fldCharType="separate"/>
      </w:r>
      <w:r w:rsidRPr="009D406A" w:rsidR="009D406A">
        <w:t>15</w:t>
      </w:r>
      <w:r w:rsidRPr="009D406A">
        <w:fldChar w:fldCharType="end"/>
      </w:r>
      <w:r w:rsidRPr="009D406A">
        <w:t xml:space="preserve"> ci-dessus). De plus, pour les six préventions litigieuses, la cour d</w:t>
      </w:r>
      <w:r w:rsidRPr="009D406A" w:rsidR="009D406A">
        <w:t>’</w:t>
      </w:r>
      <w:r w:rsidRPr="009D406A">
        <w:t>appel s</w:t>
      </w:r>
      <w:r w:rsidRPr="009D406A" w:rsidR="009D406A">
        <w:t>’</w:t>
      </w:r>
      <w:r w:rsidRPr="009D406A">
        <w:t>est montrée prudente en se référant « à titre surabondant » aux déclarations du requérant et en soulignant qu</w:t>
      </w:r>
      <w:r w:rsidRPr="009D406A" w:rsidR="009D406A">
        <w:t>’</w:t>
      </w:r>
      <w:r w:rsidRPr="009D406A">
        <w:t>elles ne pouvaient pas constituer, en tant que telles, la preuve de sa culpabilité.</w:t>
      </w:r>
      <w:r w:rsidRPr="009D406A">
        <w:rPr>
          <w:lang w:val="fr-CH"/>
        </w:rPr>
        <w:t xml:space="preserve"> Quant à l</w:t>
      </w:r>
      <w:r w:rsidRPr="009D406A">
        <w:t>a Cour de cassation, elle ne s</w:t>
      </w:r>
      <w:r w:rsidRPr="009D406A" w:rsidR="009D406A">
        <w:t>’</w:t>
      </w:r>
      <w:r w:rsidRPr="009D406A">
        <w:t>est pas prononcée sur le bien-fondé du moyen tiré de la non-assistance d</w:t>
      </w:r>
      <w:r w:rsidRPr="009D406A" w:rsidR="009D406A">
        <w:t>’</w:t>
      </w:r>
      <w:r w:rsidRPr="009D406A">
        <w:t>un avocat, le déclarant irrecevable à défaut d</w:t>
      </w:r>
      <w:r w:rsidRPr="009D406A" w:rsidR="009D406A">
        <w:t>’</w:t>
      </w:r>
      <w:r w:rsidRPr="009D406A">
        <w:t>intérêt, au motif que la peine prononcée par les juges d</w:t>
      </w:r>
      <w:r w:rsidRPr="009D406A" w:rsidR="009D406A">
        <w:t>’</w:t>
      </w:r>
      <w:r w:rsidRPr="009D406A">
        <w:t>appel demeurait légalement justifiée par les autres infractions qu</w:t>
      </w:r>
      <w:r w:rsidRPr="009D406A" w:rsidR="009D406A">
        <w:t>’</w:t>
      </w:r>
      <w:r w:rsidRPr="009D406A">
        <w:t xml:space="preserve">ils avaient déclarées établies (paragraphe </w:t>
      </w:r>
      <w:r w:rsidRPr="009D406A">
        <w:fldChar w:fldCharType="begin"/>
      </w:r>
      <w:r w:rsidRPr="009D406A">
        <w:instrText xml:space="preserve"> REF FaitsCass15102014Start \h  \* MERGEFORMAT </w:instrText>
      </w:r>
      <w:r w:rsidRPr="009D406A">
        <w:fldChar w:fldCharType="separate"/>
      </w:r>
      <w:r w:rsidRPr="009D406A" w:rsidR="009D406A">
        <w:t>18</w:t>
      </w:r>
      <w:r w:rsidRPr="009D406A">
        <w:fldChar w:fldCharType="end"/>
      </w:r>
      <w:r w:rsidRPr="009D406A">
        <w:t xml:space="preserve"> ci-dessus).</w:t>
      </w:r>
    </w:p>
    <w:p w:rsidRPr="009D406A" w:rsidR="00DA3E62" w:rsidP="009D406A" w:rsidRDefault="00DA3E62" w14:paraId="5D962849" w14:textId="61222BEA">
      <w:pPr>
        <w:pStyle w:val="JuPara"/>
        <w:rPr>
          <w:lang w:val="fr-CH"/>
        </w:rPr>
      </w:pPr>
      <w:r w:rsidRPr="009D406A">
        <w:fldChar w:fldCharType="begin"/>
      </w:r>
      <w:r w:rsidRPr="009D406A">
        <w:instrText xml:space="preserve"> SEQ level0 \*arabic </w:instrText>
      </w:r>
      <w:r w:rsidRPr="009D406A">
        <w:fldChar w:fldCharType="separate"/>
      </w:r>
      <w:r w:rsidRPr="009D406A" w:rsidR="009D406A">
        <w:rPr>
          <w:noProof/>
        </w:rPr>
        <w:t>34</w:t>
      </w:r>
      <w:r w:rsidRPr="009D406A">
        <w:fldChar w:fldCharType="end"/>
      </w:r>
      <w:r w:rsidRPr="009D406A">
        <w:t xml:space="preserve">.  La Cour </w:t>
      </w:r>
      <w:r w:rsidRPr="009D406A">
        <w:rPr>
          <w:lang w:val="fr-CH"/>
        </w:rPr>
        <w:t>constate qu</w:t>
      </w:r>
      <w:r w:rsidRPr="009D406A" w:rsidR="009D406A">
        <w:rPr>
          <w:lang w:val="fr-CH"/>
        </w:rPr>
        <w:t>’</w:t>
      </w:r>
      <w:r w:rsidRPr="009D406A">
        <w:rPr>
          <w:lang w:val="fr-CH"/>
        </w:rPr>
        <w:t>en concluant de la sorte les juridictions internes ont estimé que la condamnation du requérant était en définitive justifiée par la suffisance globale des preuves, sans toutefois procéder à un contrôle de l</w:t>
      </w:r>
      <w:r w:rsidRPr="009D406A" w:rsidR="009D406A">
        <w:rPr>
          <w:lang w:val="fr-CH"/>
        </w:rPr>
        <w:t>’</w:t>
      </w:r>
      <w:r w:rsidRPr="009D406A">
        <w:rPr>
          <w:lang w:val="fr-CH"/>
        </w:rPr>
        <w:t>équité globale de la procédure. La Cour ne saurait en effet considérer que l</w:t>
      </w:r>
      <w:r w:rsidRPr="009D406A" w:rsidR="009D406A">
        <w:rPr>
          <w:lang w:val="fr-CH"/>
        </w:rPr>
        <w:t>’</w:t>
      </w:r>
      <w:r w:rsidRPr="009D406A">
        <w:rPr>
          <w:lang w:val="fr-CH"/>
        </w:rPr>
        <w:t>évaluation des faits ainsi opérée – qui rend d</w:t>
      </w:r>
      <w:r w:rsidRPr="009D406A" w:rsidR="009D406A">
        <w:rPr>
          <w:lang w:val="fr-CH"/>
        </w:rPr>
        <w:t>’</w:t>
      </w:r>
      <w:r w:rsidRPr="009D406A">
        <w:rPr>
          <w:lang w:val="fr-CH"/>
        </w:rPr>
        <w:t xml:space="preserve">ailleurs impossible de vérifier si les informations obtenues lors des déclarations faites par le requérant </w:t>
      </w:r>
      <w:r w:rsidRPr="009D406A">
        <w:t>sans la présence physique d</w:t>
      </w:r>
      <w:r w:rsidRPr="009D406A" w:rsidR="009D406A">
        <w:t>’</w:t>
      </w:r>
      <w:r w:rsidRPr="009D406A">
        <w:t>un avocat</w:t>
      </w:r>
      <w:r w:rsidRPr="009D406A">
        <w:rPr>
          <w:lang w:val="fr-CH"/>
        </w:rPr>
        <w:t xml:space="preserve"> n</w:t>
      </w:r>
      <w:r w:rsidRPr="009D406A" w:rsidR="009D406A">
        <w:rPr>
          <w:lang w:val="fr-CH"/>
        </w:rPr>
        <w:t>’</w:t>
      </w:r>
      <w:r w:rsidRPr="009D406A">
        <w:rPr>
          <w:lang w:val="fr-CH"/>
        </w:rPr>
        <w:t>avaient pas permis aux enquêteurs de déceler des éléments qui leur permettaient d</w:t>
      </w:r>
      <w:r w:rsidRPr="009D406A" w:rsidR="009D406A">
        <w:rPr>
          <w:lang w:val="fr-CH"/>
        </w:rPr>
        <w:t>’</w:t>
      </w:r>
      <w:r w:rsidRPr="009D406A">
        <w:rPr>
          <w:lang w:val="fr-CH"/>
        </w:rPr>
        <w:t xml:space="preserve">avancer dans leur enquête – ne saurait se substituer à un examen, même </w:t>
      </w:r>
      <w:r w:rsidRPr="009D406A">
        <w:rPr>
          <w:i/>
          <w:iCs/>
          <w:lang w:val="fr-CH"/>
        </w:rPr>
        <w:t>ex post</w:t>
      </w:r>
      <w:r w:rsidRPr="009D406A">
        <w:rPr>
          <w:lang w:val="fr-CH"/>
        </w:rPr>
        <w:t>, de l</w:t>
      </w:r>
      <w:r w:rsidRPr="009D406A" w:rsidR="009D406A">
        <w:rPr>
          <w:lang w:val="fr-CH"/>
        </w:rPr>
        <w:t>’</w:t>
      </w:r>
      <w:r w:rsidRPr="009D406A">
        <w:rPr>
          <w:lang w:val="fr-CH"/>
        </w:rPr>
        <w:t>équité globale de la procédure.</w:t>
      </w:r>
    </w:p>
    <w:p w:rsidRPr="009D406A" w:rsidR="00DA3E62" w:rsidP="009D406A" w:rsidRDefault="00DA3E62" w14:paraId="64945162" w14:textId="5A2CBC9D">
      <w:pPr>
        <w:pStyle w:val="JuPara"/>
      </w:pPr>
      <w:r w:rsidRPr="009D406A">
        <w:fldChar w:fldCharType="begin"/>
      </w:r>
      <w:r w:rsidRPr="009D406A">
        <w:instrText xml:space="preserve"> SEQ level0 \*arabic </w:instrText>
      </w:r>
      <w:r w:rsidRPr="009D406A">
        <w:fldChar w:fldCharType="separate"/>
      </w:r>
      <w:r w:rsidRPr="009D406A" w:rsidR="009D406A">
        <w:rPr>
          <w:noProof/>
        </w:rPr>
        <w:t>35</w:t>
      </w:r>
      <w:r w:rsidRPr="009D406A">
        <w:fldChar w:fldCharType="end"/>
      </w:r>
      <w:r w:rsidRPr="009D406A">
        <w:t>.  </w:t>
      </w:r>
      <w:r w:rsidRPr="009D406A">
        <w:rPr>
          <w:lang w:val="fr-CH"/>
        </w:rPr>
        <w:t>En conséquence, rappelant qu</w:t>
      </w:r>
      <w:r w:rsidRPr="009D406A" w:rsidR="009D406A">
        <w:rPr>
          <w:lang w:val="fr-CH"/>
        </w:rPr>
        <w:t>’</w:t>
      </w:r>
      <w:r w:rsidRPr="009D406A">
        <w:rPr>
          <w:lang w:val="fr-CH"/>
        </w:rPr>
        <w:t>en l</w:t>
      </w:r>
      <w:r w:rsidRPr="009D406A" w:rsidR="009D406A">
        <w:rPr>
          <w:lang w:val="fr-CH"/>
        </w:rPr>
        <w:t>’</w:t>
      </w:r>
      <w:r w:rsidRPr="009D406A">
        <w:rPr>
          <w:lang w:val="fr-CH"/>
        </w:rPr>
        <w:t>absence de raisons impérieuses justifiant les restrictions constatées, elle est appelée à opérer un contrôle très strict, la Cour considère que ces éléments doivent peser lourdement dans son appréciation de l</w:t>
      </w:r>
      <w:r w:rsidRPr="009D406A" w:rsidR="009D406A">
        <w:rPr>
          <w:lang w:val="fr-CH"/>
        </w:rPr>
        <w:t>’</w:t>
      </w:r>
      <w:r w:rsidRPr="009D406A">
        <w:rPr>
          <w:lang w:val="fr-CH"/>
        </w:rPr>
        <w:t>équité de la procédure dans son ensemble (</w:t>
      </w:r>
      <w:r w:rsidRPr="009D406A">
        <w:rPr>
          <w:i/>
          <w:iCs/>
          <w:lang w:val="fr-CH"/>
        </w:rPr>
        <w:t>Beuze</w:t>
      </w:r>
      <w:r w:rsidRPr="009D406A">
        <w:rPr>
          <w:lang w:val="fr-CH"/>
        </w:rPr>
        <w:t>, précité, §§</w:t>
      </w:r>
      <w:r w:rsidRPr="009D406A" w:rsidR="00F8540D">
        <w:rPr>
          <w:lang w:val="fr-CH"/>
        </w:rPr>
        <w:t> </w:t>
      </w:r>
      <w:r w:rsidRPr="009D406A">
        <w:rPr>
          <w:lang w:val="fr-CH"/>
        </w:rPr>
        <w:t>178-179). Il en va d</w:t>
      </w:r>
      <w:r w:rsidRPr="009D406A" w:rsidR="009D406A">
        <w:rPr>
          <w:lang w:val="fr-CH"/>
        </w:rPr>
        <w:t>’</w:t>
      </w:r>
      <w:r w:rsidRPr="009D406A">
        <w:rPr>
          <w:lang w:val="fr-CH"/>
        </w:rPr>
        <w:t>autant plus ainsi en l</w:t>
      </w:r>
      <w:r w:rsidRPr="009D406A" w:rsidR="009D406A">
        <w:rPr>
          <w:lang w:val="fr-CH"/>
        </w:rPr>
        <w:t>’</w:t>
      </w:r>
      <w:r w:rsidRPr="009D406A">
        <w:rPr>
          <w:lang w:val="fr-CH"/>
        </w:rPr>
        <w:t xml:space="preserve">espèce que le requérant avait été privé </w:t>
      </w:r>
      <w:r w:rsidRPr="009D406A">
        <w:t>d</w:t>
      </w:r>
      <w:r w:rsidRPr="009D406A" w:rsidR="009D406A">
        <w:t>’</w:t>
      </w:r>
      <w:r w:rsidRPr="009D406A">
        <w:t>une information préalable suffisamment claire du droit de garder le silence (</w:t>
      </w:r>
      <w:bookmarkStart w:name="File1" w:id="17"/>
      <w:r w:rsidRPr="009D406A" w:rsidR="00D60642">
        <w:rPr>
          <w:i/>
        </w:rPr>
        <w:t>Ibrahim et autres</w:t>
      </w:r>
      <w:bookmarkEnd w:id="17"/>
      <w:r w:rsidRPr="009D406A" w:rsidR="00D60642">
        <w:rPr>
          <w:i/>
        </w:rPr>
        <w:t xml:space="preserve"> c. Royaume-Uni</w:t>
      </w:r>
      <w:r w:rsidRPr="009D406A" w:rsidR="00D60642">
        <w:t xml:space="preserve"> [GC]</w:t>
      </w:r>
      <w:r w:rsidRPr="009D406A" w:rsidR="00D60642">
        <w:rPr>
          <w:snapToGrid w:val="0"/>
        </w:rPr>
        <w:t>, n</w:t>
      </w:r>
      <w:r w:rsidRPr="009D406A" w:rsidR="00D60642">
        <w:rPr>
          <w:vertAlign w:val="superscript"/>
        </w:rPr>
        <w:t>os</w:t>
      </w:r>
      <w:r w:rsidRPr="009D406A" w:rsidR="00D60642">
        <w:rPr>
          <w:snapToGrid w:val="0"/>
        </w:rPr>
        <w:t xml:space="preserve"> 50541/08 </w:t>
      </w:r>
      <w:r w:rsidRPr="009D406A" w:rsidR="00D60642">
        <w:t>et 3 autres</w:t>
      </w:r>
      <w:r w:rsidRPr="009D406A" w:rsidR="00D60642">
        <w:rPr>
          <w:snapToGrid w:val="0"/>
        </w:rPr>
        <w:t xml:space="preserve">, </w:t>
      </w:r>
      <w:r w:rsidRPr="009D406A" w:rsidR="00D60642">
        <w:t>§ 273</w:t>
      </w:r>
      <w:r w:rsidRPr="009D406A" w:rsidR="00D60642">
        <w:rPr>
          <w:snapToGrid w:val="0"/>
        </w:rPr>
        <w:t xml:space="preserve">, </w:t>
      </w:r>
      <w:r w:rsidRPr="009D406A" w:rsidR="00D60642">
        <w:t>13 septembre</w:t>
      </w:r>
      <w:r w:rsidRPr="009D406A" w:rsidR="00D60642">
        <w:rPr>
          <w:snapToGrid w:val="0"/>
        </w:rPr>
        <w:t xml:space="preserve"> 2016</w:t>
      </w:r>
      <w:r w:rsidRPr="009D406A">
        <w:t xml:space="preserve">, </w:t>
      </w:r>
      <w:r w:rsidRPr="009D406A">
        <w:rPr>
          <w:i/>
          <w:iCs/>
        </w:rPr>
        <w:t>Beuze</w:t>
      </w:r>
      <w:r w:rsidRPr="009D406A">
        <w:t>, précité, §§</w:t>
      </w:r>
      <w:r w:rsidRPr="009D406A" w:rsidR="00F8540D">
        <w:t> </w:t>
      </w:r>
      <w:r w:rsidRPr="009D406A">
        <w:t>64 et</w:t>
      </w:r>
      <w:r w:rsidRPr="009D406A" w:rsidR="00F8540D">
        <w:t> </w:t>
      </w:r>
      <w:r w:rsidRPr="009D406A">
        <w:t xml:space="preserve">146, et </w:t>
      </w:r>
      <w:proofErr w:type="spellStart"/>
      <w:r w:rsidRPr="009D406A">
        <w:rPr>
          <w:i/>
          <w:iCs/>
        </w:rPr>
        <w:t>Olivieri</w:t>
      </w:r>
      <w:proofErr w:type="spellEnd"/>
      <w:r w:rsidRPr="009D406A">
        <w:t>, précité, § 38).</w:t>
      </w:r>
    </w:p>
    <w:p w:rsidRPr="009D406A" w:rsidR="00DA3E62" w:rsidP="009D406A" w:rsidRDefault="00DA3E62" w14:paraId="290306C7" w14:textId="425B30FB">
      <w:pPr>
        <w:pStyle w:val="JuPara"/>
        <w:rPr>
          <w:lang w:val="fr-CH"/>
        </w:rPr>
      </w:pPr>
      <w:r w:rsidRPr="009D406A">
        <w:fldChar w:fldCharType="begin"/>
      </w:r>
      <w:r w:rsidRPr="009D406A">
        <w:instrText xml:space="preserve"> SEQ level0 \*arabic </w:instrText>
      </w:r>
      <w:r w:rsidRPr="009D406A">
        <w:fldChar w:fldCharType="separate"/>
      </w:r>
      <w:r w:rsidRPr="009D406A" w:rsidR="009D406A">
        <w:rPr>
          <w:noProof/>
        </w:rPr>
        <w:t>36</w:t>
      </w:r>
      <w:r w:rsidRPr="009D406A">
        <w:fldChar w:fldCharType="end"/>
      </w:r>
      <w:r w:rsidRPr="009D406A">
        <w:t>.  </w:t>
      </w:r>
      <w:r w:rsidRPr="009D406A">
        <w:rPr>
          <w:lang w:val="fr-CH"/>
        </w:rPr>
        <w:t>Compte tenu de ce qui précède, la Cour estime que la procédure pénale menée à l</w:t>
      </w:r>
      <w:r w:rsidRPr="009D406A" w:rsidR="009D406A">
        <w:rPr>
          <w:lang w:val="fr-CH"/>
        </w:rPr>
        <w:t>’</w:t>
      </w:r>
      <w:r w:rsidRPr="009D406A">
        <w:rPr>
          <w:lang w:val="fr-CH"/>
        </w:rPr>
        <w:t>égard du requérant, considérée dans son ensemble, n</w:t>
      </w:r>
      <w:r w:rsidRPr="009D406A" w:rsidR="009D406A">
        <w:rPr>
          <w:lang w:val="fr-CH"/>
        </w:rPr>
        <w:t>’</w:t>
      </w:r>
      <w:r w:rsidRPr="009D406A">
        <w:rPr>
          <w:lang w:val="fr-CH"/>
        </w:rPr>
        <w:t>a pas permis de remédier aux lacunes procédurales survenues au stade préliminaire de la procédure. La Cour estime important de souligner, comme elle l</w:t>
      </w:r>
      <w:r w:rsidRPr="009D406A" w:rsidR="009D406A">
        <w:rPr>
          <w:lang w:val="fr-CH"/>
        </w:rPr>
        <w:t>’</w:t>
      </w:r>
      <w:r w:rsidRPr="009D406A">
        <w:rPr>
          <w:lang w:val="fr-CH"/>
        </w:rPr>
        <w:t>a fait dans d</w:t>
      </w:r>
      <w:r w:rsidRPr="009D406A" w:rsidR="009D406A">
        <w:rPr>
          <w:lang w:val="fr-CH"/>
        </w:rPr>
        <w:t>’</w:t>
      </w:r>
      <w:r w:rsidRPr="009D406A">
        <w:rPr>
          <w:lang w:val="fr-CH"/>
        </w:rPr>
        <w:t>autres affaires relatives à l</w:t>
      </w:r>
      <w:r w:rsidRPr="009D406A" w:rsidR="009D406A">
        <w:rPr>
          <w:lang w:val="fr-CH"/>
        </w:rPr>
        <w:t>’</w:t>
      </w:r>
      <w:r w:rsidRPr="009D406A">
        <w:rPr>
          <w:lang w:val="fr-CH"/>
        </w:rPr>
        <w:t>article 6</w:t>
      </w:r>
      <w:r w:rsidRPr="009D406A" w:rsidR="0017584D">
        <w:rPr>
          <w:lang w:val="fr-CH"/>
        </w:rPr>
        <w:t> </w:t>
      </w:r>
      <w:r w:rsidRPr="009D406A">
        <w:rPr>
          <w:lang w:val="fr-CH"/>
        </w:rPr>
        <w:t>§ 1 de la Convention dans lesquelles un examen de l</w:t>
      </w:r>
      <w:r w:rsidRPr="009D406A" w:rsidR="009D406A">
        <w:rPr>
          <w:lang w:val="fr-CH"/>
        </w:rPr>
        <w:t>’</w:t>
      </w:r>
      <w:r w:rsidRPr="009D406A">
        <w:rPr>
          <w:lang w:val="fr-CH"/>
        </w:rPr>
        <w:t>équité globale de la procédure était en cause, qu</w:t>
      </w:r>
      <w:r w:rsidRPr="009D406A" w:rsidR="009D406A">
        <w:rPr>
          <w:lang w:val="fr-CH"/>
        </w:rPr>
        <w:t>’</w:t>
      </w:r>
      <w:r w:rsidRPr="009D406A">
        <w:rPr>
          <w:lang w:val="fr-CH"/>
        </w:rPr>
        <w:t>elle ne doit pas s</w:t>
      </w:r>
      <w:r w:rsidRPr="009D406A" w:rsidR="009D406A">
        <w:rPr>
          <w:lang w:val="fr-CH"/>
        </w:rPr>
        <w:t>’</w:t>
      </w:r>
      <w:r w:rsidRPr="009D406A">
        <w:rPr>
          <w:lang w:val="fr-CH"/>
        </w:rPr>
        <w:t>ériger en juge de quatrième instance (</w:t>
      </w:r>
      <w:r w:rsidRPr="009D406A">
        <w:rPr>
          <w:i/>
          <w:iCs/>
          <w:lang w:val="fr-CH"/>
        </w:rPr>
        <w:t>Beuze</w:t>
      </w:r>
      <w:r w:rsidRPr="009D406A">
        <w:rPr>
          <w:lang w:val="fr-CH"/>
        </w:rPr>
        <w:t>, précité, § 193). Lors de cet examen, elle est toutefois appelée à examiner soigneusement le déroulement de la procédure au niveau interne, un contrôle très strict s</w:t>
      </w:r>
      <w:r w:rsidRPr="009D406A" w:rsidR="009D406A">
        <w:rPr>
          <w:lang w:val="fr-CH"/>
        </w:rPr>
        <w:t>’</w:t>
      </w:r>
      <w:r w:rsidRPr="009D406A">
        <w:rPr>
          <w:lang w:val="fr-CH"/>
        </w:rPr>
        <w:t>imposant lorsque la restriction au droit d</w:t>
      </w:r>
      <w:r w:rsidRPr="009D406A" w:rsidR="009D406A">
        <w:rPr>
          <w:lang w:val="fr-CH"/>
        </w:rPr>
        <w:t>’</w:t>
      </w:r>
      <w:r w:rsidRPr="009D406A">
        <w:rPr>
          <w:lang w:val="fr-CH"/>
        </w:rPr>
        <w:t>accès à un avocat ne repose sur aucune raison impérieuse. En l</w:t>
      </w:r>
      <w:r w:rsidRPr="009D406A" w:rsidR="009D406A">
        <w:rPr>
          <w:lang w:val="fr-CH"/>
        </w:rPr>
        <w:t>’</w:t>
      </w:r>
      <w:r w:rsidRPr="009D406A">
        <w:rPr>
          <w:lang w:val="fr-CH"/>
        </w:rPr>
        <w:t>espèce, c</w:t>
      </w:r>
      <w:r w:rsidRPr="009D406A" w:rsidR="009D406A">
        <w:rPr>
          <w:lang w:val="fr-CH"/>
        </w:rPr>
        <w:t>’</w:t>
      </w:r>
      <w:r w:rsidRPr="009D406A">
        <w:rPr>
          <w:lang w:val="fr-CH"/>
        </w:rPr>
        <w:t>est la conjonction des différents facteurs précités et non chacun d</w:t>
      </w:r>
      <w:r w:rsidRPr="009D406A" w:rsidR="009D406A">
        <w:rPr>
          <w:lang w:val="fr-CH"/>
        </w:rPr>
        <w:t>’</w:t>
      </w:r>
      <w:r w:rsidRPr="009D406A">
        <w:rPr>
          <w:lang w:val="fr-CH"/>
        </w:rPr>
        <w:t>eux pris isolément qui a rendu la procédure inéquitable dans son ensemble.</w:t>
      </w:r>
    </w:p>
    <w:bookmarkStart w:name="CourConclusionAvocat" w:id="18"/>
    <w:p w:rsidRPr="009D406A" w:rsidR="00DA3E62" w:rsidP="009D406A" w:rsidRDefault="00DA3E62" w14:paraId="7427C287" w14:textId="34F62FC9">
      <w:pPr>
        <w:pStyle w:val="JuPara"/>
      </w:pPr>
      <w:r w:rsidRPr="009D406A">
        <w:fldChar w:fldCharType="begin"/>
      </w:r>
      <w:r w:rsidRPr="009D406A">
        <w:instrText xml:space="preserve"> SEQ level0 \*arabic </w:instrText>
      </w:r>
      <w:r w:rsidRPr="009D406A">
        <w:fldChar w:fldCharType="separate"/>
      </w:r>
      <w:r w:rsidRPr="009D406A" w:rsidR="009D406A">
        <w:rPr>
          <w:noProof/>
        </w:rPr>
        <w:t>37</w:t>
      </w:r>
      <w:r w:rsidRPr="009D406A">
        <w:fldChar w:fldCharType="end"/>
      </w:r>
      <w:bookmarkEnd w:id="18"/>
      <w:r w:rsidRPr="009D406A">
        <w:t>.  </w:t>
      </w:r>
      <w:r w:rsidRPr="009D406A">
        <w:rPr>
          <w:lang w:val="fr-CH"/>
        </w:rPr>
        <w:t>Partant, il y a eu violation de l</w:t>
      </w:r>
      <w:r w:rsidRPr="009D406A" w:rsidR="009D406A">
        <w:rPr>
          <w:lang w:val="fr-CH"/>
        </w:rPr>
        <w:t>’</w:t>
      </w:r>
      <w:r w:rsidRPr="009D406A">
        <w:rPr>
          <w:lang w:val="fr-CH"/>
        </w:rPr>
        <w:t>article 6 §§ 1 et 3 c) de la Convention.</w:t>
      </w:r>
    </w:p>
    <w:p w:rsidRPr="009D406A" w:rsidR="00DA3E62" w:rsidP="009D406A" w:rsidRDefault="00DA3E62" w14:paraId="345EA4C3" w14:textId="400B1A71">
      <w:pPr>
        <w:pStyle w:val="JuHIRoman"/>
      </w:pPr>
      <w:bookmarkStart w:name="_Hlk34839031" w:id="19"/>
      <w:r w:rsidRPr="009D406A">
        <w:t>SUR LA VIOLATION ALLÉGUÉE DE L</w:t>
      </w:r>
      <w:r w:rsidRPr="009D406A" w:rsidR="009D406A">
        <w:t>’</w:t>
      </w:r>
      <w:r w:rsidRPr="009D406A">
        <w:t>ARTICLE 6 § 1 DE LA CONVENTION (D</w:t>
      </w:r>
      <w:r w:rsidRPr="009D406A">
        <w:rPr>
          <w:rFonts w:cstheme="majorHAnsi"/>
        </w:rPr>
        <w:t>É</w:t>
      </w:r>
      <w:r w:rsidRPr="009D406A">
        <w:t>LAI RAISONNABLE)</w:t>
      </w:r>
    </w:p>
    <w:bookmarkStart w:name="_Hlk36127508" w:id="20"/>
    <w:p w:rsidRPr="009D406A" w:rsidR="00DA3E62" w:rsidP="009D406A" w:rsidRDefault="00DA3E62" w14:paraId="2DE3A016" w14:textId="2A886E97">
      <w:pPr>
        <w:pStyle w:val="JuPara"/>
      </w:pPr>
      <w:r w:rsidRPr="009D406A">
        <w:fldChar w:fldCharType="begin"/>
      </w:r>
      <w:r w:rsidRPr="009D406A">
        <w:instrText xml:space="preserve"> SEQ level0 \*arabic </w:instrText>
      </w:r>
      <w:r w:rsidRPr="009D406A">
        <w:fldChar w:fldCharType="separate"/>
      </w:r>
      <w:r w:rsidRPr="009D406A" w:rsidR="009D406A">
        <w:rPr>
          <w:noProof/>
        </w:rPr>
        <w:t>38</w:t>
      </w:r>
      <w:r w:rsidRPr="009D406A">
        <w:fldChar w:fldCharType="end"/>
      </w:r>
      <w:r w:rsidRPr="009D406A">
        <w:t>.  Le requérant allègue que la durée de la procédure en cause est incompatible avec l</w:t>
      </w:r>
      <w:r w:rsidRPr="009D406A" w:rsidR="009D406A">
        <w:t>’</w:t>
      </w:r>
      <w:r w:rsidRPr="009D406A">
        <w:t>exigence du « délai raisonnable ». Il invoque l</w:t>
      </w:r>
      <w:r w:rsidRPr="009D406A" w:rsidR="009D406A">
        <w:t>’</w:t>
      </w:r>
      <w:r w:rsidRPr="009D406A">
        <w:t>article 6</w:t>
      </w:r>
      <w:r w:rsidRPr="009D406A" w:rsidR="00800E99">
        <w:t> </w:t>
      </w:r>
      <w:r w:rsidRPr="009D406A">
        <w:t>§ 1 de la Convention, ainsi libellé :</w:t>
      </w:r>
    </w:p>
    <w:p w:rsidRPr="009D406A" w:rsidR="00DA3E62" w:rsidP="009D406A" w:rsidRDefault="00DA3E62" w14:paraId="10813E44" w14:textId="77777777">
      <w:pPr>
        <w:pStyle w:val="JuQuot"/>
      </w:pPr>
      <w:r w:rsidRPr="009D406A">
        <w:t>« Toute personne a droit à ce que sa cause soit entendue (...) dans un délai raisonnable, par un tribunal (...), qui décidera (...) du bien-fondé de toute accusation en matière pénale dirigée contre elle (...) »</w:t>
      </w:r>
    </w:p>
    <w:p w:rsidRPr="009D406A" w:rsidR="00DA3E62" w:rsidP="009D406A" w:rsidRDefault="00DA3E62" w14:paraId="493E7B1D" w14:textId="77777777">
      <w:pPr>
        <w:pStyle w:val="JuHA"/>
        <w:ind w:left="1191"/>
      </w:pPr>
      <w:r w:rsidRPr="009D406A">
        <w:t>Sur la recevabilité</w:t>
      </w:r>
    </w:p>
    <w:p w:rsidRPr="009D406A" w:rsidR="00DA3E62" w:rsidP="009D406A" w:rsidRDefault="00DA3E62" w14:paraId="7D05DB27" w14:textId="36EF83EC">
      <w:pPr>
        <w:pStyle w:val="JuPara"/>
      </w:pPr>
      <w:r w:rsidRPr="009D406A">
        <w:fldChar w:fldCharType="begin"/>
      </w:r>
      <w:r w:rsidRPr="009D406A">
        <w:instrText xml:space="preserve"> SEQ level0 \*arabic </w:instrText>
      </w:r>
      <w:r w:rsidRPr="009D406A">
        <w:fldChar w:fldCharType="separate"/>
      </w:r>
      <w:r w:rsidRPr="009D406A" w:rsidR="009D406A">
        <w:rPr>
          <w:noProof/>
        </w:rPr>
        <w:t>39</w:t>
      </w:r>
      <w:r w:rsidRPr="009D406A">
        <w:fldChar w:fldCharType="end"/>
      </w:r>
      <w:r w:rsidRPr="009D406A">
        <w:t>.  Constatant que ce grief n</w:t>
      </w:r>
      <w:r w:rsidRPr="009D406A" w:rsidR="009D406A">
        <w:t>’</w:t>
      </w:r>
      <w:r w:rsidRPr="009D406A">
        <w:t>est pas manifestement mal fondé au sens de l</w:t>
      </w:r>
      <w:r w:rsidRPr="009D406A" w:rsidR="009D406A">
        <w:t>’</w:t>
      </w:r>
      <w:r w:rsidRPr="009D406A">
        <w:t>article 35 § 3 a) de la Convention et qu</w:t>
      </w:r>
      <w:r w:rsidRPr="009D406A" w:rsidR="009D406A">
        <w:t>’</w:t>
      </w:r>
      <w:r w:rsidRPr="009D406A">
        <w:t>il ne se heurte par ailleurs à aucun autre motif d</w:t>
      </w:r>
      <w:r w:rsidRPr="009D406A" w:rsidR="009D406A">
        <w:t>’</w:t>
      </w:r>
      <w:r w:rsidRPr="009D406A">
        <w:t>irrecevabilité, la Cour le déclare recevable.</w:t>
      </w:r>
    </w:p>
    <w:p w:rsidRPr="009D406A" w:rsidR="00DA3E62" w:rsidP="009D406A" w:rsidRDefault="00DA3E62" w14:paraId="64B55C47" w14:textId="77777777">
      <w:pPr>
        <w:pStyle w:val="JuHA"/>
        <w:ind w:left="1191"/>
      </w:pPr>
      <w:r w:rsidRPr="009D406A">
        <w:t>Sur le fond</w:t>
      </w:r>
    </w:p>
    <w:p w:rsidRPr="009D406A" w:rsidR="00DA3E62" w:rsidP="009D406A" w:rsidRDefault="00DA3E62" w14:paraId="1CA20C67" w14:textId="63EFBE15">
      <w:pPr>
        <w:pStyle w:val="JuPara"/>
      </w:pPr>
      <w:r w:rsidRPr="009D406A">
        <w:fldChar w:fldCharType="begin"/>
      </w:r>
      <w:r w:rsidRPr="009D406A">
        <w:instrText xml:space="preserve"> SEQ level0 \*arabic </w:instrText>
      </w:r>
      <w:r w:rsidRPr="009D406A">
        <w:fldChar w:fldCharType="separate"/>
      </w:r>
      <w:r w:rsidRPr="009D406A" w:rsidR="009D406A">
        <w:rPr>
          <w:noProof/>
        </w:rPr>
        <w:t>40</w:t>
      </w:r>
      <w:r w:rsidRPr="009D406A">
        <w:fldChar w:fldCharType="end"/>
      </w:r>
      <w:r w:rsidRPr="009D406A">
        <w:t>.  En ce qui concerne le bien-fondé de cette partie de la requête, le Gouvernement ne conteste pas que la période à considérer a débuté le 17</w:t>
      </w:r>
      <w:r w:rsidRPr="009D406A" w:rsidR="00F8540D">
        <w:t> </w:t>
      </w:r>
      <w:r w:rsidRPr="009D406A">
        <w:t>décembre 2001 avec la mise à l</w:t>
      </w:r>
      <w:r w:rsidRPr="009D406A" w:rsidR="009D406A">
        <w:t>’</w:t>
      </w:r>
      <w:r w:rsidRPr="009D406A">
        <w:t>instruction de la cause du chef de corruption à charge du requérant, et qu</w:t>
      </w:r>
      <w:r w:rsidRPr="009D406A" w:rsidR="009D406A">
        <w:t>’</w:t>
      </w:r>
      <w:r w:rsidRPr="009D406A">
        <w:t>elle s</w:t>
      </w:r>
      <w:r w:rsidRPr="009D406A" w:rsidR="009D406A">
        <w:t>’</w:t>
      </w:r>
      <w:r w:rsidRPr="009D406A">
        <w:t>est terminée avec l</w:t>
      </w:r>
      <w:r w:rsidRPr="009D406A" w:rsidR="009D406A">
        <w:t>’</w:t>
      </w:r>
      <w:r w:rsidRPr="009D406A">
        <w:t xml:space="preserve">arrêt de la Cour de cassation du 15 octobre 2014. </w:t>
      </w:r>
      <w:r w:rsidRPr="009D406A" w:rsidR="001E6E21">
        <w:t>La Cour s</w:t>
      </w:r>
      <w:r w:rsidRPr="009D406A" w:rsidR="009D406A">
        <w:t>’</w:t>
      </w:r>
      <w:r w:rsidRPr="009D406A" w:rsidR="001E6E21">
        <w:t xml:space="preserve">en tiendra à la période ainsi délimitée. </w:t>
      </w:r>
      <w:r w:rsidRPr="009D406A">
        <w:t>La procédure a donc duré un peu moins de 13 ans, pour deux phases (instruction judiciaire et fond), chacune devant trois instances.</w:t>
      </w:r>
    </w:p>
    <w:p w:rsidRPr="009D406A" w:rsidR="00DA3E62" w:rsidP="009D406A" w:rsidRDefault="00DA3E62" w14:paraId="0FC28185" w14:textId="3502CC05">
      <w:pPr>
        <w:pStyle w:val="JuPara"/>
      </w:pPr>
      <w:r w:rsidRPr="009D406A">
        <w:fldChar w:fldCharType="begin"/>
      </w:r>
      <w:r w:rsidRPr="009D406A">
        <w:instrText xml:space="preserve"> SEQ level0 \*arabic </w:instrText>
      </w:r>
      <w:r w:rsidRPr="009D406A">
        <w:fldChar w:fldCharType="separate"/>
      </w:r>
      <w:r w:rsidRPr="009D406A" w:rsidR="009D406A">
        <w:rPr>
          <w:noProof/>
        </w:rPr>
        <w:t>41</w:t>
      </w:r>
      <w:r w:rsidRPr="009D406A">
        <w:fldChar w:fldCharType="end"/>
      </w:r>
      <w:r w:rsidRPr="009D406A">
        <w:t>.  La Cour rappelle que la durée « raisonnable » d</w:t>
      </w:r>
      <w:r w:rsidRPr="009D406A" w:rsidR="009D406A">
        <w:t>’</w:t>
      </w:r>
      <w:r w:rsidRPr="009D406A">
        <w:t>une procédure pénale doit s</w:t>
      </w:r>
      <w:r w:rsidRPr="009D406A" w:rsidR="009D406A">
        <w:t>’</w:t>
      </w:r>
      <w:r w:rsidRPr="009D406A">
        <w:t>apprécier suivant les circonstances de la cause et à l</w:t>
      </w:r>
      <w:r w:rsidRPr="009D406A" w:rsidR="009D406A">
        <w:t>’</w:t>
      </w:r>
      <w:r w:rsidRPr="009D406A">
        <w:t>aide des critères suivants : la complexité de l</w:t>
      </w:r>
      <w:r w:rsidRPr="009D406A" w:rsidR="009D406A">
        <w:t>’</w:t>
      </w:r>
      <w:r w:rsidRPr="009D406A">
        <w:t>affaire, le comportement des requérants et celui des autorités compétentes (voir, parmi beaucoup d</w:t>
      </w:r>
      <w:r w:rsidRPr="009D406A" w:rsidR="009D406A">
        <w:t>’</w:t>
      </w:r>
      <w:r w:rsidRPr="009D406A">
        <w:t xml:space="preserve">autres, </w:t>
      </w:r>
      <w:r w:rsidRPr="009D406A">
        <w:rPr>
          <w:i/>
          <w:iCs/>
        </w:rPr>
        <w:t>Pélissier et Sassi c. France</w:t>
      </w:r>
      <w:r w:rsidRPr="009D406A">
        <w:t xml:space="preserve"> [GC], n</w:t>
      </w:r>
      <w:r w:rsidRPr="009D406A">
        <w:rPr>
          <w:vertAlign w:val="superscript"/>
        </w:rPr>
        <w:t>o</w:t>
      </w:r>
      <w:r w:rsidRPr="009D406A">
        <w:t> 25444/94, §</w:t>
      </w:r>
      <w:r w:rsidRPr="009D406A" w:rsidR="0017584D">
        <w:t> </w:t>
      </w:r>
      <w:r w:rsidRPr="009D406A">
        <w:t>67, CEDH</w:t>
      </w:r>
      <w:r w:rsidRPr="009D406A" w:rsidR="0017584D">
        <w:t> </w:t>
      </w:r>
      <w:r w:rsidRPr="009D406A">
        <w:t xml:space="preserve">1999‑II, et </w:t>
      </w:r>
      <w:r w:rsidRPr="009D406A">
        <w:rPr>
          <w:i/>
        </w:rPr>
        <w:t>J.R. c.</w:t>
      </w:r>
      <w:r w:rsidRPr="009D406A" w:rsidR="00F8540D">
        <w:rPr>
          <w:i/>
        </w:rPr>
        <w:t> </w:t>
      </w:r>
      <w:r w:rsidRPr="009D406A">
        <w:rPr>
          <w:i/>
        </w:rPr>
        <w:t>Belgique,</w:t>
      </w:r>
      <w:r w:rsidRPr="009D406A">
        <w:t xml:space="preserve"> n</w:t>
      </w:r>
      <w:r w:rsidRPr="009D406A">
        <w:rPr>
          <w:vertAlign w:val="superscript"/>
        </w:rPr>
        <w:t>o</w:t>
      </w:r>
      <w:r w:rsidRPr="009D406A">
        <w:t xml:space="preserve"> 56367/09, </w:t>
      </w:r>
      <w:r w:rsidRPr="009D406A">
        <w:rPr>
          <w:rFonts w:ascii="Times New Roman" w:hAnsi="Times New Roman" w:eastAsia="Times New Roman" w:cs="Times New Roman"/>
        </w:rPr>
        <w:t>§ 59</w:t>
      </w:r>
      <w:r w:rsidRPr="009D406A">
        <w:t>, 24 janvier 2017).</w:t>
      </w:r>
    </w:p>
    <w:p w:rsidRPr="009D406A" w:rsidR="00DA3E62" w:rsidP="009D406A" w:rsidRDefault="00DA3E62" w14:paraId="33EF8457" w14:textId="7BEE6213">
      <w:pPr>
        <w:pStyle w:val="JuPara"/>
      </w:pPr>
      <w:r w:rsidRPr="009D406A">
        <w:fldChar w:fldCharType="begin"/>
      </w:r>
      <w:r w:rsidRPr="009D406A">
        <w:instrText xml:space="preserve"> SEQ level0 \*arabic </w:instrText>
      </w:r>
      <w:r w:rsidRPr="009D406A">
        <w:fldChar w:fldCharType="separate"/>
      </w:r>
      <w:r w:rsidRPr="009D406A" w:rsidR="009D406A">
        <w:rPr>
          <w:noProof/>
        </w:rPr>
        <w:t>42</w:t>
      </w:r>
      <w:r w:rsidRPr="009D406A">
        <w:fldChar w:fldCharType="end"/>
      </w:r>
      <w:r w:rsidRPr="009D406A">
        <w:t>.  L</w:t>
      </w:r>
      <w:r w:rsidRPr="009D406A" w:rsidR="009D406A">
        <w:t>’</w:t>
      </w:r>
      <w:r w:rsidRPr="009D406A">
        <w:t>instruction de l</w:t>
      </w:r>
      <w:r w:rsidRPr="009D406A" w:rsidR="009D406A">
        <w:t>’</w:t>
      </w:r>
      <w:r w:rsidRPr="009D406A">
        <w:t>affaire revêtait certainement, comme le souligne le Gouvernement, une complexité considérable liée notamment à la nature des préventions (criminalité « en col blanc »), au nombre de chefs d</w:t>
      </w:r>
      <w:r w:rsidRPr="009D406A" w:rsidR="009D406A">
        <w:t>’</w:t>
      </w:r>
      <w:r w:rsidRPr="009D406A">
        <w:t>inculpation (une septantaine) et de personnes impliquées (seize prévenus), de la dimension internationale de l</w:t>
      </w:r>
      <w:r w:rsidRPr="009D406A" w:rsidR="009D406A">
        <w:t>’</w:t>
      </w:r>
      <w:r w:rsidRPr="009D406A">
        <w:t>affaire ainsi qu</w:t>
      </w:r>
      <w:r w:rsidRPr="009D406A" w:rsidR="009D406A">
        <w:t>’</w:t>
      </w:r>
      <w:r w:rsidRPr="009D406A">
        <w:t>à la longueur de la période infractionnelle (une douzaine d</w:t>
      </w:r>
      <w:r w:rsidRPr="009D406A" w:rsidR="009D406A">
        <w:t>’</w:t>
      </w:r>
      <w:r w:rsidRPr="009D406A">
        <w:t>années). La Cour note toutefois que le Gouvernement admet que cela ne suffit pas à expliquer pourquoi la procédure dirigée contre le requérant a connu une durée de presque 13 ans.</w:t>
      </w:r>
    </w:p>
    <w:p w:rsidRPr="009D406A" w:rsidR="00DA3E62" w:rsidP="009D406A" w:rsidRDefault="00DA3E62" w14:paraId="06B4B9DA" w14:textId="5FE093F4">
      <w:pPr>
        <w:pStyle w:val="JuPara"/>
      </w:pPr>
      <w:r w:rsidRPr="009D406A">
        <w:fldChar w:fldCharType="begin"/>
      </w:r>
      <w:r w:rsidRPr="009D406A">
        <w:instrText xml:space="preserve"> SEQ level0 \*arabic </w:instrText>
      </w:r>
      <w:r w:rsidRPr="009D406A">
        <w:fldChar w:fldCharType="separate"/>
      </w:r>
      <w:r w:rsidRPr="009D406A" w:rsidR="009D406A">
        <w:rPr>
          <w:noProof/>
        </w:rPr>
        <w:t>43</w:t>
      </w:r>
      <w:r w:rsidRPr="009D406A">
        <w:fldChar w:fldCharType="end"/>
      </w:r>
      <w:r w:rsidRPr="009D406A">
        <w:t>.  Pour ce qui est du comportement du requérant, le Gouvernement lui reproche notamment d</w:t>
      </w:r>
      <w:r w:rsidRPr="009D406A" w:rsidR="009D406A">
        <w:t>’</w:t>
      </w:r>
      <w:r w:rsidRPr="009D406A">
        <w:t>avoir retardé la procédure tant au niveau de l</w:t>
      </w:r>
      <w:r w:rsidRPr="009D406A" w:rsidR="009D406A">
        <w:t>’</w:t>
      </w:r>
      <w:r w:rsidRPr="009D406A">
        <w:t>instruction (avec notamment des requêtes en récusation du juge d</w:t>
      </w:r>
      <w:r w:rsidRPr="009D406A" w:rsidR="009D406A">
        <w:t>’</w:t>
      </w:r>
      <w:r w:rsidRPr="009D406A">
        <w:t>instruction manifestement irrecevables ou non fondées), qu</w:t>
      </w:r>
      <w:r w:rsidRPr="009D406A" w:rsidR="009D406A">
        <w:t>’</w:t>
      </w:r>
      <w:r w:rsidRPr="009D406A">
        <w:t>au niveau du règlement de la procédure après la fin de l</w:t>
      </w:r>
      <w:r w:rsidRPr="009D406A" w:rsidR="009D406A">
        <w:t>’</w:t>
      </w:r>
      <w:r w:rsidRPr="009D406A">
        <w:t>instruction, c</w:t>
      </w:r>
      <w:r w:rsidRPr="009D406A" w:rsidR="009D406A">
        <w:t>’</w:t>
      </w:r>
      <w:r w:rsidRPr="009D406A">
        <w:t>est-à-dire entre le 23</w:t>
      </w:r>
      <w:r w:rsidRPr="009D406A" w:rsidR="0017584D">
        <w:t> </w:t>
      </w:r>
      <w:r w:rsidRPr="009D406A">
        <w:t>janvier 2008 et le 1</w:t>
      </w:r>
      <w:r w:rsidRPr="009D406A">
        <w:rPr>
          <w:vertAlign w:val="superscript"/>
        </w:rPr>
        <w:t>er</w:t>
      </w:r>
      <w:r w:rsidRPr="009D406A">
        <w:t xml:space="preserve"> juin 2011 (avec « un nombre ahurissant d</w:t>
      </w:r>
      <w:r w:rsidRPr="009D406A" w:rsidR="009D406A">
        <w:t>’</w:t>
      </w:r>
      <w:r w:rsidRPr="009D406A">
        <w:t>avatars de procédure forcément chronophages »), et au niveau de l</w:t>
      </w:r>
      <w:r w:rsidRPr="009D406A" w:rsidR="009D406A">
        <w:t>’</w:t>
      </w:r>
      <w:r w:rsidRPr="009D406A">
        <w:t>examen de l</w:t>
      </w:r>
      <w:r w:rsidRPr="009D406A" w:rsidR="009D406A">
        <w:t>’</w:t>
      </w:r>
      <w:r w:rsidRPr="009D406A">
        <w:t>affaire devant les juridictions du fond (avec des demandes de surséance, des non-comparutions, des oppositions et une fuite à l</w:t>
      </w:r>
      <w:r w:rsidRPr="009D406A" w:rsidR="009D406A">
        <w:t>’</w:t>
      </w:r>
      <w:r w:rsidRPr="009D406A">
        <w:t>étranger).</w:t>
      </w:r>
    </w:p>
    <w:p w:rsidRPr="009D406A" w:rsidR="00DA3E62" w:rsidP="009D406A" w:rsidRDefault="00DA3E62" w14:paraId="5E4A952B" w14:textId="613748F9">
      <w:pPr>
        <w:pStyle w:val="JuPara"/>
      </w:pPr>
      <w:r w:rsidRPr="009D406A">
        <w:fldChar w:fldCharType="begin"/>
      </w:r>
      <w:r w:rsidRPr="009D406A">
        <w:instrText xml:space="preserve"> SEQ level0 \*arabic </w:instrText>
      </w:r>
      <w:r w:rsidRPr="009D406A">
        <w:fldChar w:fldCharType="separate"/>
      </w:r>
      <w:r w:rsidRPr="009D406A" w:rsidR="009D406A">
        <w:rPr>
          <w:noProof/>
        </w:rPr>
        <w:t>44</w:t>
      </w:r>
      <w:r w:rsidRPr="009D406A">
        <w:fldChar w:fldCharType="end"/>
      </w:r>
      <w:r w:rsidRPr="009D406A">
        <w:t>. </w:t>
      </w:r>
      <w:r w:rsidRPr="009D406A" w:rsidR="0017584D">
        <w:t> </w:t>
      </w:r>
      <w:r w:rsidRPr="009D406A">
        <w:t>La Cour convient que ces éléments attribuables au requérant ont contribué à la durée de la procédure dirigée contre lui. Elle estime toutefois qu</w:t>
      </w:r>
      <w:r w:rsidRPr="009D406A" w:rsidR="009D406A">
        <w:t>’</w:t>
      </w:r>
      <w:r w:rsidRPr="009D406A">
        <w:t>ils n</w:t>
      </w:r>
      <w:r w:rsidRPr="009D406A" w:rsidR="009D406A">
        <w:t>’</w:t>
      </w:r>
      <w:r w:rsidRPr="009D406A">
        <w:t>expliquent pas la totalité de la durée de la procédure.</w:t>
      </w:r>
    </w:p>
    <w:p w:rsidRPr="009D406A" w:rsidR="00DA3E62" w:rsidP="009D406A" w:rsidRDefault="00DA3E62" w14:paraId="6E497C91" w14:textId="3C684BBE">
      <w:pPr>
        <w:pStyle w:val="JuPara"/>
      </w:pPr>
      <w:r w:rsidRPr="009D406A">
        <w:fldChar w:fldCharType="begin"/>
      </w:r>
      <w:r w:rsidRPr="009D406A">
        <w:instrText xml:space="preserve"> SEQ level0 \*arabic </w:instrText>
      </w:r>
      <w:r w:rsidRPr="009D406A">
        <w:fldChar w:fldCharType="separate"/>
      </w:r>
      <w:r w:rsidRPr="009D406A" w:rsidR="009D406A">
        <w:rPr>
          <w:noProof/>
        </w:rPr>
        <w:t>45</w:t>
      </w:r>
      <w:r w:rsidRPr="009D406A">
        <w:fldChar w:fldCharType="end"/>
      </w:r>
      <w:r w:rsidRPr="009D406A">
        <w:t>.  Pour ce qui est du comportement des autorités, la Cour rappelle que l</w:t>
      </w:r>
      <w:r w:rsidRPr="009D406A" w:rsidR="009D406A">
        <w:t>’</w:t>
      </w:r>
      <w:r w:rsidRPr="009D406A">
        <w:t>article 6 § 1 astreint les États contractants à organiser leur système judiciaire de telle sorte que leurs cours et tribunaux puissent remplir chacune de ses exigences, notamment celle du délai raisonnable (</w:t>
      </w:r>
      <w:r w:rsidRPr="009D406A">
        <w:rPr>
          <w:i/>
          <w:iCs/>
        </w:rPr>
        <w:t>J.R. c.</w:t>
      </w:r>
      <w:r w:rsidRPr="009D406A" w:rsidR="0017584D">
        <w:rPr>
          <w:i/>
          <w:iCs/>
        </w:rPr>
        <w:t> </w:t>
      </w:r>
      <w:r w:rsidRPr="009D406A">
        <w:rPr>
          <w:i/>
          <w:iCs/>
        </w:rPr>
        <w:t>Belgique</w:t>
      </w:r>
      <w:r w:rsidRPr="009D406A">
        <w:t>, précité, §</w:t>
      </w:r>
      <w:r w:rsidRPr="009D406A" w:rsidR="00F8540D">
        <w:t> </w:t>
      </w:r>
      <w:r w:rsidRPr="009D406A">
        <w:t>63, et références citées). Or elle constate en particulier que la phase de l</w:t>
      </w:r>
      <w:r w:rsidRPr="009D406A" w:rsidR="009D406A">
        <w:t>’</w:t>
      </w:r>
      <w:r w:rsidRPr="009D406A">
        <w:t>instruction a duré six ans et que cette période a été encore suivie d</w:t>
      </w:r>
      <w:r w:rsidRPr="009D406A" w:rsidR="009D406A">
        <w:t>’</w:t>
      </w:r>
      <w:r w:rsidRPr="009D406A">
        <w:t>une période de presque quatre ans pour le règlement de la procédure et la fixation de l</w:t>
      </w:r>
      <w:r w:rsidRPr="009D406A" w:rsidR="009D406A">
        <w:t>’</w:t>
      </w:r>
      <w:r w:rsidRPr="009D406A">
        <w:t>affaire devant le juge du fond de première instance (paragraphe </w:t>
      </w:r>
      <w:r w:rsidRPr="009D406A">
        <w:fldChar w:fldCharType="begin"/>
      </w:r>
      <w:r w:rsidRPr="009D406A">
        <w:instrText xml:space="preserve"> REF FaitsDuréeInstruction \h </w:instrText>
      </w:r>
      <w:r w:rsidRPr="009D406A" w:rsidR="0017584D">
        <w:instrText xml:space="preserve"> \* MERGEFORMAT </w:instrText>
      </w:r>
      <w:r w:rsidRPr="009D406A">
        <w:fldChar w:fldCharType="separate"/>
      </w:r>
      <w:r w:rsidRPr="009D406A" w:rsidR="009D406A">
        <w:t>10</w:t>
      </w:r>
      <w:r w:rsidRPr="009D406A">
        <w:fldChar w:fldCharType="end"/>
      </w:r>
      <w:r w:rsidRPr="009D406A">
        <w:t xml:space="preserve"> ci‑dessus). À partir de ce moment, la procédure devant les juridictions du fond, de trois ans, peut être considérée comme n</w:t>
      </w:r>
      <w:r w:rsidRPr="009D406A" w:rsidR="009D406A">
        <w:t>’</w:t>
      </w:r>
      <w:r w:rsidRPr="009D406A">
        <w:t>ayant pas été déraisonnablement longue.</w:t>
      </w:r>
    </w:p>
    <w:p w:rsidRPr="009D406A" w:rsidR="00DA3E62" w:rsidP="009D406A" w:rsidRDefault="00DA3E62" w14:paraId="143CC0BD" w14:textId="33CCB87C">
      <w:pPr>
        <w:pStyle w:val="JuPara"/>
      </w:pPr>
      <w:r w:rsidRPr="009D406A">
        <w:fldChar w:fldCharType="begin"/>
      </w:r>
      <w:r w:rsidRPr="009D406A">
        <w:instrText xml:space="preserve"> SEQ level0 \*arabic </w:instrText>
      </w:r>
      <w:r w:rsidRPr="009D406A">
        <w:fldChar w:fldCharType="separate"/>
      </w:r>
      <w:r w:rsidRPr="009D406A" w:rsidR="009D406A">
        <w:rPr>
          <w:noProof/>
        </w:rPr>
        <w:t>46</w:t>
      </w:r>
      <w:r w:rsidRPr="009D406A">
        <w:fldChar w:fldCharType="end"/>
      </w:r>
      <w:r w:rsidRPr="009D406A">
        <w:t>.  Sur la base de l</w:t>
      </w:r>
      <w:r w:rsidRPr="009D406A" w:rsidR="009D406A">
        <w:t>’</w:t>
      </w:r>
      <w:r w:rsidRPr="009D406A">
        <w:t>ensemble des éléments considérés, la Cour réitère que la complexité de l</w:t>
      </w:r>
      <w:r w:rsidRPr="009D406A" w:rsidR="009D406A">
        <w:t>’</w:t>
      </w:r>
      <w:r w:rsidRPr="009D406A">
        <w:t>affaire et le comportement du requérant n</w:t>
      </w:r>
      <w:r w:rsidRPr="009D406A" w:rsidR="009D406A">
        <w:t>’</w:t>
      </w:r>
      <w:r w:rsidRPr="009D406A">
        <w:t>expliquent pas à eux seuls la longueur de la procédure ; la cause majeure de celle-ci réside dans la manière dont les autorités ont conduit l</w:t>
      </w:r>
      <w:r w:rsidRPr="009D406A" w:rsidR="009D406A">
        <w:t>’</w:t>
      </w:r>
      <w:r w:rsidRPr="009D406A">
        <w:t>affaire, en particulier au stade de l</w:t>
      </w:r>
      <w:r w:rsidRPr="009D406A" w:rsidR="009D406A">
        <w:t>’</w:t>
      </w:r>
      <w:r w:rsidRPr="009D406A">
        <w:t>instruction et du règlement de la procédure. Il n</w:t>
      </w:r>
      <w:r w:rsidRPr="009D406A" w:rsidR="009D406A">
        <w:t>’</w:t>
      </w:r>
      <w:r w:rsidRPr="009D406A">
        <w:t>incombe pas à la Cour de déterminer les raisons des délais constatés. C</w:t>
      </w:r>
      <w:r w:rsidRPr="009D406A" w:rsidR="009D406A">
        <w:t>’</w:t>
      </w:r>
      <w:r w:rsidRPr="009D406A">
        <w:t>est sans doute une combinaison de facteurs, tous tenant à l</w:t>
      </w:r>
      <w:r w:rsidRPr="009D406A" w:rsidR="009D406A">
        <w:t>’</w:t>
      </w:r>
      <w:r w:rsidRPr="009D406A">
        <w:t>organisation de la justice dans l</w:t>
      </w:r>
      <w:r w:rsidRPr="009D406A" w:rsidR="009D406A">
        <w:t>’</w:t>
      </w:r>
      <w:r w:rsidRPr="009D406A">
        <w:t>arrondissement de Bruxelles par l</w:t>
      </w:r>
      <w:r w:rsidRPr="009D406A" w:rsidR="009D406A">
        <w:t>’</w:t>
      </w:r>
      <w:r w:rsidRPr="009D406A">
        <w:t>ensemble des acteurs concernés, qui y a contribué.</w:t>
      </w:r>
    </w:p>
    <w:bookmarkStart w:name="CourConclusionDurée" w:id="21"/>
    <w:p w:rsidRPr="009D406A" w:rsidR="00DA3E62" w:rsidP="009D406A" w:rsidRDefault="00DA3E62" w14:paraId="79BAC216" w14:textId="38067E30">
      <w:pPr>
        <w:pStyle w:val="JuPara"/>
      </w:pPr>
      <w:r w:rsidRPr="009D406A">
        <w:fldChar w:fldCharType="begin"/>
      </w:r>
      <w:r w:rsidRPr="009D406A">
        <w:instrText xml:space="preserve"> SEQ level0 \*arabic </w:instrText>
      </w:r>
      <w:r w:rsidRPr="009D406A">
        <w:fldChar w:fldCharType="separate"/>
      </w:r>
      <w:r w:rsidRPr="009D406A" w:rsidR="009D406A">
        <w:rPr>
          <w:noProof/>
        </w:rPr>
        <w:t>47</w:t>
      </w:r>
      <w:r w:rsidRPr="009D406A">
        <w:fldChar w:fldCharType="end"/>
      </w:r>
      <w:bookmarkEnd w:id="21"/>
      <w:r w:rsidRPr="009D406A">
        <w:t>.  Partant, il y a eu violation de l</w:t>
      </w:r>
      <w:r w:rsidRPr="009D406A" w:rsidR="009D406A">
        <w:t>’</w:t>
      </w:r>
      <w:r w:rsidRPr="009D406A">
        <w:t>article 6 § 1 de la Convention.</w:t>
      </w:r>
    </w:p>
    <w:p w:rsidRPr="009D406A" w:rsidR="00DA3E62" w:rsidP="009D406A" w:rsidRDefault="00DA3E62" w14:paraId="0CB4C560" w14:textId="0F120E99">
      <w:pPr>
        <w:pStyle w:val="JuHIRoman"/>
      </w:pPr>
      <w:r w:rsidRPr="009D406A">
        <w:t>SUR L</w:t>
      </w:r>
      <w:r w:rsidRPr="009D406A" w:rsidR="009D406A">
        <w:t>’</w:t>
      </w:r>
      <w:r w:rsidRPr="009D406A">
        <w:t>APPLICATION DE L</w:t>
      </w:r>
      <w:r w:rsidRPr="009D406A" w:rsidR="009D406A">
        <w:t>’</w:t>
      </w:r>
      <w:r w:rsidRPr="009D406A">
        <w:t>ARTICLE 41 DE LA CONVENTION</w:t>
      </w:r>
    </w:p>
    <w:p w:rsidRPr="009D406A" w:rsidR="00DA3E62" w:rsidP="009D406A" w:rsidRDefault="00DA3E62" w14:paraId="0E049F43" w14:textId="5DA5BDE5">
      <w:pPr>
        <w:pStyle w:val="JuPara"/>
      </w:pPr>
      <w:r w:rsidRPr="009D406A">
        <w:fldChar w:fldCharType="begin"/>
      </w:r>
      <w:r w:rsidRPr="009D406A">
        <w:instrText xml:space="preserve"> SEQ level0 \*arabic </w:instrText>
      </w:r>
      <w:r w:rsidRPr="009D406A">
        <w:fldChar w:fldCharType="separate"/>
      </w:r>
      <w:r w:rsidRPr="009D406A" w:rsidR="009D406A">
        <w:rPr>
          <w:noProof/>
        </w:rPr>
        <w:t>48</w:t>
      </w:r>
      <w:r w:rsidRPr="009D406A">
        <w:fldChar w:fldCharType="end"/>
      </w:r>
      <w:r w:rsidRPr="009D406A">
        <w:t>.  Aux termes de l</w:t>
      </w:r>
      <w:r w:rsidRPr="009D406A" w:rsidR="009D406A">
        <w:t>’</w:t>
      </w:r>
      <w:r w:rsidRPr="009D406A">
        <w:t>article 41 de la Convention :</w:t>
      </w:r>
    </w:p>
    <w:p w:rsidRPr="009D406A" w:rsidR="00DA3E62" w:rsidP="009D406A" w:rsidRDefault="00DA3E62" w14:paraId="625E8755" w14:textId="1C73E530">
      <w:pPr>
        <w:pStyle w:val="JuQuot"/>
      </w:pPr>
      <w:r w:rsidRPr="009D406A">
        <w:t>« Si la Cour déclare qu</w:t>
      </w:r>
      <w:r w:rsidRPr="009D406A" w:rsidR="009D406A">
        <w:t>’</w:t>
      </w:r>
      <w:r w:rsidRPr="009D406A">
        <w:t>il y a eu violation de la Convention ou de ses Protocoles, et si le droit interne de la Haute Partie contractante ne permet d</w:t>
      </w:r>
      <w:r w:rsidRPr="009D406A" w:rsidR="009D406A">
        <w:t>’</w:t>
      </w:r>
      <w:r w:rsidRPr="009D406A">
        <w:t>effacer qu</w:t>
      </w:r>
      <w:r w:rsidRPr="009D406A" w:rsidR="009D406A">
        <w:t>’</w:t>
      </w:r>
      <w:r w:rsidRPr="009D406A">
        <w:t>imparfaitement les conséquences de cette violation, la Cour accorde à la partie lésée, s</w:t>
      </w:r>
      <w:r w:rsidRPr="009D406A" w:rsidR="009D406A">
        <w:t>’</w:t>
      </w:r>
      <w:r w:rsidRPr="009D406A">
        <w:t>il y a lieu, une satisfaction équitable. »</w:t>
      </w:r>
    </w:p>
    <w:p w:rsidRPr="009D406A" w:rsidR="00DA3E62" w:rsidP="009D406A" w:rsidRDefault="00DA3E62" w14:paraId="5F7AB858" w14:textId="2A9BBDCA">
      <w:pPr>
        <w:pStyle w:val="JuPara"/>
      </w:pPr>
      <w:r w:rsidRPr="009D406A">
        <w:fldChar w:fldCharType="begin"/>
      </w:r>
      <w:r w:rsidRPr="009D406A">
        <w:instrText xml:space="preserve"> SEQ level0 \*arabic </w:instrText>
      </w:r>
      <w:r w:rsidRPr="009D406A">
        <w:fldChar w:fldCharType="separate"/>
      </w:r>
      <w:r w:rsidRPr="009D406A" w:rsidR="009D406A">
        <w:rPr>
          <w:noProof/>
        </w:rPr>
        <w:t>49</w:t>
      </w:r>
      <w:r w:rsidRPr="009D406A">
        <w:fldChar w:fldCharType="end"/>
      </w:r>
      <w:r w:rsidRPr="009D406A">
        <w:t>.  Le requérant demande 290</w:t>
      </w:r>
      <w:r w:rsidRPr="009D406A" w:rsidR="00B8484E">
        <w:t> </w:t>
      </w:r>
      <w:r w:rsidRPr="009D406A">
        <w:t xml:space="preserve">000 </w:t>
      </w:r>
      <w:r w:rsidRPr="009D406A" w:rsidR="00B8484E">
        <w:t xml:space="preserve">euros (EUR) </w:t>
      </w:r>
      <w:r w:rsidRPr="009D406A">
        <w:t>au titre du préjudice matériel subi, soit le montant des impositions réclamées par l</w:t>
      </w:r>
      <w:r w:rsidRPr="009D406A" w:rsidR="009D406A">
        <w:t>’</w:t>
      </w:r>
      <w:r w:rsidRPr="009D406A">
        <w:t>administration fiscale à la suite de sa condamnation pénale. Il réclame également 40 000 EUR au titre du dommage moral subi ainsi que la réouverture de la procédure pénale. Il ne soumet aucune prétention au titre des frais et dépens.</w:t>
      </w:r>
    </w:p>
    <w:p w:rsidRPr="009D406A" w:rsidR="00DA3E62" w:rsidP="009D406A" w:rsidRDefault="00DA3E62" w14:paraId="01FEFA77" w14:textId="378E574D">
      <w:pPr>
        <w:pStyle w:val="JuPara"/>
      </w:pPr>
      <w:r w:rsidRPr="009D406A">
        <w:fldChar w:fldCharType="begin"/>
      </w:r>
      <w:r w:rsidRPr="009D406A">
        <w:instrText xml:space="preserve"> SEQ level0 \*arabic </w:instrText>
      </w:r>
      <w:r w:rsidRPr="009D406A">
        <w:fldChar w:fldCharType="separate"/>
      </w:r>
      <w:r w:rsidRPr="009D406A" w:rsidR="009D406A">
        <w:rPr>
          <w:noProof/>
        </w:rPr>
        <w:t>50</w:t>
      </w:r>
      <w:r w:rsidRPr="009D406A">
        <w:fldChar w:fldCharType="end"/>
      </w:r>
      <w:r w:rsidRPr="009D406A">
        <w:t>.  Le Gouvernement estime que la satisfaction équitable devrait se limiter, au titre de la durée excessive de la procédure, à un montant de 7 000 EUR.</w:t>
      </w:r>
    </w:p>
    <w:p w:rsidRPr="009D406A" w:rsidR="00DA3E62" w:rsidP="009D406A" w:rsidRDefault="00DA3E62" w14:paraId="2DDB4953" w14:textId="535AAA39">
      <w:pPr>
        <w:pStyle w:val="JuPara"/>
      </w:pPr>
      <w:r w:rsidRPr="009D406A">
        <w:fldChar w:fldCharType="begin"/>
      </w:r>
      <w:r w:rsidRPr="009D406A">
        <w:instrText xml:space="preserve"> SEQ level0 \*arabic </w:instrText>
      </w:r>
      <w:r w:rsidRPr="009D406A">
        <w:fldChar w:fldCharType="separate"/>
      </w:r>
      <w:r w:rsidRPr="009D406A" w:rsidR="009D406A">
        <w:rPr>
          <w:noProof/>
        </w:rPr>
        <w:t>51</w:t>
      </w:r>
      <w:r w:rsidRPr="009D406A">
        <w:fldChar w:fldCharType="end"/>
      </w:r>
      <w:r w:rsidRPr="009D406A">
        <w:t>.  À défaut pour le requérant d</w:t>
      </w:r>
      <w:r w:rsidRPr="009D406A" w:rsidR="009D406A">
        <w:t>’</w:t>
      </w:r>
      <w:r w:rsidRPr="009D406A">
        <w:t>établir un lien de causalité entre la perte ou le préjudice matériel allégué et la violation qu</w:t>
      </w:r>
      <w:r w:rsidRPr="009D406A" w:rsidR="009D406A">
        <w:t>’</w:t>
      </w:r>
      <w:r w:rsidRPr="009D406A">
        <w:t>elle a constatée, la Cour rejette la demande faite au titre du préjudice matériel.</w:t>
      </w:r>
    </w:p>
    <w:bookmarkStart w:name="_Hlk76478383" w:id="22"/>
    <w:p w:rsidRPr="009D406A" w:rsidR="00DA3E62" w:rsidP="009D406A" w:rsidRDefault="00DA3E62" w14:paraId="5098C16E" w14:textId="479BC396">
      <w:pPr>
        <w:pStyle w:val="JuPara"/>
      </w:pPr>
      <w:r w:rsidRPr="009D406A">
        <w:fldChar w:fldCharType="begin"/>
      </w:r>
      <w:r w:rsidRPr="009D406A">
        <w:instrText xml:space="preserve"> SEQ level0 \*arabic </w:instrText>
      </w:r>
      <w:r w:rsidRPr="009D406A">
        <w:fldChar w:fldCharType="separate"/>
      </w:r>
      <w:r w:rsidRPr="009D406A" w:rsidR="009D406A">
        <w:rPr>
          <w:noProof/>
        </w:rPr>
        <w:t>52</w:t>
      </w:r>
      <w:r w:rsidRPr="009D406A">
        <w:fldChar w:fldCharType="end"/>
      </w:r>
      <w:r w:rsidRPr="009D406A">
        <w:t>.  La Cour ne doute pas que les carences procédurales à l</w:t>
      </w:r>
      <w:r w:rsidRPr="009D406A" w:rsidR="009D406A">
        <w:t>’</w:t>
      </w:r>
      <w:r w:rsidRPr="009D406A">
        <w:t>origine des violations de l</w:t>
      </w:r>
      <w:r w:rsidRPr="009D406A" w:rsidR="009D406A">
        <w:t>’</w:t>
      </w:r>
      <w:r w:rsidRPr="009D406A">
        <w:t>article 6 § 1 qu</w:t>
      </w:r>
      <w:r w:rsidRPr="009D406A" w:rsidR="009D406A">
        <w:t>’</w:t>
      </w:r>
      <w:r w:rsidRPr="009D406A">
        <w:t xml:space="preserve">elle a constatées (paragraphes </w:t>
      </w:r>
      <w:r w:rsidRPr="009D406A">
        <w:fldChar w:fldCharType="begin"/>
      </w:r>
      <w:r w:rsidRPr="009D406A">
        <w:instrText xml:space="preserve"> REF CourConclusionAvocat \h  \* MERGEFORMAT </w:instrText>
      </w:r>
      <w:r w:rsidRPr="009D406A">
        <w:fldChar w:fldCharType="separate"/>
      </w:r>
      <w:r w:rsidRPr="009D406A" w:rsidR="009D406A">
        <w:t>37</w:t>
      </w:r>
      <w:r w:rsidRPr="009D406A">
        <w:fldChar w:fldCharType="end"/>
      </w:r>
      <w:r w:rsidRPr="009D406A">
        <w:t xml:space="preserve"> et</w:t>
      </w:r>
      <w:r w:rsidRPr="009D406A" w:rsidR="006D34AC">
        <w:t> </w:t>
      </w:r>
      <w:r w:rsidRPr="009D406A">
        <w:fldChar w:fldCharType="begin"/>
      </w:r>
      <w:r w:rsidRPr="009D406A">
        <w:instrText xml:space="preserve"> REF CourConclusionDurée \h  \* MERGEFORMAT </w:instrText>
      </w:r>
      <w:r w:rsidRPr="009D406A">
        <w:fldChar w:fldCharType="separate"/>
      </w:r>
      <w:r w:rsidRPr="009D406A" w:rsidR="009D406A">
        <w:t>47</w:t>
      </w:r>
      <w:r w:rsidRPr="009D406A">
        <w:fldChar w:fldCharType="end"/>
      </w:r>
      <w:r w:rsidRPr="009D406A">
        <w:t xml:space="preserve"> ci</w:t>
      </w:r>
      <w:r w:rsidRPr="009D406A" w:rsidR="0017584D">
        <w:noBreakHyphen/>
      </w:r>
      <w:r w:rsidRPr="009D406A">
        <w:t xml:space="preserve">dessus) ont causé un dommage moral au requérant. Statuant en équité, la Cour accorde au requérant 14 000 </w:t>
      </w:r>
      <w:r w:rsidRPr="009D406A" w:rsidR="00B8484E">
        <w:t xml:space="preserve">EUR </w:t>
      </w:r>
      <w:r w:rsidRPr="009D406A">
        <w:t>de ce chef, plus tout montant pouvant être dû sur cette somme à titre d</w:t>
      </w:r>
      <w:r w:rsidRPr="009D406A" w:rsidR="009D406A">
        <w:t>’</w:t>
      </w:r>
      <w:r w:rsidRPr="009D406A">
        <w:t>impôt.</w:t>
      </w:r>
    </w:p>
    <w:p w:rsidRPr="009D406A" w:rsidR="00DA3E62" w:rsidP="009D406A" w:rsidRDefault="00DA3E62" w14:paraId="0F41865C" w14:textId="7448E625">
      <w:pPr>
        <w:pStyle w:val="JuPara"/>
      </w:pPr>
      <w:r w:rsidRPr="009D406A">
        <w:fldChar w:fldCharType="begin"/>
      </w:r>
      <w:r w:rsidRPr="009D406A">
        <w:instrText xml:space="preserve"> SEQ level0 \*arabic </w:instrText>
      </w:r>
      <w:r w:rsidRPr="009D406A">
        <w:fldChar w:fldCharType="separate"/>
      </w:r>
      <w:r w:rsidRPr="009D406A" w:rsidR="009D406A">
        <w:rPr>
          <w:noProof/>
        </w:rPr>
        <w:t>53</w:t>
      </w:r>
      <w:r w:rsidRPr="009D406A">
        <w:fldChar w:fldCharType="end"/>
      </w:r>
      <w:r w:rsidRPr="009D406A">
        <w:t>.</w:t>
      </w:r>
      <w:r w:rsidRPr="009D406A" w:rsidR="0017584D">
        <w:t>  </w:t>
      </w:r>
      <w:r w:rsidRPr="009D406A">
        <w:t>Cela étant dit, la Cour rappelle que le constat d</w:t>
      </w:r>
      <w:r w:rsidRPr="009D406A" w:rsidR="009D406A">
        <w:t>’</w:t>
      </w:r>
      <w:r w:rsidRPr="009D406A">
        <w:t>une violation de l</w:t>
      </w:r>
      <w:r w:rsidRPr="009D406A" w:rsidR="009D406A">
        <w:t>’</w:t>
      </w:r>
      <w:r w:rsidRPr="009D406A">
        <w:t>article 6 §§ 1 et 3 c) de la Convention ne permet pas de conclure que l</w:t>
      </w:r>
      <w:r w:rsidRPr="009D406A" w:rsidR="009D406A">
        <w:t>’</w:t>
      </w:r>
      <w:r w:rsidRPr="009D406A">
        <w:t>intéressé a été condamné à tort, et qu</w:t>
      </w:r>
      <w:r w:rsidRPr="009D406A" w:rsidR="009D406A">
        <w:t>’</w:t>
      </w:r>
      <w:r w:rsidRPr="009D406A">
        <w:t>il est impossible de spéculer sur ce qui aurait pu se produire si cette violation n</w:t>
      </w:r>
      <w:r w:rsidRPr="009D406A" w:rsidR="009D406A">
        <w:t>’</w:t>
      </w:r>
      <w:r w:rsidRPr="009D406A">
        <w:t>avait pas existé (</w:t>
      </w:r>
      <w:r w:rsidRPr="009D406A">
        <w:rPr>
          <w:i/>
          <w:iCs/>
        </w:rPr>
        <w:t>Beuze</w:t>
      </w:r>
      <w:r w:rsidRPr="009D406A">
        <w:t>, précité, §</w:t>
      </w:r>
      <w:r w:rsidRPr="009D406A" w:rsidR="0017584D">
        <w:t> </w:t>
      </w:r>
      <w:r w:rsidRPr="009D406A">
        <w:t>199). Elle rappelle en outre que la possibilité de réouverture de la procédure existe en droit belge, et que la mise en œuvre de cette possibilité sera examinée, s</w:t>
      </w:r>
      <w:r w:rsidRPr="009D406A" w:rsidR="009D406A">
        <w:t>’</w:t>
      </w:r>
      <w:r w:rsidRPr="009D406A">
        <w:t>il y a lieu, par la Cour de cassation au regard du droit interne et des circonstances particulières de l</w:t>
      </w:r>
      <w:r w:rsidRPr="009D406A" w:rsidR="009D406A">
        <w:t>’</w:t>
      </w:r>
      <w:r w:rsidRPr="009D406A">
        <w:t>affaire (</w:t>
      </w:r>
      <w:r w:rsidRPr="009D406A">
        <w:rPr>
          <w:i/>
          <w:iCs/>
        </w:rPr>
        <w:t>Beuze</w:t>
      </w:r>
      <w:r w:rsidRPr="009D406A">
        <w:t>, précité, §</w:t>
      </w:r>
      <w:r w:rsidRPr="009D406A" w:rsidR="0017584D">
        <w:t> </w:t>
      </w:r>
      <w:r w:rsidRPr="009D406A">
        <w:t>200).</w:t>
      </w:r>
    </w:p>
    <w:bookmarkEnd w:id="19"/>
    <w:bookmarkEnd w:id="20"/>
    <w:bookmarkEnd w:id="22"/>
    <w:p w:rsidRPr="009D406A" w:rsidR="00DA3E62" w:rsidP="009D406A" w:rsidRDefault="00DA3E62" w14:paraId="5FCC3264" w14:textId="1D7AD038">
      <w:pPr>
        <w:pStyle w:val="JuHHead"/>
        <w:numPr>
          <w:ilvl w:val="0"/>
          <w:numId w:val="1"/>
        </w:numPr>
      </w:pPr>
      <w:r w:rsidRPr="009D406A">
        <w:t xml:space="preserve">PAR CES MOTIFS, LA COUR, </w:t>
      </w:r>
      <w:r w:rsidRPr="009D406A">
        <w:rPr>
          <w:caps w:val="0"/>
        </w:rPr>
        <w:t>À L</w:t>
      </w:r>
      <w:r w:rsidRPr="009D406A" w:rsidR="009D406A">
        <w:rPr>
          <w:caps w:val="0"/>
        </w:rPr>
        <w:t>’</w:t>
      </w:r>
      <w:r w:rsidRPr="009D406A">
        <w:rPr>
          <w:caps w:val="0"/>
        </w:rPr>
        <w:t>UNANIMITÉ</w:t>
      </w:r>
      <w:r w:rsidRPr="009D406A">
        <w:t>,</w:t>
      </w:r>
    </w:p>
    <w:p w:rsidRPr="009D406A" w:rsidR="00DA3E62" w:rsidP="009D406A" w:rsidRDefault="00DA3E62" w14:paraId="37B5FE4B" w14:textId="77777777">
      <w:pPr>
        <w:pStyle w:val="JuList"/>
        <w:numPr>
          <w:ilvl w:val="0"/>
          <w:numId w:val="2"/>
        </w:numPr>
        <w:ind w:left="0" w:firstLine="0"/>
      </w:pPr>
      <w:r w:rsidRPr="009D406A">
        <w:rPr>
          <w:i/>
        </w:rPr>
        <w:t>Déclare</w:t>
      </w:r>
      <w:r w:rsidRPr="009D406A">
        <w:t xml:space="preserve"> la requête recevable ;</w:t>
      </w:r>
    </w:p>
    <w:p w:rsidRPr="009D406A" w:rsidR="00DA3E62" w:rsidP="009D406A" w:rsidRDefault="00DA3E62" w14:paraId="5BE96686" w14:textId="0C86A79A">
      <w:pPr>
        <w:pStyle w:val="JuList"/>
        <w:numPr>
          <w:ilvl w:val="0"/>
          <w:numId w:val="2"/>
        </w:numPr>
      </w:pPr>
      <w:r w:rsidRPr="009D406A">
        <w:rPr>
          <w:i/>
          <w:iCs/>
        </w:rPr>
        <w:t>Dit</w:t>
      </w:r>
      <w:r w:rsidRPr="009D406A">
        <w:t xml:space="preserve"> qu</w:t>
      </w:r>
      <w:r w:rsidRPr="009D406A" w:rsidR="009D406A">
        <w:t>’</w:t>
      </w:r>
      <w:r w:rsidRPr="009D406A">
        <w:t>il y a eu violation de l</w:t>
      </w:r>
      <w:r w:rsidRPr="009D406A" w:rsidR="009D406A">
        <w:t>’</w:t>
      </w:r>
      <w:r w:rsidRPr="009D406A">
        <w:t>article 6 §§ 1 et 3 c) de la Convention, en ce qui concerne l</w:t>
      </w:r>
      <w:r w:rsidRPr="009D406A" w:rsidR="009D406A">
        <w:t>’</w:t>
      </w:r>
      <w:r w:rsidRPr="009D406A">
        <w:t>équité du procès ;</w:t>
      </w:r>
    </w:p>
    <w:p w:rsidRPr="009D406A" w:rsidR="00DA3E62" w:rsidP="009D406A" w:rsidRDefault="00DA3E62" w14:paraId="240F165F" w14:textId="7AB3CE0C">
      <w:pPr>
        <w:pStyle w:val="JuList"/>
        <w:numPr>
          <w:ilvl w:val="0"/>
          <w:numId w:val="2"/>
        </w:numPr>
      </w:pPr>
      <w:r w:rsidRPr="009D406A">
        <w:rPr>
          <w:i/>
          <w:iCs/>
        </w:rPr>
        <w:t>Dit</w:t>
      </w:r>
      <w:r w:rsidRPr="009D406A">
        <w:t xml:space="preserve"> qu</w:t>
      </w:r>
      <w:r w:rsidRPr="009D406A" w:rsidR="009D406A">
        <w:t>’</w:t>
      </w:r>
      <w:r w:rsidRPr="009D406A">
        <w:t>il y a eu violation de l</w:t>
      </w:r>
      <w:r w:rsidRPr="009D406A" w:rsidR="009D406A">
        <w:t>’</w:t>
      </w:r>
      <w:r w:rsidRPr="009D406A">
        <w:t>article 6 § 1 de la Convention, en ce qui concerne la durée de la procédure ;</w:t>
      </w:r>
    </w:p>
    <w:p w:rsidRPr="009D406A" w:rsidR="00DA3E62" w:rsidP="009D406A" w:rsidRDefault="00DA3E62" w14:paraId="71D9FF5E" w14:textId="77777777">
      <w:pPr>
        <w:pStyle w:val="JuList"/>
        <w:numPr>
          <w:ilvl w:val="0"/>
          <w:numId w:val="2"/>
        </w:numPr>
      </w:pPr>
      <w:r w:rsidRPr="009D406A">
        <w:rPr>
          <w:i/>
          <w:iCs/>
        </w:rPr>
        <w:t>Dit</w:t>
      </w:r>
      <w:r w:rsidRPr="009D406A">
        <w:t>,</w:t>
      </w:r>
    </w:p>
    <w:p w:rsidRPr="009D406A" w:rsidR="00DA3E62" w:rsidP="009D406A" w:rsidRDefault="00DA3E62" w14:paraId="5326B694" w14:textId="2987D259">
      <w:pPr>
        <w:pStyle w:val="JuLista"/>
        <w:numPr>
          <w:ilvl w:val="1"/>
          <w:numId w:val="2"/>
        </w:numPr>
      </w:pPr>
      <w:proofErr w:type="gramStart"/>
      <w:r w:rsidRPr="009D406A">
        <w:t>que</w:t>
      </w:r>
      <w:proofErr w:type="gramEnd"/>
      <w:r w:rsidRPr="009D406A">
        <w:t xml:space="preserve"> l</w:t>
      </w:r>
      <w:r w:rsidRPr="009D406A" w:rsidR="009D406A">
        <w:t>’</w:t>
      </w:r>
      <w:r w:rsidRPr="009D406A">
        <w:t>État défendeur doit verser au requérant, dans un délai de trois mois à compter de la date à laquelle l</w:t>
      </w:r>
      <w:r w:rsidRPr="009D406A" w:rsidR="009D406A">
        <w:t>’</w:t>
      </w:r>
      <w:r w:rsidRPr="009D406A">
        <w:t>arrêt sera devenu définitif conformément à l</w:t>
      </w:r>
      <w:r w:rsidRPr="009D406A" w:rsidR="009D406A">
        <w:t>’</w:t>
      </w:r>
      <w:r w:rsidRPr="009D406A">
        <w:t>article 44 § 2 de la Convention, 14 000 EUR (quatorze mille euros), plus tout montant pouvant être dû sur cette somme à titre d</w:t>
      </w:r>
      <w:r w:rsidRPr="009D406A" w:rsidR="009D406A">
        <w:t>’</w:t>
      </w:r>
      <w:r w:rsidRPr="009D406A">
        <w:t>impôt, pour dommage moral ;</w:t>
      </w:r>
    </w:p>
    <w:p w:rsidRPr="009D406A" w:rsidR="00DA3E62" w:rsidP="009D406A" w:rsidRDefault="00DA3E62" w14:paraId="0F37284E" w14:textId="19D745C7">
      <w:pPr>
        <w:pStyle w:val="JuLista"/>
        <w:numPr>
          <w:ilvl w:val="1"/>
          <w:numId w:val="2"/>
        </w:numPr>
      </w:pPr>
      <w:proofErr w:type="gramStart"/>
      <w:r w:rsidRPr="009D406A">
        <w:t>qu</w:t>
      </w:r>
      <w:r w:rsidRPr="009D406A" w:rsidR="009D406A">
        <w:t>’</w:t>
      </w:r>
      <w:r w:rsidRPr="009D406A">
        <w:t>à</w:t>
      </w:r>
      <w:proofErr w:type="gramEnd"/>
      <w:r w:rsidRPr="009D406A">
        <w:t xml:space="preserve"> compter de l</w:t>
      </w:r>
      <w:r w:rsidRPr="009D406A" w:rsidR="009D406A">
        <w:t>’</w:t>
      </w:r>
      <w:r w:rsidRPr="009D406A">
        <w:t>expiration dudit délai et jusqu</w:t>
      </w:r>
      <w:r w:rsidRPr="009D406A" w:rsidR="009D406A">
        <w:t>’</w:t>
      </w:r>
      <w:r w:rsidRPr="009D406A">
        <w:t>au versement, ce montant sera à majorer d</w:t>
      </w:r>
      <w:r w:rsidRPr="009D406A" w:rsidR="009D406A">
        <w:t>’</w:t>
      </w:r>
      <w:r w:rsidRPr="009D406A">
        <w:t>un intérêt simple à un taux égal à celui de la facilité de prêt marginal de la Banque centrale européenne applicable pendant cette période, augmenté de trois points de pourcentage ;</w:t>
      </w:r>
    </w:p>
    <w:p w:rsidRPr="009D406A" w:rsidR="00876F03" w:rsidP="009D406A" w:rsidRDefault="00DA3E62" w14:paraId="5211F853" w14:textId="77777777">
      <w:pPr>
        <w:pStyle w:val="JuList"/>
        <w:numPr>
          <w:ilvl w:val="0"/>
          <w:numId w:val="2"/>
        </w:numPr>
        <w:rPr>
          <w:i/>
          <w:iCs/>
        </w:rPr>
      </w:pPr>
      <w:r w:rsidRPr="009D406A">
        <w:rPr>
          <w:i/>
          <w:iCs/>
        </w:rPr>
        <w:t xml:space="preserve">Rejette </w:t>
      </w:r>
      <w:r w:rsidRPr="009D406A">
        <w:t>le surplus de la demande de satisfaction équitable</w:t>
      </w:r>
      <w:r w:rsidRPr="009D406A">
        <w:rPr>
          <w:i/>
          <w:iCs/>
        </w:rPr>
        <w:t>.</w:t>
      </w:r>
    </w:p>
    <w:p w:rsidRPr="009D406A" w:rsidR="00893F30" w:rsidP="009D406A" w:rsidRDefault="00893F30" w14:paraId="167066A4" w14:textId="7FF9EB13">
      <w:pPr>
        <w:pStyle w:val="JuParaLast"/>
      </w:pPr>
      <w:r w:rsidRPr="009D406A">
        <w:t xml:space="preserve">Fait en français, puis communiqué par écrit le </w:t>
      </w:r>
      <w:r w:rsidRPr="009D406A" w:rsidR="00DA3E62">
        <w:t>14 septembre 2021</w:t>
      </w:r>
      <w:r w:rsidRPr="009D406A">
        <w:t>, en application de l</w:t>
      </w:r>
      <w:r w:rsidRPr="009D406A" w:rsidR="009D406A">
        <w:t>’</w:t>
      </w:r>
      <w:r w:rsidRPr="009D406A">
        <w:t>article 77 §§ 2 et 3 du règlement.</w:t>
      </w:r>
    </w:p>
    <w:p w:rsidRPr="009D406A" w:rsidR="00DA3E62" w:rsidP="009D406A" w:rsidRDefault="00F94531" w14:paraId="711E56ED" w14:textId="31BC36E8">
      <w:pPr>
        <w:pStyle w:val="JuSigned"/>
        <w:keepNext/>
        <w:keepLines/>
        <w:rPr>
          <w:color w:val="F8F8F8" w:themeColor="background2"/>
        </w:rPr>
      </w:pPr>
      <w:r w:rsidRPr="009D406A">
        <w:rPr>
          <w:color w:val="F8F8F8" w:themeColor="background2"/>
        </w:rPr>
        <w:tab/>
        <w:t xml:space="preserve"> {</w:t>
      </w:r>
      <w:proofErr w:type="gramStart"/>
      <w:r w:rsidRPr="009D406A">
        <w:rPr>
          <w:color w:val="F8F8F8" w:themeColor="background2"/>
        </w:rPr>
        <w:t>signature</w:t>
      </w:r>
      <w:proofErr w:type="gramEnd"/>
      <w:r w:rsidRPr="009D406A">
        <w:rPr>
          <w:color w:val="F8F8F8" w:themeColor="background2"/>
        </w:rPr>
        <w:t>_p_2}</w:t>
      </w:r>
    </w:p>
    <w:p w:rsidRPr="009D406A" w:rsidR="00DA3E62" w:rsidP="009D406A" w:rsidRDefault="00DA3E62" w14:paraId="33F9A887" w14:textId="77777777">
      <w:pPr>
        <w:pStyle w:val="JuSigned"/>
      </w:pPr>
      <w:r w:rsidRPr="009D406A">
        <w:tab/>
      </w:r>
      <w:r w:rsidRPr="009D406A" w:rsidR="009009CF">
        <w:t>Olga Chernishova</w:t>
      </w:r>
      <w:r w:rsidRPr="009D406A" w:rsidR="004344E6">
        <w:tab/>
      </w:r>
      <w:r w:rsidRPr="009D406A">
        <w:t>Georgios A. Serghides</w:t>
      </w:r>
      <w:r w:rsidRPr="009D406A" w:rsidR="004344E6">
        <w:br/>
      </w:r>
      <w:r w:rsidRPr="009D406A" w:rsidR="004344E6">
        <w:tab/>
      </w:r>
      <w:r w:rsidRPr="009D406A" w:rsidR="009009CF">
        <w:t xml:space="preserve">Greffière </w:t>
      </w:r>
      <w:r w:rsidRPr="009D406A" w:rsidR="005B4EE6">
        <w:t>a</w:t>
      </w:r>
      <w:r w:rsidRPr="009D406A" w:rsidR="009009CF">
        <w:t>djointe</w:t>
      </w:r>
      <w:r w:rsidRPr="009D406A" w:rsidR="004344E6">
        <w:tab/>
      </w:r>
      <w:r w:rsidRPr="009D406A">
        <w:t>Président</w:t>
      </w:r>
    </w:p>
    <w:sectPr w:rsidRPr="009D406A" w:rsidR="00DA3E62" w:rsidSect="006D34AC">
      <w:headerReference w:type="even" r:id="rId13"/>
      <w:headerReference w:type="default" r:id="rId14"/>
      <w:footerReference w:type="default" r:id="rId15"/>
      <w:footnotePr>
        <w:numRestart w:val="eachSect"/>
      </w:footnotePr>
      <w:pgSz w:w="11906" w:h="16838" w:code="9"/>
      <w:pgMar w:top="2274" w:right="2274" w:bottom="2274" w:left="2274" w:header="1701"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D251D8" w14:textId="77777777" w:rsidR="00DA3E62" w:rsidRPr="00F25EFC" w:rsidRDefault="00DA3E62" w:rsidP="00516B59">
      <w:r w:rsidRPr="00F25EFC">
        <w:separator/>
      </w:r>
    </w:p>
  </w:endnote>
  <w:endnote w:type="continuationSeparator" w:id="0">
    <w:p w14:paraId="49E74354" w14:textId="77777777" w:rsidR="00DA3E62" w:rsidRPr="00F25EFC" w:rsidRDefault="00DA3E62" w:rsidP="00516B59">
      <w:r w:rsidRPr="00F25EF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1050CE" w14:textId="77777777" w:rsidR="00954AD6" w:rsidRPr="00F25EFC" w:rsidRDefault="00DA3E62" w:rsidP="00954AD6">
    <w:pPr>
      <w:pStyle w:val="JuHeader"/>
    </w:pPr>
    <w:r>
      <w:fldChar w:fldCharType="begin"/>
    </w:r>
    <w:r>
      <w:instrText xml:space="preserve"> PAGE </w:instrText>
    </w:r>
    <w:r>
      <w:fldChar w:fldCharType="separate"/>
    </w:r>
    <w:r>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E5E528" w14:textId="77777777" w:rsidR="00DA3E62" w:rsidRPr="00150BFA" w:rsidRDefault="00DA3E62" w:rsidP="0020718E">
    <w:pPr>
      <w:jc w:val="center"/>
    </w:pPr>
    <w:r>
      <w:rPr>
        <w:noProof/>
        <w:lang w:val="en-US" w:eastAsia="ja-JP"/>
      </w:rPr>
      <w:drawing>
        <wp:inline distT="0" distB="0" distL="0" distR="0" wp14:anchorId="6A5F6C82" wp14:editId="69D2A3B8">
          <wp:extent cx="771525" cy="619125"/>
          <wp:effectExtent l="0" t="0" r="9525" b="9525"/>
          <wp:docPr id="73" name="Picture 7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1F950242" w14:textId="77777777" w:rsidR="00F22D5C" w:rsidRPr="00F25EFC" w:rsidRDefault="008B5682" w:rsidP="00F27D13">
    <w:pPr>
      <w:pStyle w:val="Footer0"/>
      <w:jc w:val="center"/>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B8D820" w14:textId="77777777" w:rsidR="00DA3E62" w:rsidRPr="00150BFA" w:rsidRDefault="00DA3E62" w:rsidP="0020718E">
    <w:pPr>
      <w:jc w:val="center"/>
    </w:pPr>
    <w:r>
      <w:rPr>
        <w:noProof/>
        <w:lang w:val="en-US" w:eastAsia="ja-JP"/>
      </w:rPr>
      <w:drawing>
        <wp:inline distT="0" distB="0" distL="0" distR="0" wp14:anchorId="7ADC5B6B" wp14:editId="72AC0F74">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11481021" w14:textId="77777777" w:rsidR="00902601" w:rsidRPr="00F25EFC" w:rsidRDefault="00902601" w:rsidP="00902601">
    <w:pPr>
      <w:pStyle w:val="Footer0"/>
      <w:jc w:val="center"/>
      <w:rPr>
        <w:sz w:val="4"/>
        <w:szCs w:val="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33FD61" w14:textId="77777777" w:rsidR="00F22D5C" w:rsidRPr="00D01935" w:rsidRDefault="00DA3E62" w:rsidP="00662882">
    <w:pPr>
      <w:pStyle w:val="JuHeader"/>
    </w:pPr>
    <w:r>
      <w:fldChar w:fldCharType="begin"/>
    </w:r>
    <w:r>
      <w:instrText xml:space="preserve"> PAGE </w:instrText>
    </w:r>
    <w:r>
      <w:fldChar w:fldCharType="separate"/>
    </w:r>
    <w:r>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C30236" w14:textId="77777777" w:rsidR="00DA3E62" w:rsidRPr="00F25EFC" w:rsidRDefault="00DA3E62" w:rsidP="00516B59">
      <w:r w:rsidRPr="00F25EFC">
        <w:separator/>
      </w:r>
    </w:p>
  </w:footnote>
  <w:footnote w:type="continuationSeparator" w:id="0">
    <w:p w14:paraId="3B0BD33E" w14:textId="77777777" w:rsidR="00DA3E62" w:rsidRPr="00F25EFC" w:rsidRDefault="00DA3E62" w:rsidP="00516B59">
      <w:r w:rsidRPr="00F25EFC">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810E87" w14:textId="77777777" w:rsidR="00DA3E62" w:rsidRPr="00A45145" w:rsidRDefault="00DA3E62" w:rsidP="00A45145">
    <w:pPr>
      <w:jc w:val="center"/>
    </w:pPr>
    <w:r>
      <w:rPr>
        <w:noProof/>
        <w:lang w:val="en-US" w:eastAsia="ja-JP"/>
      </w:rPr>
      <w:drawing>
        <wp:inline distT="0" distB="0" distL="0" distR="0" wp14:anchorId="5D5C4A29" wp14:editId="3895EADA">
          <wp:extent cx="2962275" cy="1219200"/>
          <wp:effectExtent l="0" t="0" r="9525" b="0"/>
          <wp:docPr id="70" name="Picture 70"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211745C9" w14:textId="77777777" w:rsidR="00F22D5C" w:rsidRPr="00F25EFC" w:rsidRDefault="008B5682" w:rsidP="009840A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F63826" w14:textId="77777777" w:rsidR="00DA3E62" w:rsidRPr="00A45145" w:rsidRDefault="00DA3E62" w:rsidP="00A45145">
    <w:pPr>
      <w:jc w:val="center"/>
    </w:pPr>
    <w:r>
      <w:rPr>
        <w:noProof/>
        <w:lang w:val="en-US" w:eastAsia="ja-JP"/>
      </w:rPr>
      <w:drawing>
        <wp:inline distT="0" distB="0" distL="0" distR="0" wp14:anchorId="50DFCAA5" wp14:editId="346DFEFF">
          <wp:extent cx="2962275" cy="1219200"/>
          <wp:effectExtent l="0" t="0" r="9525" b="0"/>
          <wp:docPr id="64" name="Picture 64"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15D4DBA1" w14:textId="77777777" w:rsidR="00902601" w:rsidRPr="00F25EFC" w:rsidRDefault="00902601" w:rsidP="00902601">
    <w:pPr>
      <w:jc w:val="center"/>
      <w:rPr>
        <w:sz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7E9C5" w14:textId="77777777" w:rsidR="00F22D5C" w:rsidRPr="00592C8D" w:rsidRDefault="00A21624" w:rsidP="00A21624">
    <w:pPr>
      <w:pStyle w:val="JuHeader"/>
      <w:rPr>
        <w:lang w:val="en-US"/>
      </w:rPr>
    </w:pPr>
    <w:r w:rsidRPr="00592C8D">
      <w:rPr>
        <w:lang w:val="en-US"/>
      </w:rPr>
      <w:t>ARRÊT</w:t>
    </w:r>
    <w:r w:rsidR="00256F45" w:rsidRPr="00592C8D">
      <w:rPr>
        <w:lang w:val="en-US"/>
      </w:rPr>
      <w:t xml:space="preserve"> </w:t>
    </w:r>
    <w:r w:rsidR="00DA3E62">
      <w:rPr>
        <w:lang w:val="en-US"/>
      </w:rPr>
      <w:t>BRUS c. BELGIQUE</w:t>
    </w:r>
    <w:r w:rsidR="00DA3E62" w:rsidRPr="00592C8D">
      <w:rPr>
        <w:noProof/>
        <w:lang w:val="en-US"/>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997E2B" w14:textId="77777777" w:rsidR="00F22D5C" w:rsidRPr="00662882" w:rsidRDefault="00256F45" w:rsidP="00662882">
    <w:pPr>
      <w:pStyle w:val="JuHeader"/>
    </w:pPr>
    <w:r w:rsidRPr="00592C8D">
      <w:rPr>
        <w:lang w:val="en-US"/>
      </w:rPr>
      <w:t>ARRÊT</w:t>
    </w:r>
    <w:r w:rsidR="00162967" w:rsidRPr="00592C8D">
      <w:rPr>
        <w:lang w:val="en-US"/>
      </w:rPr>
      <w:t xml:space="preserve"> </w:t>
    </w:r>
    <w:r w:rsidR="00DA3E62">
      <w:rPr>
        <w:lang w:val="en-US"/>
      </w:rPr>
      <w:t>BRUS c. BELGIQUE</w:t>
    </w:r>
    <w:r w:rsidR="007971FF" w:rsidRPr="00592C8D">
      <w:rPr>
        <w:lang w:val="en-U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67019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ListNumber"/>
      <w:lvlText w:val="%1."/>
      <w:lvlJc w:val="left"/>
      <w:pPr>
        <w:tabs>
          <w:tab w:val="num" w:pos="360"/>
        </w:tabs>
        <w:ind w:left="360" w:hanging="360"/>
      </w:pPr>
    </w:lvl>
  </w:abstractNum>
  <w:abstractNum w:abstractNumId="9" w15:restartNumberingAfterBreak="0">
    <w:nsid w:val="0C0F5BFC"/>
    <w:multiLevelType w:val="multilevel"/>
    <w:tmpl w:val="D8668044"/>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97" w:hanging="397"/>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0" w15:restartNumberingAfterBreak="0">
    <w:nsid w:val="1AA96CEA"/>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7D5546B"/>
    <w:multiLevelType w:val="multilevel"/>
    <w:tmpl w:val="7222064C"/>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907" w:hanging="22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85E6A40"/>
    <w:multiLevelType w:val="multilevel"/>
    <w:tmpl w:val="6882C052"/>
    <w:lvl w:ilvl="0">
      <w:start w:val="1"/>
      <w:numFmt w:val="decimal"/>
      <w:lvlText w:val="%1."/>
      <w:lvlJc w:val="left"/>
      <w:pPr>
        <w:tabs>
          <w:tab w:val="num" w:pos="340"/>
        </w:tabs>
        <w:ind w:left="340" w:hanging="340"/>
      </w:pPr>
      <w:rPr>
        <w:rFonts w:hint="default"/>
        <w:i w:val="0"/>
        <w:iCs w:val="0"/>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134"/>
        </w:tabs>
        <w:ind w:left="1134" w:hanging="45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
      <w:lvlJc w:val="left"/>
      <w:pPr>
        <w:ind w:left="2517" w:hanging="345"/>
      </w:pPr>
      <w:rPr>
        <w:rFonts w:ascii="Symbol" w:hAnsi="Symbol" w:hint="default"/>
        <w:sz w:val="2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6"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7" w15:restartNumberingAfterBreak="0">
    <w:nsid w:val="56B9429C"/>
    <w:multiLevelType w:val="multilevel"/>
    <w:tmpl w:val="98544F5E"/>
    <w:lvl w:ilvl="0">
      <w:start w:val="1"/>
      <w:numFmt w:val="none"/>
      <w:suff w:val="nothing"/>
      <w:lvlText w:val=""/>
      <w:lvlJc w:val="left"/>
      <w:pPr>
        <w:ind w:left="0" w:firstLine="0"/>
      </w:pPr>
      <w:rPr>
        <w:rFonts w:hint="default"/>
      </w:rPr>
    </w:lvl>
    <w:lvl w:ilvl="1">
      <w:start w:val="1"/>
      <w:numFmt w:val="upperRoman"/>
      <w:suff w:val="space"/>
      <w:lvlText w:val="%2."/>
      <w:lvlJc w:val="left"/>
      <w:pPr>
        <w:ind w:left="357" w:hanging="357"/>
      </w:pPr>
      <w:rPr>
        <w:rFonts w:hint="default"/>
        <w:sz w:val="24"/>
      </w:rPr>
    </w:lvl>
    <w:lvl w:ilvl="2">
      <w:start w:val="1"/>
      <w:numFmt w:val="upperLetter"/>
      <w:lvlText w:val="%3."/>
      <w:lvlJc w:val="left"/>
      <w:pPr>
        <w:ind w:left="584" w:hanging="352"/>
      </w:pPr>
      <w:rPr>
        <w:rFonts w:hint="default"/>
      </w:rPr>
    </w:lvl>
    <w:lvl w:ilvl="3">
      <w:start w:val="1"/>
      <w:numFmt w:val="decimal"/>
      <w:lvlText w:val="%4."/>
      <w:lvlJc w:val="left"/>
      <w:pPr>
        <w:ind w:left="731" w:hanging="300"/>
      </w:pPr>
      <w:rPr>
        <w:rFonts w:hint="default"/>
      </w:rPr>
    </w:lvl>
    <w:lvl w:ilvl="4">
      <w:start w:val="1"/>
      <w:numFmt w:val="lowerLetter"/>
      <w:lvlText w:val="%5)"/>
      <w:lvlJc w:val="left"/>
      <w:pPr>
        <w:ind w:left="975" w:hanging="340"/>
      </w:pPr>
      <w:rPr>
        <w:rFonts w:hint="default"/>
      </w:rPr>
    </w:lvl>
    <w:lvl w:ilvl="5">
      <w:start w:val="1"/>
      <w:numFmt w:val="lowerRoman"/>
      <w:suff w:val="space"/>
      <w:lvlText w:val="%6."/>
      <w:lvlJc w:val="left"/>
      <w:pPr>
        <w:ind w:left="1191" w:hanging="358"/>
      </w:pPr>
      <w:rPr>
        <w:rFonts w:hint="default"/>
      </w:rPr>
    </w:lvl>
    <w:lvl w:ilvl="6">
      <w:start w:val="1"/>
      <w:numFmt w:val="lowerLetter"/>
      <w:lvlText w:val="%7)"/>
      <w:lvlJc w:val="left"/>
      <w:pPr>
        <w:ind w:left="1372" w:hanging="334"/>
      </w:pPr>
      <w:rPr>
        <w:rFonts w:ascii="Symbol" w:hAnsi="Symbol" w:hint="default"/>
        <w:sz w:val="20"/>
      </w:rPr>
    </w:lvl>
    <w:lvl w:ilvl="7">
      <w:start w:val="1"/>
      <w:numFmt w:val="bullet"/>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abstractNum w:abstractNumId="18" w15:restartNumberingAfterBreak="0">
    <w:nsid w:val="67FD1241"/>
    <w:multiLevelType w:val="hybridMultilevel"/>
    <w:tmpl w:val="F6D86CC2"/>
    <w:lvl w:ilvl="0" w:tplc="E4205412">
      <w:start w:val="1"/>
      <w:numFmt w:val="bullet"/>
      <w:pStyle w:val="ListBullet"/>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num w:numId="1">
    <w:abstractNumId w:val="17"/>
  </w:num>
  <w:num w:numId="2">
    <w:abstractNumId w:val="13"/>
  </w:num>
  <w:num w:numId="3">
    <w:abstractNumId w:val="9"/>
  </w:num>
  <w:num w:numId="4">
    <w:abstractNumId w:val="14"/>
  </w:num>
  <w:num w:numId="5">
    <w:abstractNumId w:val="11"/>
  </w:num>
  <w:num w:numId="6">
    <w:abstractNumId w:val="10"/>
  </w:num>
  <w:num w:numId="7">
    <w:abstractNumId w:val="15"/>
  </w:num>
  <w:num w:numId="8">
    <w:abstractNumId w:val="12"/>
  </w:num>
  <w:num w:numId="9">
    <w:abstractNumId w:val="16"/>
  </w:num>
  <w:num w:numId="10">
    <w:abstractNumId w:val="18"/>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18433"/>
  </w:hdrShapeDefault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licationsApp" w:val="1"/>
    <w:docVar w:name="EMM" w:val="0"/>
    <w:docVar w:name="NBEMMDOC" w:val="0"/>
  </w:docVars>
  <w:rsids>
    <w:rsidRoot w:val="00DA3E62"/>
    <w:rsid w:val="000041F8"/>
    <w:rsid w:val="000042A8"/>
    <w:rsid w:val="00004308"/>
    <w:rsid w:val="00005BF0"/>
    <w:rsid w:val="00007154"/>
    <w:rsid w:val="000103AE"/>
    <w:rsid w:val="00011D69"/>
    <w:rsid w:val="00012AD3"/>
    <w:rsid w:val="00015C2D"/>
    <w:rsid w:val="00015F00"/>
    <w:rsid w:val="00022C1D"/>
    <w:rsid w:val="00034987"/>
    <w:rsid w:val="00051015"/>
    <w:rsid w:val="000602DF"/>
    <w:rsid w:val="00061B05"/>
    <w:rsid w:val="000632D5"/>
    <w:rsid w:val="000644EE"/>
    <w:rsid w:val="00080ECE"/>
    <w:rsid w:val="0009057B"/>
    <w:rsid w:val="000925AD"/>
    <w:rsid w:val="000A20EB"/>
    <w:rsid w:val="000A24EB"/>
    <w:rsid w:val="000B5D17"/>
    <w:rsid w:val="000B6923"/>
    <w:rsid w:val="000C5F3C"/>
    <w:rsid w:val="000C6DCC"/>
    <w:rsid w:val="000D04C2"/>
    <w:rsid w:val="000D47AA"/>
    <w:rsid w:val="000D721F"/>
    <w:rsid w:val="000E069B"/>
    <w:rsid w:val="000E0E82"/>
    <w:rsid w:val="000E1DC5"/>
    <w:rsid w:val="000E223F"/>
    <w:rsid w:val="000E4AC8"/>
    <w:rsid w:val="000E7D45"/>
    <w:rsid w:val="000F1305"/>
    <w:rsid w:val="000F19D8"/>
    <w:rsid w:val="000F7851"/>
    <w:rsid w:val="00104E23"/>
    <w:rsid w:val="00111B0C"/>
    <w:rsid w:val="00117CD2"/>
    <w:rsid w:val="00120D6C"/>
    <w:rsid w:val="001257EC"/>
    <w:rsid w:val="00133D33"/>
    <w:rsid w:val="00134D64"/>
    <w:rsid w:val="00135A30"/>
    <w:rsid w:val="0013612C"/>
    <w:rsid w:val="00137FF6"/>
    <w:rsid w:val="00141650"/>
    <w:rsid w:val="001625AD"/>
    <w:rsid w:val="00162967"/>
    <w:rsid w:val="00162A12"/>
    <w:rsid w:val="00166530"/>
    <w:rsid w:val="0017584D"/>
    <w:rsid w:val="00181508"/>
    <w:rsid w:val="001832BD"/>
    <w:rsid w:val="001943B5"/>
    <w:rsid w:val="00194C5B"/>
    <w:rsid w:val="00195134"/>
    <w:rsid w:val="001A145B"/>
    <w:rsid w:val="001A2684"/>
    <w:rsid w:val="001A674C"/>
    <w:rsid w:val="001B3B24"/>
    <w:rsid w:val="001C0F98"/>
    <w:rsid w:val="001C2A42"/>
    <w:rsid w:val="001C2B5C"/>
    <w:rsid w:val="001D63ED"/>
    <w:rsid w:val="001D7348"/>
    <w:rsid w:val="001E035B"/>
    <w:rsid w:val="001E0961"/>
    <w:rsid w:val="001E3EAE"/>
    <w:rsid w:val="001E6E21"/>
    <w:rsid w:val="001E6F32"/>
    <w:rsid w:val="001F2145"/>
    <w:rsid w:val="001F39F4"/>
    <w:rsid w:val="001F6262"/>
    <w:rsid w:val="001F67B0"/>
    <w:rsid w:val="001F7B3D"/>
    <w:rsid w:val="00204F24"/>
    <w:rsid w:val="00205F9F"/>
    <w:rsid w:val="00210338"/>
    <w:rsid w:val="002115FC"/>
    <w:rsid w:val="00212184"/>
    <w:rsid w:val="0021423C"/>
    <w:rsid w:val="00230D00"/>
    <w:rsid w:val="00231364"/>
    <w:rsid w:val="00231DF7"/>
    <w:rsid w:val="00231FD1"/>
    <w:rsid w:val="002339E0"/>
    <w:rsid w:val="00233CF8"/>
    <w:rsid w:val="0023575D"/>
    <w:rsid w:val="00237148"/>
    <w:rsid w:val="0024222D"/>
    <w:rsid w:val="00244B0E"/>
    <w:rsid w:val="00244F6C"/>
    <w:rsid w:val="002532C5"/>
    <w:rsid w:val="002546AE"/>
    <w:rsid w:val="00256F45"/>
    <w:rsid w:val="00260C03"/>
    <w:rsid w:val="00260C75"/>
    <w:rsid w:val="0026540E"/>
    <w:rsid w:val="00275123"/>
    <w:rsid w:val="00282240"/>
    <w:rsid w:val="002948AD"/>
    <w:rsid w:val="0029739C"/>
    <w:rsid w:val="002A01CC"/>
    <w:rsid w:val="002A61B1"/>
    <w:rsid w:val="002A663C"/>
    <w:rsid w:val="002B444B"/>
    <w:rsid w:val="002B5887"/>
    <w:rsid w:val="002B7E83"/>
    <w:rsid w:val="002C0E27"/>
    <w:rsid w:val="002C3040"/>
    <w:rsid w:val="002D022D"/>
    <w:rsid w:val="002D24BB"/>
    <w:rsid w:val="002F29AA"/>
    <w:rsid w:val="002F2AF7"/>
    <w:rsid w:val="002F7E1C"/>
    <w:rsid w:val="00301A75"/>
    <w:rsid w:val="00302F70"/>
    <w:rsid w:val="0030336F"/>
    <w:rsid w:val="0030375E"/>
    <w:rsid w:val="0030660C"/>
    <w:rsid w:val="00312A30"/>
    <w:rsid w:val="00316323"/>
    <w:rsid w:val="00320F72"/>
    <w:rsid w:val="0032463E"/>
    <w:rsid w:val="00326224"/>
    <w:rsid w:val="00337EE4"/>
    <w:rsid w:val="00340FFD"/>
    <w:rsid w:val="003471AF"/>
    <w:rsid w:val="003506B1"/>
    <w:rsid w:val="00356AC7"/>
    <w:rsid w:val="003609FA"/>
    <w:rsid w:val="00361D45"/>
    <w:rsid w:val="00367B4F"/>
    <w:rsid w:val="003710C8"/>
    <w:rsid w:val="003722CE"/>
    <w:rsid w:val="003750BE"/>
    <w:rsid w:val="00387B9D"/>
    <w:rsid w:val="0039364F"/>
    <w:rsid w:val="00396686"/>
    <w:rsid w:val="0039778E"/>
    <w:rsid w:val="003A37B8"/>
    <w:rsid w:val="003B4941"/>
    <w:rsid w:val="003B6A2E"/>
    <w:rsid w:val="003C5714"/>
    <w:rsid w:val="003C6B9F"/>
    <w:rsid w:val="003C6E2A"/>
    <w:rsid w:val="003D0299"/>
    <w:rsid w:val="003D32BE"/>
    <w:rsid w:val="003E3FE3"/>
    <w:rsid w:val="003E6D80"/>
    <w:rsid w:val="003E7A9C"/>
    <w:rsid w:val="003F05FA"/>
    <w:rsid w:val="003F244A"/>
    <w:rsid w:val="003F30B8"/>
    <w:rsid w:val="003F4C45"/>
    <w:rsid w:val="003F5F7B"/>
    <w:rsid w:val="003F7D64"/>
    <w:rsid w:val="00401F7D"/>
    <w:rsid w:val="0041177B"/>
    <w:rsid w:val="00414300"/>
    <w:rsid w:val="004248B5"/>
    <w:rsid w:val="00425C67"/>
    <w:rsid w:val="00427E7A"/>
    <w:rsid w:val="00431C07"/>
    <w:rsid w:val="004344E6"/>
    <w:rsid w:val="00436C49"/>
    <w:rsid w:val="00445366"/>
    <w:rsid w:val="00447F5B"/>
    <w:rsid w:val="00456549"/>
    <w:rsid w:val="004604A0"/>
    <w:rsid w:val="00461DB0"/>
    <w:rsid w:val="00463926"/>
    <w:rsid w:val="00464C9A"/>
    <w:rsid w:val="00474F3D"/>
    <w:rsid w:val="00477E3A"/>
    <w:rsid w:val="00483E5F"/>
    <w:rsid w:val="00485FF9"/>
    <w:rsid w:val="004907F0"/>
    <w:rsid w:val="0049140B"/>
    <w:rsid w:val="004923A5"/>
    <w:rsid w:val="00496197"/>
    <w:rsid w:val="00496BFB"/>
    <w:rsid w:val="004A15C7"/>
    <w:rsid w:val="004B013B"/>
    <w:rsid w:val="004B112B"/>
    <w:rsid w:val="004C01E4"/>
    <w:rsid w:val="004C086C"/>
    <w:rsid w:val="004C1A3F"/>
    <w:rsid w:val="004C1F56"/>
    <w:rsid w:val="004C27BC"/>
    <w:rsid w:val="004D15F3"/>
    <w:rsid w:val="004D5311"/>
    <w:rsid w:val="004D5DCC"/>
    <w:rsid w:val="004E22F1"/>
    <w:rsid w:val="004F10AF"/>
    <w:rsid w:val="004F11A4"/>
    <w:rsid w:val="004F2389"/>
    <w:rsid w:val="004F304D"/>
    <w:rsid w:val="004F61BE"/>
    <w:rsid w:val="004F66B1"/>
    <w:rsid w:val="00511C07"/>
    <w:rsid w:val="00516B59"/>
    <w:rsid w:val="005173A6"/>
    <w:rsid w:val="00520BAA"/>
    <w:rsid w:val="00522ABA"/>
    <w:rsid w:val="00525208"/>
    <w:rsid w:val="005257A5"/>
    <w:rsid w:val="005264C0"/>
    <w:rsid w:val="00526A8A"/>
    <w:rsid w:val="00531DF2"/>
    <w:rsid w:val="005442EE"/>
    <w:rsid w:val="00547353"/>
    <w:rsid w:val="005474E7"/>
    <w:rsid w:val="005512A3"/>
    <w:rsid w:val="005578CE"/>
    <w:rsid w:val="00562781"/>
    <w:rsid w:val="00566E2B"/>
    <w:rsid w:val="0057271C"/>
    <w:rsid w:val="00572845"/>
    <w:rsid w:val="00576986"/>
    <w:rsid w:val="00592772"/>
    <w:rsid w:val="00592C8D"/>
    <w:rsid w:val="0059574A"/>
    <w:rsid w:val="005A1B9B"/>
    <w:rsid w:val="005A6751"/>
    <w:rsid w:val="005B092E"/>
    <w:rsid w:val="005B152C"/>
    <w:rsid w:val="005B1EE0"/>
    <w:rsid w:val="005B2B24"/>
    <w:rsid w:val="005B4425"/>
    <w:rsid w:val="005B4B94"/>
    <w:rsid w:val="005B4EE6"/>
    <w:rsid w:val="005C353F"/>
    <w:rsid w:val="005C3EE8"/>
    <w:rsid w:val="005D34F9"/>
    <w:rsid w:val="005D4190"/>
    <w:rsid w:val="005D67A3"/>
    <w:rsid w:val="005E2988"/>
    <w:rsid w:val="005E3085"/>
    <w:rsid w:val="005F51E1"/>
    <w:rsid w:val="00611C80"/>
    <w:rsid w:val="00613B21"/>
    <w:rsid w:val="00620692"/>
    <w:rsid w:val="006242CA"/>
    <w:rsid w:val="00627507"/>
    <w:rsid w:val="00633717"/>
    <w:rsid w:val="006344E1"/>
    <w:rsid w:val="006361FD"/>
    <w:rsid w:val="006545C4"/>
    <w:rsid w:val="00654B7E"/>
    <w:rsid w:val="00661971"/>
    <w:rsid w:val="00661CE8"/>
    <w:rsid w:val="006623D9"/>
    <w:rsid w:val="00662882"/>
    <w:rsid w:val="0066550C"/>
    <w:rsid w:val="006716F2"/>
    <w:rsid w:val="00682BF2"/>
    <w:rsid w:val="006859CE"/>
    <w:rsid w:val="00691270"/>
    <w:rsid w:val="00694BA8"/>
    <w:rsid w:val="006A037C"/>
    <w:rsid w:val="006A36F4"/>
    <w:rsid w:val="006A406F"/>
    <w:rsid w:val="006A5D3A"/>
    <w:rsid w:val="006C23D4"/>
    <w:rsid w:val="006C475E"/>
    <w:rsid w:val="006C7BB0"/>
    <w:rsid w:val="006D3237"/>
    <w:rsid w:val="006D34AC"/>
    <w:rsid w:val="006E2E37"/>
    <w:rsid w:val="006E3CF1"/>
    <w:rsid w:val="006E7E80"/>
    <w:rsid w:val="006F48CA"/>
    <w:rsid w:val="006F64DD"/>
    <w:rsid w:val="00715127"/>
    <w:rsid w:val="00715E8E"/>
    <w:rsid w:val="007172B0"/>
    <w:rsid w:val="00723580"/>
    <w:rsid w:val="00723755"/>
    <w:rsid w:val="00724AE2"/>
    <w:rsid w:val="00730B5C"/>
    <w:rsid w:val="0073136C"/>
    <w:rsid w:val="00731F0F"/>
    <w:rsid w:val="00733250"/>
    <w:rsid w:val="00735951"/>
    <w:rsid w:val="00741404"/>
    <w:rsid w:val="007449E5"/>
    <w:rsid w:val="00747FF0"/>
    <w:rsid w:val="007612E2"/>
    <w:rsid w:val="00764D4E"/>
    <w:rsid w:val="00765A1F"/>
    <w:rsid w:val="00775B6D"/>
    <w:rsid w:val="00776D68"/>
    <w:rsid w:val="007850EE"/>
    <w:rsid w:val="00785B95"/>
    <w:rsid w:val="00790AAD"/>
    <w:rsid w:val="00790E96"/>
    <w:rsid w:val="00793366"/>
    <w:rsid w:val="007971FF"/>
    <w:rsid w:val="007A4070"/>
    <w:rsid w:val="007A716F"/>
    <w:rsid w:val="007B270A"/>
    <w:rsid w:val="007C0695"/>
    <w:rsid w:val="007C419A"/>
    <w:rsid w:val="007C4CC8"/>
    <w:rsid w:val="007C5426"/>
    <w:rsid w:val="007C5798"/>
    <w:rsid w:val="007D4832"/>
    <w:rsid w:val="007E21B2"/>
    <w:rsid w:val="007E2C4E"/>
    <w:rsid w:val="007F1905"/>
    <w:rsid w:val="00800E99"/>
    <w:rsid w:val="00801300"/>
    <w:rsid w:val="00802C64"/>
    <w:rsid w:val="0080523A"/>
    <w:rsid w:val="00805E52"/>
    <w:rsid w:val="008061D0"/>
    <w:rsid w:val="00810B38"/>
    <w:rsid w:val="008204C7"/>
    <w:rsid w:val="00820992"/>
    <w:rsid w:val="00823602"/>
    <w:rsid w:val="008255F5"/>
    <w:rsid w:val="0083014E"/>
    <w:rsid w:val="0083214A"/>
    <w:rsid w:val="00834220"/>
    <w:rsid w:val="00845723"/>
    <w:rsid w:val="00851EF9"/>
    <w:rsid w:val="008577FD"/>
    <w:rsid w:val="00860B03"/>
    <w:rsid w:val="0086497A"/>
    <w:rsid w:val="0086710F"/>
    <w:rsid w:val="008713A1"/>
    <w:rsid w:val="00873D9C"/>
    <w:rsid w:val="008748BE"/>
    <w:rsid w:val="008754AB"/>
    <w:rsid w:val="00876A02"/>
    <w:rsid w:val="00876F03"/>
    <w:rsid w:val="0088060C"/>
    <w:rsid w:val="00891107"/>
    <w:rsid w:val="00893576"/>
    <w:rsid w:val="00893E73"/>
    <w:rsid w:val="00893F30"/>
    <w:rsid w:val="00895F5B"/>
    <w:rsid w:val="008B02DC"/>
    <w:rsid w:val="008B2698"/>
    <w:rsid w:val="008B57CE"/>
    <w:rsid w:val="008C26DE"/>
    <w:rsid w:val="008D2225"/>
    <w:rsid w:val="008D4752"/>
    <w:rsid w:val="008E271C"/>
    <w:rsid w:val="008E418E"/>
    <w:rsid w:val="008E5BC6"/>
    <w:rsid w:val="008E6A25"/>
    <w:rsid w:val="008E7A1B"/>
    <w:rsid w:val="008F5193"/>
    <w:rsid w:val="009009CF"/>
    <w:rsid w:val="009013A7"/>
    <w:rsid w:val="009017FB"/>
    <w:rsid w:val="009017FC"/>
    <w:rsid w:val="009020E3"/>
    <w:rsid w:val="00902601"/>
    <w:rsid w:val="0090506B"/>
    <w:rsid w:val="009050C9"/>
    <w:rsid w:val="009066FC"/>
    <w:rsid w:val="009140A3"/>
    <w:rsid w:val="009144A2"/>
    <w:rsid w:val="0091510C"/>
    <w:rsid w:val="009259AC"/>
    <w:rsid w:val="00926F38"/>
    <w:rsid w:val="00934301"/>
    <w:rsid w:val="00936CD1"/>
    <w:rsid w:val="009375A5"/>
    <w:rsid w:val="00941747"/>
    <w:rsid w:val="00941EFB"/>
    <w:rsid w:val="00947AFB"/>
    <w:rsid w:val="00951D7D"/>
    <w:rsid w:val="00954AD6"/>
    <w:rsid w:val="009630C7"/>
    <w:rsid w:val="00972B55"/>
    <w:rsid w:val="009743B7"/>
    <w:rsid w:val="00975039"/>
    <w:rsid w:val="00977227"/>
    <w:rsid w:val="0098228B"/>
    <w:rsid w:val="009828DA"/>
    <w:rsid w:val="00985BAB"/>
    <w:rsid w:val="009B1B5F"/>
    <w:rsid w:val="009B6673"/>
    <w:rsid w:val="009C191B"/>
    <w:rsid w:val="009C2BD6"/>
    <w:rsid w:val="009D2F52"/>
    <w:rsid w:val="009D406A"/>
    <w:rsid w:val="009D684C"/>
    <w:rsid w:val="009E16D2"/>
    <w:rsid w:val="009E1F32"/>
    <w:rsid w:val="009E776C"/>
    <w:rsid w:val="00A00672"/>
    <w:rsid w:val="00A132AD"/>
    <w:rsid w:val="00A1726E"/>
    <w:rsid w:val="00A204CF"/>
    <w:rsid w:val="00A21624"/>
    <w:rsid w:val="00A23D49"/>
    <w:rsid w:val="00A27004"/>
    <w:rsid w:val="00A30C29"/>
    <w:rsid w:val="00A34DD6"/>
    <w:rsid w:val="00A36819"/>
    <w:rsid w:val="00A36989"/>
    <w:rsid w:val="00A43628"/>
    <w:rsid w:val="00A43AA3"/>
    <w:rsid w:val="00A4783F"/>
    <w:rsid w:val="00A54192"/>
    <w:rsid w:val="00A6035E"/>
    <w:rsid w:val="00A6144C"/>
    <w:rsid w:val="00A66617"/>
    <w:rsid w:val="00A671F8"/>
    <w:rsid w:val="00A673A4"/>
    <w:rsid w:val="00A724AE"/>
    <w:rsid w:val="00A73329"/>
    <w:rsid w:val="00A75785"/>
    <w:rsid w:val="00A8094B"/>
    <w:rsid w:val="00A82359"/>
    <w:rsid w:val="00A865D2"/>
    <w:rsid w:val="00A94C20"/>
    <w:rsid w:val="00AA227F"/>
    <w:rsid w:val="00AA3BC7"/>
    <w:rsid w:val="00AA754A"/>
    <w:rsid w:val="00AB099E"/>
    <w:rsid w:val="00AB4328"/>
    <w:rsid w:val="00AB5628"/>
    <w:rsid w:val="00AC00C2"/>
    <w:rsid w:val="00AC5872"/>
    <w:rsid w:val="00AE0A2E"/>
    <w:rsid w:val="00AE354C"/>
    <w:rsid w:val="00AF4B07"/>
    <w:rsid w:val="00AF6186"/>
    <w:rsid w:val="00AF7A3A"/>
    <w:rsid w:val="00B009F4"/>
    <w:rsid w:val="00B160DB"/>
    <w:rsid w:val="00B20836"/>
    <w:rsid w:val="00B235BB"/>
    <w:rsid w:val="00B25320"/>
    <w:rsid w:val="00B25943"/>
    <w:rsid w:val="00B25D3B"/>
    <w:rsid w:val="00B27A44"/>
    <w:rsid w:val="00B30BBF"/>
    <w:rsid w:val="00B33C03"/>
    <w:rsid w:val="00B44E56"/>
    <w:rsid w:val="00B46543"/>
    <w:rsid w:val="00B47D33"/>
    <w:rsid w:val="00B52BE0"/>
    <w:rsid w:val="00B54133"/>
    <w:rsid w:val="00B701ED"/>
    <w:rsid w:val="00B751F4"/>
    <w:rsid w:val="00B8086C"/>
    <w:rsid w:val="00B840F7"/>
    <w:rsid w:val="00B8484E"/>
    <w:rsid w:val="00B861B4"/>
    <w:rsid w:val="00B86DFE"/>
    <w:rsid w:val="00B90990"/>
    <w:rsid w:val="00B922FF"/>
    <w:rsid w:val="00B9281E"/>
    <w:rsid w:val="00B93925"/>
    <w:rsid w:val="00B95187"/>
    <w:rsid w:val="00BA2D55"/>
    <w:rsid w:val="00BA71B1"/>
    <w:rsid w:val="00BB0637"/>
    <w:rsid w:val="00BB345F"/>
    <w:rsid w:val="00BB5CA3"/>
    <w:rsid w:val="00BB68EA"/>
    <w:rsid w:val="00BC1C27"/>
    <w:rsid w:val="00BC1F03"/>
    <w:rsid w:val="00BC6BBF"/>
    <w:rsid w:val="00BD1572"/>
    <w:rsid w:val="00BE14E3"/>
    <w:rsid w:val="00BE3774"/>
    <w:rsid w:val="00BE41E5"/>
    <w:rsid w:val="00BF4109"/>
    <w:rsid w:val="00BF4B9C"/>
    <w:rsid w:val="00BF4CC3"/>
    <w:rsid w:val="00C00E59"/>
    <w:rsid w:val="00C054C7"/>
    <w:rsid w:val="00C057B5"/>
    <w:rsid w:val="00C149F0"/>
    <w:rsid w:val="00C22687"/>
    <w:rsid w:val="00C25983"/>
    <w:rsid w:val="00C32E4D"/>
    <w:rsid w:val="00C333A0"/>
    <w:rsid w:val="00C36408"/>
    <w:rsid w:val="00C36A81"/>
    <w:rsid w:val="00C41974"/>
    <w:rsid w:val="00C45616"/>
    <w:rsid w:val="00C53F4A"/>
    <w:rsid w:val="00C54125"/>
    <w:rsid w:val="00C55B54"/>
    <w:rsid w:val="00C6098E"/>
    <w:rsid w:val="00C6152C"/>
    <w:rsid w:val="00C74810"/>
    <w:rsid w:val="00C81ACF"/>
    <w:rsid w:val="00C90D68"/>
    <w:rsid w:val="00C939FE"/>
    <w:rsid w:val="00CA4BDA"/>
    <w:rsid w:val="00CA7C61"/>
    <w:rsid w:val="00CB1F66"/>
    <w:rsid w:val="00CB2951"/>
    <w:rsid w:val="00CD282B"/>
    <w:rsid w:val="00CD4C35"/>
    <w:rsid w:val="00CD7369"/>
    <w:rsid w:val="00CE0B0E"/>
    <w:rsid w:val="00CE3831"/>
    <w:rsid w:val="00CF65A1"/>
    <w:rsid w:val="00D00ABB"/>
    <w:rsid w:val="00D02781"/>
    <w:rsid w:val="00D02EEC"/>
    <w:rsid w:val="00D03551"/>
    <w:rsid w:val="00D06A63"/>
    <w:rsid w:val="00D07E0E"/>
    <w:rsid w:val="00D11478"/>
    <w:rsid w:val="00D15ED0"/>
    <w:rsid w:val="00D21B3E"/>
    <w:rsid w:val="00D21C26"/>
    <w:rsid w:val="00D21FED"/>
    <w:rsid w:val="00D24251"/>
    <w:rsid w:val="00D343E2"/>
    <w:rsid w:val="00D361A2"/>
    <w:rsid w:val="00D44C2E"/>
    <w:rsid w:val="00D45414"/>
    <w:rsid w:val="00D54FF1"/>
    <w:rsid w:val="00D55E2C"/>
    <w:rsid w:val="00D566BD"/>
    <w:rsid w:val="00D57A4D"/>
    <w:rsid w:val="00D60642"/>
    <w:rsid w:val="00D60AA7"/>
    <w:rsid w:val="00D62A67"/>
    <w:rsid w:val="00D6435F"/>
    <w:rsid w:val="00D75E28"/>
    <w:rsid w:val="00D772C2"/>
    <w:rsid w:val="00D8008E"/>
    <w:rsid w:val="00D82C45"/>
    <w:rsid w:val="00D908A8"/>
    <w:rsid w:val="00D977B6"/>
    <w:rsid w:val="00DA3634"/>
    <w:rsid w:val="00DA37FE"/>
    <w:rsid w:val="00DA3E62"/>
    <w:rsid w:val="00DA4A31"/>
    <w:rsid w:val="00DA7B04"/>
    <w:rsid w:val="00DB36C2"/>
    <w:rsid w:val="00DB45D8"/>
    <w:rsid w:val="00DB5CBD"/>
    <w:rsid w:val="00DC169B"/>
    <w:rsid w:val="00DC2AB9"/>
    <w:rsid w:val="00DC63F0"/>
    <w:rsid w:val="00DD5382"/>
    <w:rsid w:val="00DD6EE5"/>
    <w:rsid w:val="00DE2362"/>
    <w:rsid w:val="00DE386C"/>
    <w:rsid w:val="00DE4D35"/>
    <w:rsid w:val="00DF098B"/>
    <w:rsid w:val="00DF11C4"/>
    <w:rsid w:val="00DF210C"/>
    <w:rsid w:val="00DF4B6A"/>
    <w:rsid w:val="00E02C09"/>
    <w:rsid w:val="00E04D59"/>
    <w:rsid w:val="00E07DA1"/>
    <w:rsid w:val="00E123CB"/>
    <w:rsid w:val="00E16C66"/>
    <w:rsid w:val="00E20E13"/>
    <w:rsid w:val="00E21DBC"/>
    <w:rsid w:val="00E275D7"/>
    <w:rsid w:val="00E27DBE"/>
    <w:rsid w:val="00E32AB1"/>
    <w:rsid w:val="00E36C71"/>
    <w:rsid w:val="00E40404"/>
    <w:rsid w:val="00E459C6"/>
    <w:rsid w:val="00E46CE4"/>
    <w:rsid w:val="00E47589"/>
    <w:rsid w:val="00E64915"/>
    <w:rsid w:val="00E661D4"/>
    <w:rsid w:val="00E70091"/>
    <w:rsid w:val="00E720F5"/>
    <w:rsid w:val="00E76D47"/>
    <w:rsid w:val="00E849F7"/>
    <w:rsid w:val="00E90302"/>
    <w:rsid w:val="00E97396"/>
    <w:rsid w:val="00EA185E"/>
    <w:rsid w:val="00EA592A"/>
    <w:rsid w:val="00EB14E4"/>
    <w:rsid w:val="00EB182B"/>
    <w:rsid w:val="00EB32A5"/>
    <w:rsid w:val="00EB34ED"/>
    <w:rsid w:val="00EB4A37"/>
    <w:rsid w:val="00EB7BE0"/>
    <w:rsid w:val="00EC315E"/>
    <w:rsid w:val="00EC58D1"/>
    <w:rsid w:val="00ED077C"/>
    <w:rsid w:val="00ED1190"/>
    <w:rsid w:val="00ED6544"/>
    <w:rsid w:val="00EE0277"/>
    <w:rsid w:val="00EE3E00"/>
    <w:rsid w:val="00EE5DD2"/>
    <w:rsid w:val="00F00A79"/>
    <w:rsid w:val="00F00E86"/>
    <w:rsid w:val="00F07C1E"/>
    <w:rsid w:val="00F105DB"/>
    <w:rsid w:val="00F132BC"/>
    <w:rsid w:val="00F13D80"/>
    <w:rsid w:val="00F16AAA"/>
    <w:rsid w:val="00F21161"/>
    <w:rsid w:val="00F218EF"/>
    <w:rsid w:val="00F21BC7"/>
    <w:rsid w:val="00F25EFC"/>
    <w:rsid w:val="00F266A2"/>
    <w:rsid w:val="00F27D13"/>
    <w:rsid w:val="00F32269"/>
    <w:rsid w:val="00F56A6F"/>
    <w:rsid w:val="00F5709C"/>
    <w:rsid w:val="00F626DA"/>
    <w:rsid w:val="00F64EF1"/>
    <w:rsid w:val="00F659F3"/>
    <w:rsid w:val="00F83589"/>
    <w:rsid w:val="00F8540D"/>
    <w:rsid w:val="00F8765F"/>
    <w:rsid w:val="00F90767"/>
    <w:rsid w:val="00F912E4"/>
    <w:rsid w:val="00F94531"/>
    <w:rsid w:val="00F9588E"/>
    <w:rsid w:val="00FA685B"/>
    <w:rsid w:val="00FB0C01"/>
    <w:rsid w:val="00FC18F2"/>
    <w:rsid w:val="00FC39E5"/>
    <w:rsid w:val="00FC3A78"/>
    <w:rsid w:val="00FD1005"/>
    <w:rsid w:val="00FD61AA"/>
    <w:rsid w:val="00FD6C75"/>
    <w:rsid w:val="00FD7649"/>
    <w:rsid w:val="00FE71B3"/>
    <w:rsid w:val="00FF42C5"/>
    <w:rsid w:val="00FF5AD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3844E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9D406A"/>
    <w:rPr>
      <w:sz w:val="24"/>
      <w:szCs w:val="24"/>
      <w:lang w:val="fr-FR"/>
    </w:rPr>
  </w:style>
  <w:style w:type="paragraph" w:styleId="Heading1">
    <w:name w:val="heading 1"/>
    <w:basedOn w:val="Normal"/>
    <w:next w:val="Normal"/>
    <w:link w:val="Heading1Char"/>
    <w:uiPriority w:val="98"/>
    <w:semiHidden/>
    <w:rsid w:val="009D406A"/>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8"/>
    <w:semiHidden/>
    <w:rsid w:val="009D406A"/>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8"/>
    <w:semiHidden/>
    <w:rsid w:val="009D406A"/>
    <w:pPr>
      <w:spacing w:before="200" w:line="271" w:lineRule="auto"/>
      <w:outlineLvl w:val="2"/>
    </w:pPr>
    <w:rPr>
      <w:rFonts w:asciiTheme="majorHAnsi" w:eastAsiaTheme="majorEastAsia" w:hAnsiTheme="majorHAnsi" w:cstheme="majorBidi"/>
      <w:b/>
      <w:bCs/>
      <w:color w:val="5F5F5F"/>
      <w:sz w:val="22"/>
      <w:szCs w:val="22"/>
    </w:rPr>
  </w:style>
  <w:style w:type="paragraph" w:styleId="Heading4">
    <w:name w:val="heading 4"/>
    <w:basedOn w:val="Normal"/>
    <w:next w:val="Normal"/>
    <w:link w:val="Heading4Char"/>
    <w:uiPriority w:val="98"/>
    <w:semiHidden/>
    <w:rsid w:val="009D406A"/>
    <w:pPr>
      <w:spacing w:before="200"/>
      <w:outlineLvl w:val="3"/>
    </w:pPr>
    <w:rPr>
      <w:rFonts w:asciiTheme="majorHAnsi" w:eastAsiaTheme="majorEastAsia" w:hAnsiTheme="majorHAnsi" w:cstheme="majorBidi"/>
      <w:b/>
      <w:bCs/>
      <w:i/>
      <w:iCs/>
      <w:color w:val="777777"/>
      <w:sz w:val="22"/>
      <w:szCs w:val="22"/>
    </w:rPr>
  </w:style>
  <w:style w:type="paragraph" w:styleId="Heading5">
    <w:name w:val="heading 5"/>
    <w:basedOn w:val="Normal"/>
    <w:next w:val="Normal"/>
    <w:link w:val="Heading5Char"/>
    <w:uiPriority w:val="98"/>
    <w:semiHidden/>
    <w:qFormat/>
    <w:rsid w:val="009D406A"/>
    <w:pPr>
      <w:spacing w:before="200"/>
      <w:outlineLvl w:val="4"/>
    </w:pPr>
    <w:rPr>
      <w:rFonts w:asciiTheme="majorHAnsi" w:eastAsiaTheme="majorEastAsia" w:hAnsiTheme="majorHAnsi" w:cstheme="majorBidi"/>
      <w:b/>
      <w:bCs/>
      <w:color w:val="808080"/>
      <w:sz w:val="22"/>
      <w:szCs w:val="22"/>
    </w:rPr>
  </w:style>
  <w:style w:type="paragraph" w:styleId="Heading6">
    <w:name w:val="heading 6"/>
    <w:basedOn w:val="Normal"/>
    <w:next w:val="Normal"/>
    <w:link w:val="Heading6Char"/>
    <w:uiPriority w:val="98"/>
    <w:semiHidden/>
    <w:rsid w:val="009D406A"/>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Heading7">
    <w:name w:val="heading 7"/>
    <w:basedOn w:val="Normal"/>
    <w:next w:val="Normal"/>
    <w:link w:val="Heading7Char"/>
    <w:uiPriority w:val="98"/>
    <w:semiHidden/>
    <w:qFormat/>
    <w:rsid w:val="009D406A"/>
    <w:pPr>
      <w:outlineLvl w:val="6"/>
    </w:pPr>
    <w:rPr>
      <w:rFonts w:asciiTheme="majorHAnsi" w:eastAsiaTheme="majorEastAsia" w:hAnsiTheme="majorHAnsi" w:cstheme="majorBidi"/>
      <w:i/>
      <w:iCs/>
      <w:sz w:val="22"/>
      <w:szCs w:val="22"/>
      <w:lang w:bidi="en-US"/>
    </w:rPr>
  </w:style>
  <w:style w:type="paragraph" w:styleId="Heading8">
    <w:name w:val="heading 8"/>
    <w:basedOn w:val="Normal"/>
    <w:next w:val="Normal"/>
    <w:link w:val="Heading8Char"/>
    <w:uiPriority w:val="98"/>
    <w:semiHidden/>
    <w:qFormat/>
    <w:rsid w:val="009D406A"/>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8"/>
    <w:semiHidden/>
    <w:qFormat/>
    <w:rsid w:val="009D406A"/>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8"/>
    <w:semiHidden/>
    <w:rsid w:val="009D406A"/>
    <w:rPr>
      <w:rFonts w:ascii="Tahoma" w:hAnsi="Tahoma" w:cs="Tahoma"/>
      <w:sz w:val="16"/>
      <w:szCs w:val="16"/>
    </w:rPr>
  </w:style>
  <w:style w:type="character" w:customStyle="1" w:styleId="BalloonTextChar">
    <w:name w:val="Balloon Text Char"/>
    <w:basedOn w:val="DefaultParagraphFont"/>
    <w:link w:val="BalloonText"/>
    <w:uiPriority w:val="98"/>
    <w:semiHidden/>
    <w:rsid w:val="009D406A"/>
    <w:rPr>
      <w:rFonts w:ascii="Tahoma" w:hAnsi="Tahoma" w:cs="Tahoma"/>
      <w:sz w:val="16"/>
      <w:szCs w:val="16"/>
      <w:lang w:val="fr-FR"/>
    </w:rPr>
  </w:style>
  <w:style w:type="character" w:styleId="BookTitle">
    <w:name w:val="Book Title"/>
    <w:uiPriority w:val="98"/>
    <w:semiHidden/>
    <w:qFormat/>
    <w:rsid w:val="009D406A"/>
    <w:rPr>
      <w:i/>
      <w:iCs/>
      <w:smallCaps/>
      <w:spacing w:val="5"/>
    </w:rPr>
  </w:style>
  <w:style w:type="paragraph" w:customStyle="1" w:styleId="JuHeader">
    <w:name w:val="Ju_Header"/>
    <w:aliases w:val="_Header"/>
    <w:basedOn w:val="Header"/>
    <w:uiPriority w:val="29"/>
    <w:qFormat/>
    <w:rsid w:val="009D406A"/>
    <w:pPr>
      <w:tabs>
        <w:tab w:val="clear" w:pos="4536"/>
        <w:tab w:val="clear" w:pos="9072"/>
      </w:tabs>
      <w:jc w:val="center"/>
    </w:pPr>
    <w:rPr>
      <w:sz w:val="18"/>
    </w:rPr>
  </w:style>
  <w:style w:type="paragraph" w:customStyle="1" w:styleId="DummyStyle">
    <w:name w:val="Dummy_Style"/>
    <w:aliases w:val="_Dummy"/>
    <w:basedOn w:val="Normal"/>
    <w:semiHidden/>
    <w:qFormat/>
    <w:rsid w:val="009D406A"/>
    <w:rPr>
      <w:color w:val="00B050"/>
      <w:sz w:val="22"/>
    </w:rPr>
  </w:style>
  <w:style w:type="character" w:styleId="Strong">
    <w:name w:val="Strong"/>
    <w:uiPriority w:val="98"/>
    <w:semiHidden/>
    <w:qFormat/>
    <w:rsid w:val="009D406A"/>
    <w:rPr>
      <w:b/>
      <w:bCs/>
    </w:rPr>
  </w:style>
  <w:style w:type="paragraph" w:styleId="NoSpacing">
    <w:name w:val="No Spacing"/>
    <w:basedOn w:val="Normal"/>
    <w:link w:val="NoSpacingChar"/>
    <w:uiPriority w:val="98"/>
    <w:semiHidden/>
    <w:qFormat/>
    <w:rsid w:val="009D406A"/>
  </w:style>
  <w:style w:type="character" w:customStyle="1" w:styleId="NoSpacingChar">
    <w:name w:val="No Spacing Char"/>
    <w:basedOn w:val="DefaultParagraphFont"/>
    <w:link w:val="NoSpacing"/>
    <w:uiPriority w:val="98"/>
    <w:semiHidden/>
    <w:rsid w:val="009D406A"/>
    <w:rPr>
      <w:sz w:val="24"/>
      <w:szCs w:val="24"/>
      <w:lang w:val="fr-FR"/>
    </w:rPr>
  </w:style>
  <w:style w:type="paragraph" w:customStyle="1" w:styleId="JuQuot">
    <w:name w:val="Ju_Quot"/>
    <w:aliases w:val="_Quote"/>
    <w:basedOn w:val="NormalJustified"/>
    <w:uiPriority w:val="20"/>
    <w:qFormat/>
    <w:rsid w:val="009D406A"/>
    <w:pPr>
      <w:spacing w:before="120" w:after="120"/>
      <w:ind w:left="425" w:firstLine="142"/>
    </w:pPr>
    <w:rPr>
      <w:sz w:val="20"/>
    </w:rPr>
  </w:style>
  <w:style w:type="paragraph" w:customStyle="1" w:styleId="JuList">
    <w:name w:val="Ju_List"/>
    <w:aliases w:val="_List_1"/>
    <w:basedOn w:val="NormalJustified"/>
    <w:uiPriority w:val="23"/>
    <w:qFormat/>
    <w:rsid w:val="009D406A"/>
    <w:pPr>
      <w:numPr>
        <w:numId w:val="8"/>
      </w:numPr>
      <w:spacing w:before="280" w:after="60"/>
    </w:pPr>
  </w:style>
  <w:style w:type="paragraph" w:customStyle="1" w:styleId="JuLista">
    <w:name w:val="Ju_List_a"/>
    <w:aliases w:val="_List_2"/>
    <w:basedOn w:val="NormalJustified"/>
    <w:uiPriority w:val="23"/>
    <w:rsid w:val="009D406A"/>
    <w:pPr>
      <w:numPr>
        <w:ilvl w:val="1"/>
        <w:numId w:val="8"/>
      </w:numPr>
    </w:pPr>
  </w:style>
  <w:style w:type="paragraph" w:customStyle="1" w:styleId="JuListi">
    <w:name w:val="Ju_List_i"/>
    <w:aliases w:val="_List_3"/>
    <w:basedOn w:val="NormalJustified"/>
    <w:uiPriority w:val="23"/>
    <w:rsid w:val="009D406A"/>
    <w:pPr>
      <w:numPr>
        <w:ilvl w:val="2"/>
        <w:numId w:val="8"/>
      </w:numPr>
    </w:pPr>
  </w:style>
  <w:style w:type="paragraph" w:customStyle="1" w:styleId="DecHTitle">
    <w:name w:val="Dec_H_Title"/>
    <w:aliases w:val="_Title_1"/>
    <w:basedOn w:val="JuPara"/>
    <w:next w:val="JuPara"/>
    <w:uiPriority w:val="38"/>
    <w:qFormat/>
    <w:rsid w:val="009D406A"/>
    <w:pPr>
      <w:keepNext/>
      <w:keepLines/>
      <w:spacing w:after="240"/>
      <w:ind w:firstLine="0"/>
      <w:jc w:val="center"/>
      <w:outlineLvl w:val="0"/>
    </w:pPr>
    <w:rPr>
      <w:rFonts w:asciiTheme="majorHAnsi" w:hAnsiTheme="majorHAnsi"/>
      <w:sz w:val="28"/>
    </w:rPr>
  </w:style>
  <w:style w:type="paragraph" w:customStyle="1" w:styleId="JuHArticle">
    <w:name w:val="Ju_H_Article"/>
    <w:aliases w:val="_Title_Quote"/>
    <w:basedOn w:val="Normal"/>
    <w:next w:val="JuQuot"/>
    <w:uiPriority w:val="19"/>
    <w:qFormat/>
    <w:rsid w:val="009D406A"/>
    <w:pPr>
      <w:keepNext/>
      <w:spacing w:before="100" w:beforeAutospacing="1" w:after="120"/>
      <w:contextualSpacing/>
      <w:jc w:val="center"/>
    </w:pPr>
    <w:rPr>
      <w:b/>
      <w:sz w:val="20"/>
    </w:rPr>
  </w:style>
  <w:style w:type="paragraph" w:customStyle="1" w:styleId="ECHRCoverTitle4">
    <w:name w:val="ECHR_Cover_Title_4"/>
    <w:aliases w:val="_Title_4"/>
    <w:basedOn w:val="JuPara"/>
    <w:next w:val="JuPara"/>
    <w:uiPriority w:val="38"/>
    <w:qFormat/>
    <w:rsid w:val="009D406A"/>
    <w:pPr>
      <w:keepNext/>
      <w:keepLines/>
      <w:tabs>
        <w:tab w:val="right" w:pos="7938"/>
      </w:tabs>
      <w:ind w:firstLine="0"/>
      <w:jc w:val="center"/>
    </w:pPr>
    <w:rPr>
      <w:i/>
    </w:rPr>
  </w:style>
  <w:style w:type="numbering" w:customStyle="1" w:styleId="ECHRA1StyleBulletedSquare">
    <w:name w:val="ECHR_A1_Style_Bulleted_Square"/>
    <w:basedOn w:val="NoList"/>
    <w:rsid w:val="009D406A"/>
    <w:pPr>
      <w:numPr>
        <w:numId w:val="7"/>
      </w:numPr>
    </w:pPr>
  </w:style>
  <w:style w:type="paragraph" w:customStyle="1" w:styleId="JuHHead">
    <w:name w:val="Ju_H_Head"/>
    <w:aliases w:val="_Head_1"/>
    <w:basedOn w:val="Heading1"/>
    <w:next w:val="JuPara"/>
    <w:uiPriority w:val="17"/>
    <w:qFormat/>
    <w:rsid w:val="009D406A"/>
    <w:pPr>
      <w:keepNext/>
      <w:keepLines/>
      <w:numPr>
        <w:numId w:val="3"/>
      </w:numPr>
      <w:spacing w:before="100" w:beforeAutospacing="1" w:after="240"/>
      <w:contextualSpacing w:val="0"/>
      <w:jc w:val="both"/>
    </w:pPr>
    <w:rPr>
      <w:b w:val="0"/>
      <w:caps/>
      <w:color w:val="auto"/>
    </w:rPr>
  </w:style>
  <w:style w:type="numbering" w:customStyle="1" w:styleId="ECHRA1StyleList">
    <w:name w:val="ECHR_A1_Style_List"/>
    <w:basedOn w:val="NoList"/>
    <w:uiPriority w:val="99"/>
    <w:rsid w:val="009D406A"/>
    <w:pPr>
      <w:numPr>
        <w:numId w:val="8"/>
      </w:numPr>
    </w:pPr>
  </w:style>
  <w:style w:type="paragraph" w:customStyle="1" w:styleId="JuSigned">
    <w:name w:val="Ju_Signed"/>
    <w:aliases w:val="_Signature"/>
    <w:basedOn w:val="Normal"/>
    <w:next w:val="JuPara"/>
    <w:uiPriority w:val="31"/>
    <w:qFormat/>
    <w:rsid w:val="009D406A"/>
    <w:pPr>
      <w:tabs>
        <w:tab w:val="center" w:pos="851"/>
        <w:tab w:val="center" w:pos="6407"/>
      </w:tabs>
      <w:spacing w:before="720"/>
    </w:pPr>
  </w:style>
  <w:style w:type="paragraph" w:styleId="Title">
    <w:name w:val="Title"/>
    <w:basedOn w:val="Normal"/>
    <w:next w:val="Normal"/>
    <w:link w:val="TitleChar"/>
    <w:uiPriority w:val="98"/>
    <w:semiHidden/>
    <w:qFormat/>
    <w:rsid w:val="009D406A"/>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8"/>
    <w:semiHidden/>
    <w:rsid w:val="009D406A"/>
    <w:rPr>
      <w:rFonts w:asciiTheme="majorHAnsi" w:eastAsiaTheme="majorEastAsia" w:hAnsiTheme="majorHAnsi" w:cstheme="majorBidi"/>
      <w:spacing w:val="5"/>
      <w:sz w:val="52"/>
      <w:szCs w:val="52"/>
      <w:lang w:val="fr-FR" w:bidi="en-US"/>
    </w:rPr>
  </w:style>
  <w:style w:type="numbering" w:customStyle="1" w:styleId="ECHRA1StyleNumberedList">
    <w:name w:val="ECHR_A1_Style_Numbered_List"/>
    <w:basedOn w:val="NoList"/>
    <w:rsid w:val="009D406A"/>
    <w:pPr>
      <w:numPr>
        <w:numId w:val="9"/>
      </w:numPr>
    </w:pPr>
  </w:style>
  <w:style w:type="table" w:customStyle="1" w:styleId="ECHRTable2019">
    <w:name w:val="ECHR_Table_2019"/>
    <w:basedOn w:val="TableNormal"/>
    <w:uiPriority w:val="99"/>
    <w:rsid w:val="009D406A"/>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Footer">
    <w:name w:val="_Footer"/>
    <w:aliases w:val="Footer_"/>
    <w:basedOn w:val="Footer0"/>
    <w:uiPriority w:val="57"/>
    <w:semiHidden/>
    <w:rsid w:val="00A00672"/>
    <w:rPr>
      <w:sz w:val="8"/>
    </w:rPr>
  </w:style>
  <w:style w:type="paragraph" w:customStyle="1" w:styleId="JuCourt">
    <w:name w:val="Ju_Court"/>
    <w:aliases w:val="_Court_Names"/>
    <w:basedOn w:val="Normal"/>
    <w:next w:val="Normal"/>
    <w:uiPriority w:val="32"/>
    <w:qFormat/>
    <w:rsid w:val="009D406A"/>
    <w:pPr>
      <w:tabs>
        <w:tab w:val="left" w:pos="907"/>
        <w:tab w:val="left" w:pos="1701"/>
        <w:tab w:val="right" w:pos="7371"/>
      </w:tabs>
      <w:spacing w:before="240"/>
      <w:ind w:left="397" w:hanging="397"/>
    </w:pPr>
    <w:rPr>
      <w:lang w:bidi="en-US"/>
    </w:rPr>
  </w:style>
  <w:style w:type="paragraph" w:customStyle="1" w:styleId="JuInitialled">
    <w:name w:val="Ju_Initialled"/>
    <w:aliases w:val="_Right"/>
    <w:basedOn w:val="Normal"/>
    <w:uiPriority w:val="30"/>
    <w:qFormat/>
    <w:rsid w:val="009D406A"/>
    <w:pPr>
      <w:tabs>
        <w:tab w:val="center" w:pos="6407"/>
      </w:tabs>
      <w:spacing w:before="720"/>
      <w:jc w:val="right"/>
    </w:pPr>
  </w:style>
  <w:style w:type="paragraph" w:customStyle="1" w:styleId="JuHIRoman">
    <w:name w:val="Ju_H_I_Roman"/>
    <w:aliases w:val="_Head_2"/>
    <w:basedOn w:val="Heading2"/>
    <w:next w:val="JuPara"/>
    <w:uiPriority w:val="17"/>
    <w:qFormat/>
    <w:rsid w:val="009D406A"/>
    <w:pPr>
      <w:keepNext/>
      <w:keepLines/>
      <w:numPr>
        <w:ilvl w:val="1"/>
        <w:numId w:val="3"/>
      </w:numPr>
      <w:tabs>
        <w:tab w:val="left" w:pos="454"/>
        <w:tab w:val="left" w:pos="567"/>
        <w:tab w:val="left" w:pos="680"/>
      </w:tabs>
      <w:spacing w:before="100" w:beforeAutospacing="1" w:after="240"/>
      <w:jc w:val="both"/>
    </w:pPr>
    <w:rPr>
      <w:b w:val="0"/>
      <w:caps/>
      <w:color w:val="auto"/>
      <w:sz w:val="24"/>
    </w:rPr>
  </w:style>
  <w:style w:type="paragraph" w:customStyle="1" w:styleId="JuHA">
    <w:name w:val="Ju_H_A"/>
    <w:aliases w:val="_Head_3"/>
    <w:basedOn w:val="Heading3"/>
    <w:next w:val="JuPara"/>
    <w:uiPriority w:val="17"/>
    <w:qFormat/>
    <w:rsid w:val="009D406A"/>
    <w:pPr>
      <w:keepNext/>
      <w:keepLines/>
      <w:numPr>
        <w:ilvl w:val="2"/>
        <w:numId w:val="3"/>
      </w:numPr>
      <w:spacing w:before="100" w:beforeAutospacing="1" w:after="240" w:line="240" w:lineRule="auto"/>
      <w:jc w:val="both"/>
    </w:pPr>
    <w:rPr>
      <w:color w:val="auto"/>
      <w:sz w:val="24"/>
    </w:rPr>
  </w:style>
  <w:style w:type="paragraph" w:customStyle="1" w:styleId="JuH1">
    <w:name w:val="Ju_H_1."/>
    <w:aliases w:val="_Head_4"/>
    <w:basedOn w:val="Heading4"/>
    <w:next w:val="JuPara"/>
    <w:uiPriority w:val="17"/>
    <w:rsid w:val="009D406A"/>
    <w:pPr>
      <w:keepNext/>
      <w:keepLines/>
      <w:numPr>
        <w:ilvl w:val="3"/>
        <w:numId w:val="3"/>
      </w:numPr>
      <w:spacing w:before="100" w:beforeAutospacing="1" w:after="120"/>
      <w:jc w:val="both"/>
    </w:pPr>
    <w:rPr>
      <w:b w:val="0"/>
      <w:color w:val="auto"/>
      <w:sz w:val="24"/>
    </w:rPr>
  </w:style>
  <w:style w:type="paragraph" w:styleId="Header">
    <w:name w:val="header"/>
    <w:basedOn w:val="Normal"/>
    <w:link w:val="HeaderChar"/>
    <w:uiPriority w:val="98"/>
    <w:semiHidden/>
    <w:rsid w:val="009D406A"/>
    <w:pPr>
      <w:tabs>
        <w:tab w:val="center" w:pos="4536"/>
        <w:tab w:val="right" w:pos="9072"/>
      </w:tabs>
    </w:pPr>
  </w:style>
  <w:style w:type="character" w:customStyle="1" w:styleId="HeaderChar">
    <w:name w:val="Header Char"/>
    <w:basedOn w:val="DefaultParagraphFont"/>
    <w:link w:val="Header"/>
    <w:uiPriority w:val="98"/>
    <w:semiHidden/>
    <w:rsid w:val="009D406A"/>
    <w:rPr>
      <w:sz w:val="24"/>
      <w:szCs w:val="24"/>
      <w:lang w:val="fr-FR"/>
    </w:rPr>
  </w:style>
  <w:style w:type="character" w:customStyle="1" w:styleId="Heading1Char">
    <w:name w:val="Heading 1 Char"/>
    <w:basedOn w:val="DefaultParagraphFont"/>
    <w:link w:val="Heading1"/>
    <w:uiPriority w:val="98"/>
    <w:semiHidden/>
    <w:rsid w:val="009D406A"/>
    <w:rPr>
      <w:rFonts w:asciiTheme="majorHAnsi" w:eastAsiaTheme="majorEastAsia" w:hAnsiTheme="majorHAnsi" w:cstheme="majorBidi"/>
      <w:b/>
      <w:bCs/>
      <w:color w:val="333333"/>
      <w:sz w:val="28"/>
      <w:szCs w:val="28"/>
      <w:lang w:val="fr-FR"/>
    </w:rPr>
  </w:style>
  <w:style w:type="paragraph" w:customStyle="1" w:styleId="JuHa0">
    <w:name w:val="Ju_H_a"/>
    <w:aliases w:val="_Head_5"/>
    <w:basedOn w:val="Heading5"/>
    <w:next w:val="JuPara"/>
    <w:uiPriority w:val="17"/>
    <w:rsid w:val="009D406A"/>
    <w:pPr>
      <w:keepNext/>
      <w:keepLines/>
      <w:numPr>
        <w:ilvl w:val="4"/>
        <w:numId w:val="3"/>
      </w:numPr>
      <w:spacing w:before="100" w:beforeAutospacing="1" w:after="120"/>
      <w:jc w:val="both"/>
    </w:pPr>
    <w:rPr>
      <w:color w:val="auto"/>
      <w:sz w:val="20"/>
    </w:rPr>
  </w:style>
  <w:style w:type="paragraph" w:customStyle="1" w:styleId="JuHi">
    <w:name w:val="Ju_H_i"/>
    <w:aliases w:val="_Head_6"/>
    <w:basedOn w:val="Heading6"/>
    <w:next w:val="JuPara"/>
    <w:uiPriority w:val="17"/>
    <w:rsid w:val="009D406A"/>
    <w:pPr>
      <w:keepNext/>
      <w:keepLines/>
      <w:numPr>
        <w:ilvl w:val="5"/>
        <w:numId w:val="3"/>
      </w:numPr>
      <w:tabs>
        <w:tab w:val="left" w:pos="1077"/>
        <w:tab w:val="left" w:pos="1134"/>
        <w:tab w:val="left" w:pos="1191"/>
        <w:tab w:val="left" w:pos="1247"/>
      </w:tabs>
      <w:spacing w:before="100" w:beforeAutospacing="1" w:after="120"/>
      <w:jc w:val="both"/>
    </w:pPr>
    <w:rPr>
      <w:b w:val="0"/>
      <w:color w:val="auto"/>
      <w:sz w:val="20"/>
    </w:rPr>
  </w:style>
  <w:style w:type="character" w:customStyle="1" w:styleId="Heading2Char">
    <w:name w:val="Heading 2 Char"/>
    <w:basedOn w:val="DefaultParagraphFont"/>
    <w:link w:val="Heading2"/>
    <w:uiPriority w:val="98"/>
    <w:semiHidden/>
    <w:rsid w:val="009D406A"/>
    <w:rPr>
      <w:rFonts w:asciiTheme="majorHAnsi" w:eastAsiaTheme="majorEastAsia" w:hAnsiTheme="majorHAnsi" w:cstheme="majorBidi"/>
      <w:b/>
      <w:bCs/>
      <w:color w:val="4D4D4D"/>
      <w:sz w:val="26"/>
      <w:szCs w:val="26"/>
      <w:lang w:val="fr-FR"/>
    </w:rPr>
  </w:style>
  <w:style w:type="paragraph" w:customStyle="1" w:styleId="JuHalpha">
    <w:name w:val="Ju_H_alpha"/>
    <w:aliases w:val="_Head_7"/>
    <w:basedOn w:val="Heading7"/>
    <w:next w:val="JuPara"/>
    <w:uiPriority w:val="17"/>
    <w:rsid w:val="009D406A"/>
    <w:pPr>
      <w:keepNext/>
      <w:keepLines/>
      <w:numPr>
        <w:ilvl w:val="6"/>
        <w:numId w:val="3"/>
      </w:numPr>
      <w:tabs>
        <w:tab w:val="left" w:pos="1361"/>
      </w:tabs>
      <w:spacing w:before="100" w:beforeAutospacing="1" w:after="120"/>
      <w:jc w:val="both"/>
    </w:pPr>
    <w:rPr>
      <w:i w:val="0"/>
      <w:sz w:val="20"/>
    </w:rPr>
  </w:style>
  <w:style w:type="paragraph" w:customStyle="1" w:styleId="JuH">
    <w:name w:val="Ju_H_–"/>
    <w:aliases w:val="_Head_8"/>
    <w:basedOn w:val="Heading8"/>
    <w:next w:val="JuPara"/>
    <w:uiPriority w:val="17"/>
    <w:rsid w:val="009D406A"/>
    <w:pPr>
      <w:keepNext/>
      <w:keepLines/>
      <w:numPr>
        <w:ilvl w:val="7"/>
        <w:numId w:val="3"/>
      </w:numPr>
      <w:spacing w:before="100" w:beforeAutospacing="1" w:after="120"/>
      <w:jc w:val="both"/>
    </w:pPr>
    <w:rPr>
      <w:i/>
    </w:rPr>
  </w:style>
  <w:style w:type="character" w:customStyle="1" w:styleId="Heading3Char">
    <w:name w:val="Heading 3 Char"/>
    <w:basedOn w:val="DefaultParagraphFont"/>
    <w:link w:val="Heading3"/>
    <w:uiPriority w:val="98"/>
    <w:semiHidden/>
    <w:rsid w:val="009D406A"/>
    <w:rPr>
      <w:rFonts w:asciiTheme="majorHAnsi" w:eastAsiaTheme="majorEastAsia" w:hAnsiTheme="majorHAnsi" w:cstheme="majorBidi"/>
      <w:b/>
      <w:bCs/>
      <w:color w:val="5F5F5F"/>
      <w:lang w:val="fr-FR"/>
    </w:rPr>
  </w:style>
  <w:style w:type="paragraph" w:customStyle="1" w:styleId="JuParaLast">
    <w:name w:val="Ju_Para_Last"/>
    <w:aliases w:val="_Para_Spaced"/>
    <w:basedOn w:val="NormalJustified"/>
    <w:uiPriority w:val="5"/>
    <w:qFormat/>
    <w:rsid w:val="009D406A"/>
    <w:pPr>
      <w:keepNext/>
      <w:keepLines/>
      <w:spacing w:before="240" w:after="240"/>
      <w:ind w:firstLine="284"/>
    </w:pPr>
  </w:style>
  <w:style w:type="paragraph" w:customStyle="1" w:styleId="JuJudges">
    <w:name w:val="Ju_Judges"/>
    <w:aliases w:val="_Judges"/>
    <w:basedOn w:val="Normal"/>
    <w:uiPriority w:val="32"/>
    <w:qFormat/>
    <w:rsid w:val="009D406A"/>
    <w:pPr>
      <w:tabs>
        <w:tab w:val="left" w:pos="567"/>
        <w:tab w:val="left" w:pos="1134"/>
      </w:tabs>
    </w:pPr>
  </w:style>
  <w:style w:type="character" w:customStyle="1" w:styleId="Heading4Char">
    <w:name w:val="Heading 4 Char"/>
    <w:basedOn w:val="DefaultParagraphFont"/>
    <w:link w:val="Heading4"/>
    <w:uiPriority w:val="98"/>
    <w:semiHidden/>
    <w:rsid w:val="009D406A"/>
    <w:rPr>
      <w:rFonts w:asciiTheme="majorHAnsi" w:eastAsiaTheme="majorEastAsia" w:hAnsiTheme="majorHAnsi" w:cstheme="majorBidi"/>
      <w:b/>
      <w:bCs/>
      <w:i/>
      <w:iCs/>
      <w:color w:val="777777"/>
      <w:lang w:val="fr-FR"/>
    </w:rPr>
  </w:style>
  <w:style w:type="character" w:customStyle="1" w:styleId="JuITMark">
    <w:name w:val="Ju_ITMark"/>
    <w:aliases w:val="_ITMark"/>
    <w:basedOn w:val="DefaultParagraphFont"/>
    <w:uiPriority w:val="54"/>
    <w:qFormat/>
    <w:rsid w:val="009D406A"/>
    <w:rPr>
      <w:vanish w:val="0"/>
      <w:color w:val="auto"/>
      <w:sz w:val="14"/>
      <w:bdr w:val="none" w:sz="0" w:space="0" w:color="auto"/>
      <w:shd w:val="clear" w:color="auto" w:fill="BEE5FF" w:themeFill="background1" w:themeFillTint="33"/>
    </w:rPr>
  </w:style>
  <w:style w:type="character" w:customStyle="1" w:styleId="Heading5Char">
    <w:name w:val="Heading 5 Char"/>
    <w:basedOn w:val="DefaultParagraphFont"/>
    <w:link w:val="Heading5"/>
    <w:uiPriority w:val="98"/>
    <w:semiHidden/>
    <w:rsid w:val="009D406A"/>
    <w:rPr>
      <w:rFonts w:asciiTheme="majorHAnsi" w:eastAsiaTheme="majorEastAsia" w:hAnsiTheme="majorHAnsi" w:cstheme="majorBidi"/>
      <w:b/>
      <w:bCs/>
      <w:color w:val="808080"/>
      <w:lang w:val="fr-FR"/>
    </w:rPr>
  </w:style>
  <w:style w:type="character" w:customStyle="1" w:styleId="JUNAMES">
    <w:name w:val="JU_NAMES"/>
    <w:aliases w:val="_Ju_Names"/>
    <w:uiPriority w:val="33"/>
    <w:qFormat/>
    <w:rsid w:val="009D406A"/>
    <w:rPr>
      <w:caps w:val="0"/>
      <w:smallCaps/>
    </w:rPr>
  </w:style>
  <w:style w:type="paragraph" w:customStyle="1" w:styleId="NormalJustified">
    <w:name w:val="Normal_Justified"/>
    <w:basedOn w:val="Normal"/>
    <w:semiHidden/>
    <w:rsid w:val="009D406A"/>
    <w:pPr>
      <w:jc w:val="both"/>
    </w:pPr>
  </w:style>
  <w:style w:type="character" w:styleId="SubtleEmphasis">
    <w:name w:val="Subtle Emphasis"/>
    <w:uiPriority w:val="98"/>
    <w:semiHidden/>
    <w:qFormat/>
    <w:rsid w:val="009D406A"/>
    <w:rPr>
      <w:i/>
      <w:iCs/>
    </w:rPr>
  </w:style>
  <w:style w:type="table" w:customStyle="1" w:styleId="ECHRTable">
    <w:name w:val="ECHR_Table"/>
    <w:basedOn w:val="TableNormal"/>
    <w:rsid w:val="009D406A"/>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9D406A"/>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character" w:styleId="Emphasis">
    <w:name w:val="Emphasis"/>
    <w:uiPriority w:val="98"/>
    <w:semiHidden/>
    <w:qFormat/>
    <w:rsid w:val="009D406A"/>
    <w:rPr>
      <w:b/>
      <w:bCs/>
      <w:i/>
      <w:iCs/>
      <w:spacing w:val="10"/>
      <w:bdr w:val="none" w:sz="0" w:space="0" w:color="auto"/>
      <w:shd w:val="clear" w:color="auto" w:fill="auto"/>
    </w:rPr>
  </w:style>
  <w:style w:type="paragraph" w:styleId="Footer0">
    <w:name w:val="footer"/>
    <w:basedOn w:val="Normal"/>
    <w:link w:val="FooterChar"/>
    <w:uiPriority w:val="98"/>
    <w:semiHidden/>
    <w:rsid w:val="009D406A"/>
    <w:pPr>
      <w:tabs>
        <w:tab w:val="center" w:pos="3686"/>
        <w:tab w:val="right" w:pos="7371"/>
      </w:tabs>
    </w:pPr>
  </w:style>
  <w:style w:type="character" w:customStyle="1" w:styleId="FooterChar">
    <w:name w:val="Footer Char"/>
    <w:basedOn w:val="DefaultParagraphFont"/>
    <w:link w:val="Footer0"/>
    <w:uiPriority w:val="98"/>
    <w:semiHidden/>
    <w:rsid w:val="009D406A"/>
    <w:rPr>
      <w:sz w:val="24"/>
      <w:szCs w:val="24"/>
      <w:lang w:val="fr-FR"/>
    </w:rPr>
  </w:style>
  <w:style w:type="character" w:styleId="FootnoteReference">
    <w:name w:val="footnote reference"/>
    <w:basedOn w:val="DefaultParagraphFont"/>
    <w:uiPriority w:val="98"/>
    <w:semiHidden/>
    <w:rsid w:val="009D406A"/>
    <w:rPr>
      <w:vertAlign w:val="superscript"/>
    </w:rPr>
  </w:style>
  <w:style w:type="paragraph" w:styleId="FootnoteText">
    <w:name w:val="footnote text"/>
    <w:basedOn w:val="Normal"/>
    <w:link w:val="FootnoteTextChar"/>
    <w:uiPriority w:val="98"/>
    <w:semiHidden/>
    <w:rsid w:val="009D406A"/>
    <w:rPr>
      <w:sz w:val="20"/>
      <w:szCs w:val="20"/>
    </w:rPr>
  </w:style>
  <w:style w:type="character" w:customStyle="1" w:styleId="FootnoteTextChar">
    <w:name w:val="Footnote Text Char"/>
    <w:basedOn w:val="DefaultParagraphFont"/>
    <w:link w:val="FootnoteText"/>
    <w:uiPriority w:val="98"/>
    <w:semiHidden/>
    <w:rsid w:val="009D406A"/>
    <w:rPr>
      <w:sz w:val="20"/>
      <w:szCs w:val="20"/>
      <w:lang w:val="fr-FR"/>
    </w:rPr>
  </w:style>
  <w:style w:type="character" w:customStyle="1" w:styleId="Heading6Char">
    <w:name w:val="Heading 6 Char"/>
    <w:basedOn w:val="DefaultParagraphFont"/>
    <w:link w:val="Heading6"/>
    <w:uiPriority w:val="98"/>
    <w:semiHidden/>
    <w:rsid w:val="009D406A"/>
    <w:rPr>
      <w:rFonts w:asciiTheme="majorHAnsi" w:eastAsiaTheme="majorEastAsia" w:hAnsiTheme="majorHAnsi" w:cstheme="majorBidi"/>
      <w:b/>
      <w:bCs/>
      <w:i/>
      <w:iCs/>
      <w:color w:val="7F7F7F" w:themeColor="text1" w:themeTint="80"/>
      <w:lang w:val="fr-FR" w:bidi="en-US"/>
    </w:rPr>
  </w:style>
  <w:style w:type="character" w:customStyle="1" w:styleId="Heading7Char">
    <w:name w:val="Heading 7 Char"/>
    <w:basedOn w:val="DefaultParagraphFont"/>
    <w:link w:val="Heading7"/>
    <w:uiPriority w:val="98"/>
    <w:semiHidden/>
    <w:rsid w:val="009D406A"/>
    <w:rPr>
      <w:rFonts w:asciiTheme="majorHAnsi" w:eastAsiaTheme="majorEastAsia" w:hAnsiTheme="majorHAnsi" w:cstheme="majorBidi"/>
      <w:i/>
      <w:iCs/>
      <w:lang w:val="fr-FR" w:bidi="en-US"/>
    </w:rPr>
  </w:style>
  <w:style w:type="character" w:customStyle="1" w:styleId="Heading8Char">
    <w:name w:val="Heading 8 Char"/>
    <w:basedOn w:val="DefaultParagraphFont"/>
    <w:link w:val="Heading8"/>
    <w:uiPriority w:val="98"/>
    <w:semiHidden/>
    <w:rsid w:val="009D406A"/>
    <w:rPr>
      <w:rFonts w:asciiTheme="majorHAnsi" w:eastAsiaTheme="majorEastAsia" w:hAnsiTheme="majorHAnsi" w:cstheme="majorBidi"/>
      <w:sz w:val="20"/>
      <w:szCs w:val="20"/>
      <w:lang w:val="fr-FR" w:bidi="en-US"/>
    </w:rPr>
  </w:style>
  <w:style w:type="character" w:customStyle="1" w:styleId="Heading9Char">
    <w:name w:val="Heading 9 Char"/>
    <w:basedOn w:val="DefaultParagraphFont"/>
    <w:link w:val="Heading9"/>
    <w:uiPriority w:val="98"/>
    <w:semiHidden/>
    <w:rsid w:val="009D406A"/>
    <w:rPr>
      <w:rFonts w:asciiTheme="majorHAnsi" w:eastAsiaTheme="majorEastAsia" w:hAnsiTheme="majorHAnsi" w:cstheme="majorBidi"/>
      <w:i/>
      <w:iCs/>
      <w:spacing w:val="5"/>
      <w:sz w:val="20"/>
      <w:szCs w:val="20"/>
      <w:lang w:val="fr-FR" w:bidi="en-US"/>
    </w:rPr>
  </w:style>
  <w:style w:type="character" w:styleId="Hyperlink">
    <w:name w:val="Hyperlink"/>
    <w:basedOn w:val="DefaultParagraphFont"/>
    <w:uiPriority w:val="98"/>
    <w:semiHidden/>
    <w:rsid w:val="009D406A"/>
    <w:rPr>
      <w:color w:val="0072BC" w:themeColor="hyperlink"/>
      <w:u w:val="single"/>
    </w:rPr>
  </w:style>
  <w:style w:type="character" w:styleId="IntenseEmphasis">
    <w:name w:val="Intense Emphasis"/>
    <w:uiPriority w:val="98"/>
    <w:semiHidden/>
    <w:qFormat/>
    <w:rsid w:val="009D406A"/>
    <w:rPr>
      <w:b/>
      <w:bCs/>
    </w:rPr>
  </w:style>
  <w:style w:type="paragraph" w:styleId="IntenseQuote">
    <w:name w:val="Intense Quote"/>
    <w:basedOn w:val="Normal"/>
    <w:next w:val="Normal"/>
    <w:link w:val="IntenseQuoteChar"/>
    <w:uiPriority w:val="98"/>
    <w:semiHidden/>
    <w:qFormat/>
    <w:rsid w:val="009D406A"/>
    <w:pPr>
      <w:pBdr>
        <w:bottom w:val="single" w:sz="4" w:space="1" w:color="auto"/>
      </w:pBdr>
      <w:spacing w:before="200" w:after="280"/>
      <w:ind w:left="1008" w:right="1152"/>
    </w:pPr>
    <w:rPr>
      <w:b/>
      <w:bCs/>
      <w:i/>
      <w:iCs/>
      <w:lang w:bidi="en-US"/>
    </w:rPr>
  </w:style>
  <w:style w:type="character" w:customStyle="1" w:styleId="IntenseQuoteChar">
    <w:name w:val="Intense Quote Char"/>
    <w:basedOn w:val="DefaultParagraphFont"/>
    <w:link w:val="IntenseQuote"/>
    <w:uiPriority w:val="98"/>
    <w:semiHidden/>
    <w:rsid w:val="009D406A"/>
    <w:rPr>
      <w:b/>
      <w:bCs/>
      <w:i/>
      <w:iCs/>
      <w:sz w:val="24"/>
      <w:szCs w:val="24"/>
      <w:lang w:val="fr-FR" w:bidi="en-US"/>
    </w:rPr>
  </w:style>
  <w:style w:type="character" w:styleId="IntenseReference">
    <w:name w:val="Intense Reference"/>
    <w:uiPriority w:val="98"/>
    <w:semiHidden/>
    <w:qFormat/>
    <w:rsid w:val="009D406A"/>
    <w:rPr>
      <w:smallCaps/>
      <w:spacing w:val="5"/>
      <w:u w:val="single"/>
    </w:rPr>
  </w:style>
  <w:style w:type="paragraph" w:styleId="ListParagraph">
    <w:name w:val="List Paragraph"/>
    <w:basedOn w:val="Normal"/>
    <w:uiPriority w:val="98"/>
    <w:semiHidden/>
    <w:qFormat/>
    <w:rsid w:val="009D406A"/>
    <w:pPr>
      <w:ind w:left="720"/>
      <w:contextualSpacing/>
    </w:pPr>
  </w:style>
  <w:style w:type="table" w:customStyle="1" w:styleId="LtrTableAddress">
    <w:name w:val="Ltr_Table_Address"/>
    <w:aliases w:val="ECHR_Ltr_Table_Address"/>
    <w:basedOn w:val="TableNormal"/>
    <w:uiPriority w:val="99"/>
    <w:rsid w:val="009D406A"/>
    <w:rPr>
      <w:sz w:val="24"/>
      <w:szCs w:val="24"/>
    </w:rPr>
    <w:tblPr>
      <w:tblInd w:w="5103" w:type="dxa"/>
    </w:tblPr>
  </w:style>
  <w:style w:type="paragraph" w:styleId="Quote">
    <w:name w:val="Quote"/>
    <w:basedOn w:val="Normal"/>
    <w:next w:val="Normal"/>
    <w:link w:val="QuoteChar"/>
    <w:uiPriority w:val="98"/>
    <w:semiHidden/>
    <w:qFormat/>
    <w:rsid w:val="009D406A"/>
    <w:pPr>
      <w:spacing w:before="200"/>
      <w:ind w:left="360" w:right="360"/>
    </w:pPr>
    <w:rPr>
      <w:i/>
      <w:iCs/>
      <w:lang w:bidi="en-US"/>
    </w:rPr>
  </w:style>
  <w:style w:type="character" w:customStyle="1" w:styleId="QuoteChar">
    <w:name w:val="Quote Char"/>
    <w:basedOn w:val="DefaultParagraphFont"/>
    <w:link w:val="Quote"/>
    <w:uiPriority w:val="98"/>
    <w:semiHidden/>
    <w:rsid w:val="009D406A"/>
    <w:rPr>
      <w:i/>
      <w:iCs/>
      <w:sz w:val="24"/>
      <w:szCs w:val="24"/>
      <w:lang w:val="fr-FR" w:bidi="en-US"/>
    </w:rPr>
  </w:style>
  <w:style w:type="character" w:styleId="SubtleReference">
    <w:name w:val="Subtle Reference"/>
    <w:uiPriority w:val="98"/>
    <w:semiHidden/>
    <w:qFormat/>
    <w:rsid w:val="009D406A"/>
    <w:rPr>
      <w:smallCaps/>
    </w:rPr>
  </w:style>
  <w:style w:type="table" w:styleId="TableGrid">
    <w:name w:val="Table Grid"/>
    <w:basedOn w:val="TableNormal"/>
    <w:uiPriority w:val="59"/>
    <w:semiHidden/>
    <w:rsid w:val="009D406A"/>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8"/>
    <w:semiHidden/>
    <w:rsid w:val="009D406A"/>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8"/>
    <w:semiHidden/>
    <w:rsid w:val="009D406A"/>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8"/>
    <w:semiHidden/>
    <w:rsid w:val="009D406A"/>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8"/>
    <w:semiHidden/>
    <w:rsid w:val="009D406A"/>
    <w:pPr>
      <w:keepNext/>
      <w:tabs>
        <w:tab w:val="right" w:leader="dot" w:pos="7371"/>
      </w:tabs>
      <w:spacing w:after="60" w:line="240" w:lineRule="exact"/>
      <w:ind w:left="1361" w:right="567" w:hanging="340"/>
    </w:pPr>
    <w:rPr>
      <w:sz w:val="20"/>
    </w:rPr>
  </w:style>
  <w:style w:type="paragraph" w:styleId="TOC5">
    <w:name w:val="toc 5"/>
    <w:basedOn w:val="Normal"/>
    <w:next w:val="Normal"/>
    <w:autoRedefine/>
    <w:uiPriority w:val="98"/>
    <w:semiHidden/>
    <w:rsid w:val="009D406A"/>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8"/>
    <w:semiHidden/>
    <w:qFormat/>
    <w:rsid w:val="009D406A"/>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TableNormal"/>
    <w:uiPriority w:val="99"/>
    <w:rsid w:val="009D406A"/>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leNormal"/>
    <w:uiPriority w:val="99"/>
    <w:rsid w:val="009D406A"/>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TableNormal"/>
    <w:uiPriority w:val="99"/>
    <w:rsid w:val="009D406A"/>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9D406A"/>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9D406A"/>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basedOn w:val="TableNormal"/>
    <w:uiPriority w:val="99"/>
    <w:rsid w:val="009D406A"/>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8"/>
    <w:semiHidden/>
    <w:rsid w:val="009D406A"/>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ubtitle">
    <w:name w:val="Subtitle"/>
    <w:basedOn w:val="Normal"/>
    <w:next w:val="Normal"/>
    <w:link w:val="SubtitleChar"/>
    <w:uiPriority w:val="98"/>
    <w:semiHidden/>
    <w:qFormat/>
    <w:rsid w:val="009D406A"/>
    <w:pPr>
      <w:spacing w:after="600"/>
    </w:pPr>
    <w:rPr>
      <w:rFonts w:asciiTheme="majorHAnsi" w:eastAsiaTheme="majorEastAsia" w:hAnsiTheme="majorHAnsi" w:cstheme="majorBidi"/>
      <w:i/>
      <w:iCs/>
      <w:spacing w:val="13"/>
      <w:lang w:bidi="en-US"/>
    </w:rPr>
  </w:style>
  <w:style w:type="character" w:customStyle="1" w:styleId="SubtitleChar">
    <w:name w:val="Subtitle Char"/>
    <w:basedOn w:val="DefaultParagraphFont"/>
    <w:link w:val="Subtitle"/>
    <w:uiPriority w:val="98"/>
    <w:semiHidden/>
    <w:rsid w:val="009D406A"/>
    <w:rPr>
      <w:rFonts w:asciiTheme="majorHAnsi" w:eastAsiaTheme="majorEastAsia" w:hAnsiTheme="majorHAnsi" w:cstheme="majorBidi"/>
      <w:i/>
      <w:iCs/>
      <w:spacing w:val="13"/>
      <w:sz w:val="24"/>
      <w:szCs w:val="24"/>
      <w:lang w:val="fr-FR" w:bidi="en-US"/>
    </w:rPr>
  </w:style>
  <w:style w:type="numbering" w:styleId="111111">
    <w:name w:val="Outline List 2"/>
    <w:basedOn w:val="NoList"/>
    <w:uiPriority w:val="99"/>
    <w:semiHidden/>
    <w:unhideWhenUsed/>
    <w:rsid w:val="009D406A"/>
    <w:pPr>
      <w:numPr>
        <w:numId w:val="4"/>
      </w:numPr>
    </w:pPr>
  </w:style>
  <w:style w:type="paragraph" w:customStyle="1" w:styleId="JuPara">
    <w:name w:val="Ju_Para"/>
    <w:aliases w:val="_Para"/>
    <w:basedOn w:val="NormalJustified"/>
    <w:link w:val="JuParaChar"/>
    <w:uiPriority w:val="4"/>
    <w:qFormat/>
    <w:rsid w:val="009D406A"/>
    <w:pPr>
      <w:ind w:firstLine="284"/>
    </w:pPr>
  </w:style>
  <w:style w:type="numbering" w:styleId="1ai">
    <w:name w:val="Outline List 1"/>
    <w:basedOn w:val="NoList"/>
    <w:uiPriority w:val="99"/>
    <w:semiHidden/>
    <w:unhideWhenUsed/>
    <w:rsid w:val="009D406A"/>
    <w:pPr>
      <w:numPr>
        <w:numId w:val="5"/>
      </w:numPr>
    </w:pPr>
  </w:style>
  <w:style w:type="table" w:customStyle="1" w:styleId="ECHRTableSimpleBox">
    <w:name w:val="ECHR_Table_Simple_Box"/>
    <w:basedOn w:val="TableNormal"/>
    <w:uiPriority w:val="99"/>
    <w:rsid w:val="009D406A"/>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9D406A"/>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rticleSection">
    <w:name w:val="Outline List 3"/>
    <w:basedOn w:val="NoList"/>
    <w:uiPriority w:val="99"/>
    <w:semiHidden/>
    <w:unhideWhenUsed/>
    <w:rsid w:val="009D406A"/>
    <w:pPr>
      <w:numPr>
        <w:numId w:val="6"/>
      </w:numPr>
    </w:pPr>
  </w:style>
  <w:style w:type="table" w:customStyle="1" w:styleId="ECHRTableForInternalUse">
    <w:name w:val="ECHR_Table_For_Internal_Use"/>
    <w:basedOn w:val="TableNormal"/>
    <w:uiPriority w:val="99"/>
    <w:rsid w:val="009D406A"/>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9D406A"/>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ibliography">
    <w:name w:val="Bibliography"/>
    <w:basedOn w:val="Normal"/>
    <w:next w:val="Normal"/>
    <w:uiPriority w:val="98"/>
    <w:semiHidden/>
    <w:rsid w:val="009D406A"/>
  </w:style>
  <w:style w:type="paragraph" w:styleId="BlockText">
    <w:name w:val="Block Text"/>
    <w:basedOn w:val="Normal"/>
    <w:uiPriority w:val="98"/>
    <w:semiHidden/>
    <w:rsid w:val="009D406A"/>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TableNormal"/>
    <w:uiPriority w:val="99"/>
    <w:rsid w:val="009D406A"/>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odyText">
    <w:name w:val="Body Text"/>
    <w:basedOn w:val="Normal"/>
    <w:link w:val="BodyTextChar"/>
    <w:uiPriority w:val="98"/>
    <w:semiHidden/>
    <w:rsid w:val="009D406A"/>
    <w:pPr>
      <w:spacing w:after="120"/>
    </w:pPr>
  </w:style>
  <w:style w:type="character" w:customStyle="1" w:styleId="BodyTextChar">
    <w:name w:val="Body Text Char"/>
    <w:basedOn w:val="DefaultParagraphFont"/>
    <w:link w:val="BodyText"/>
    <w:uiPriority w:val="98"/>
    <w:semiHidden/>
    <w:rsid w:val="009D406A"/>
    <w:rPr>
      <w:sz w:val="24"/>
      <w:szCs w:val="24"/>
      <w:lang w:val="fr-FR"/>
    </w:rPr>
  </w:style>
  <w:style w:type="table" w:customStyle="1" w:styleId="ECHRTableOddBanded">
    <w:name w:val="ECHR_Table_Odd_Banded"/>
    <w:basedOn w:val="TableNormal"/>
    <w:uiPriority w:val="99"/>
    <w:rsid w:val="009D406A"/>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BodyText2">
    <w:name w:val="Body Text 2"/>
    <w:basedOn w:val="Normal"/>
    <w:link w:val="BodyText2Char"/>
    <w:uiPriority w:val="98"/>
    <w:semiHidden/>
    <w:rsid w:val="009D406A"/>
    <w:pPr>
      <w:spacing w:after="120" w:line="480" w:lineRule="auto"/>
    </w:pPr>
  </w:style>
  <w:style w:type="table" w:customStyle="1" w:styleId="ECHRHeaderTableReduced">
    <w:name w:val="ECHR_Header_Table_Reduced"/>
    <w:basedOn w:val="TableNormal"/>
    <w:uiPriority w:val="99"/>
    <w:rsid w:val="009D406A"/>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aliases w:val="_Case_Name"/>
    <w:basedOn w:val="Normal"/>
    <w:next w:val="JuPara"/>
    <w:uiPriority w:val="32"/>
    <w:rsid w:val="009D406A"/>
    <w:pPr>
      <w:ind w:firstLine="284"/>
    </w:pPr>
    <w:rPr>
      <w:b/>
    </w:rPr>
  </w:style>
  <w:style w:type="character" w:styleId="PageNumber">
    <w:name w:val="page number"/>
    <w:uiPriority w:val="98"/>
    <w:semiHidden/>
    <w:rsid w:val="009D406A"/>
    <w:rPr>
      <w:sz w:val="18"/>
    </w:rPr>
  </w:style>
  <w:style w:type="paragraph" w:styleId="ListBullet2">
    <w:name w:val="List Bullet 2"/>
    <w:basedOn w:val="Normal"/>
    <w:uiPriority w:val="98"/>
    <w:semiHidden/>
    <w:rsid w:val="009D406A"/>
    <w:pPr>
      <w:numPr>
        <w:numId w:val="11"/>
      </w:numPr>
      <w:contextualSpacing/>
    </w:pPr>
  </w:style>
  <w:style w:type="character" w:customStyle="1" w:styleId="BodyText2Char">
    <w:name w:val="Body Text 2 Char"/>
    <w:basedOn w:val="DefaultParagraphFont"/>
    <w:link w:val="BodyText2"/>
    <w:uiPriority w:val="98"/>
    <w:semiHidden/>
    <w:rsid w:val="009D406A"/>
    <w:rPr>
      <w:sz w:val="24"/>
      <w:szCs w:val="24"/>
      <w:lang w:val="fr-FR"/>
    </w:rPr>
  </w:style>
  <w:style w:type="paragraph" w:styleId="BodyText3">
    <w:name w:val="Body Text 3"/>
    <w:basedOn w:val="Normal"/>
    <w:link w:val="BodyText3Char"/>
    <w:uiPriority w:val="98"/>
    <w:semiHidden/>
    <w:rsid w:val="009D406A"/>
    <w:pPr>
      <w:spacing w:after="120"/>
    </w:pPr>
    <w:rPr>
      <w:sz w:val="16"/>
      <w:szCs w:val="16"/>
    </w:rPr>
  </w:style>
  <w:style w:type="character" w:customStyle="1" w:styleId="BodyText3Char">
    <w:name w:val="Body Text 3 Char"/>
    <w:basedOn w:val="DefaultParagraphFont"/>
    <w:link w:val="BodyText3"/>
    <w:uiPriority w:val="98"/>
    <w:semiHidden/>
    <w:rsid w:val="009D406A"/>
    <w:rPr>
      <w:sz w:val="16"/>
      <w:szCs w:val="16"/>
      <w:lang w:val="fr-FR"/>
    </w:rPr>
  </w:style>
  <w:style w:type="paragraph" w:styleId="BodyTextFirstIndent">
    <w:name w:val="Body Text First Indent"/>
    <w:basedOn w:val="BodyText"/>
    <w:link w:val="BodyTextFirstIndentChar"/>
    <w:uiPriority w:val="98"/>
    <w:semiHidden/>
    <w:rsid w:val="009D406A"/>
    <w:pPr>
      <w:spacing w:after="0"/>
      <w:ind w:firstLine="360"/>
    </w:pPr>
  </w:style>
  <w:style w:type="character" w:customStyle="1" w:styleId="BodyTextFirstIndentChar">
    <w:name w:val="Body Text First Indent Char"/>
    <w:basedOn w:val="BodyTextChar"/>
    <w:link w:val="BodyTextFirstIndent"/>
    <w:uiPriority w:val="98"/>
    <w:semiHidden/>
    <w:rsid w:val="009D406A"/>
    <w:rPr>
      <w:sz w:val="24"/>
      <w:szCs w:val="24"/>
      <w:lang w:val="fr-FR"/>
    </w:rPr>
  </w:style>
  <w:style w:type="paragraph" w:styleId="BodyTextIndent">
    <w:name w:val="Body Text Indent"/>
    <w:basedOn w:val="Normal"/>
    <w:link w:val="BodyTextIndentChar"/>
    <w:uiPriority w:val="98"/>
    <w:semiHidden/>
    <w:rsid w:val="009D406A"/>
    <w:pPr>
      <w:spacing w:after="120"/>
      <w:ind w:left="283"/>
    </w:pPr>
  </w:style>
  <w:style w:type="character" w:customStyle="1" w:styleId="BodyTextIndentChar">
    <w:name w:val="Body Text Indent Char"/>
    <w:basedOn w:val="DefaultParagraphFont"/>
    <w:link w:val="BodyTextIndent"/>
    <w:uiPriority w:val="98"/>
    <w:semiHidden/>
    <w:rsid w:val="009D406A"/>
    <w:rPr>
      <w:sz w:val="24"/>
      <w:szCs w:val="24"/>
      <w:lang w:val="fr-FR"/>
    </w:rPr>
  </w:style>
  <w:style w:type="paragraph" w:styleId="BodyTextFirstIndent2">
    <w:name w:val="Body Text First Indent 2"/>
    <w:basedOn w:val="BodyTextIndent"/>
    <w:link w:val="BodyTextFirstIndent2Char"/>
    <w:uiPriority w:val="98"/>
    <w:semiHidden/>
    <w:rsid w:val="009D406A"/>
    <w:pPr>
      <w:spacing w:after="0"/>
      <w:ind w:left="360" w:firstLine="360"/>
    </w:pPr>
  </w:style>
  <w:style w:type="character" w:customStyle="1" w:styleId="BodyTextFirstIndent2Char">
    <w:name w:val="Body Text First Indent 2 Char"/>
    <w:basedOn w:val="BodyTextIndentChar"/>
    <w:link w:val="BodyTextFirstIndent2"/>
    <w:uiPriority w:val="98"/>
    <w:semiHidden/>
    <w:rsid w:val="009D406A"/>
    <w:rPr>
      <w:sz w:val="24"/>
      <w:szCs w:val="24"/>
      <w:lang w:val="fr-FR"/>
    </w:rPr>
  </w:style>
  <w:style w:type="paragraph" w:styleId="BodyTextIndent2">
    <w:name w:val="Body Text Indent 2"/>
    <w:basedOn w:val="Normal"/>
    <w:link w:val="BodyTextIndent2Char"/>
    <w:uiPriority w:val="98"/>
    <w:semiHidden/>
    <w:rsid w:val="009D406A"/>
    <w:pPr>
      <w:spacing w:after="120" w:line="480" w:lineRule="auto"/>
      <w:ind w:left="283"/>
    </w:pPr>
  </w:style>
  <w:style w:type="character" w:customStyle="1" w:styleId="BodyTextIndent2Char">
    <w:name w:val="Body Text Indent 2 Char"/>
    <w:basedOn w:val="DefaultParagraphFont"/>
    <w:link w:val="BodyTextIndent2"/>
    <w:uiPriority w:val="98"/>
    <w:semiHidden/>
    <w:rsid w:val="009D406A"/>
    <w:rPr>
      <w:sz w:val="24"/>
      <w:szCs w:val="24"/>
      <w:lang w:val="fr-FR"/>
    </w:rPr>
  </w:style>
  <w:style w:type="paragraph" w:styleId="BodyTextIndent3">
    <w:name w:val="Body Text Indent 3"/>
    <w:basedOn w:val="Normal"/>
    <w:link w:val="BodyTextIndent3Char"/>
    <w:uiPriority w:val="98"/>
    <w:semiHidden/>
    <w:rsid w:val="009D406A"/>
    <w:pPr>
      <w:spacing w:after="120"/>
      <w:ind w:left="283"/>
    </w:pPr>
    <w:rPr>
      <w:sz w:val="16"/>
      <w:szCs w:val="16"/>
    </w:rPr>
  </w:style>
  <w:style w:type="character" w:customStyle="1" w:styleId="BodyTextIndent3Char">
    <w:name w:val="Body Text Indent 3 Char"/>
    <w:basedOn w:val="DefaultParagraphFont"/>
    <w:link w:val="BodyTextIndent3"/>
    <w:uiPriority w:val="98"/>
    <w:semiHidden/>
    <w:rsid w:val="009D406A"/>
    <w:rPr>
      <w:sz w:val="16"/>
      <w:szCs w:val="16"/>
      <w:lang w:val="fr-FR"/>
    </w:rPr>
  </w:style>
  <w:style w:type="paragraph" w:styleId="Caption">
    <w:name w:val="caption"/>
    <w:basedOn w:val="Normal"/>
    <w:next w:val="Normal"/>
    <w:uiPriority w:val="98"/>
    <w:semiHidden/>
    <w:qFormat/>
    <w:rsid w:val="009D406A"/>
    <w:pPr>
      <w:spacing w:after="200"/>
    </w:pPr>
    <w:rPr>
      <w:b/>
      <w:bCs/>
      <w:color w:val="0072BC" w:themeColor="accent1"/>
      <w:sz w:val="18"/>
      <w:szCs w:val="18"/>
    </w:rPr>
  </w:style>
  <w:style w:type="paragraph" w:styleId="Closing">
    <w:name w:val="Closing"/>
    <w:basedOn w:val="Normal"/>
    <w:link w:val="ClosingChar"/>
    <w:uiPriority w:val="98"/>
    <w:semiHidden/>
    <w:rsid w:val="009D406A"/>
    <w:pPr>
      <w:ind w:left="4252"/>
    </w:pPr>
  </w:style>
  <w:style w:type="character" w:customStyle="1" w:styleId="ClosingChar">
    <w:name w:val="Closing Char"/>
    <w:basedOn w:val="DefaultParagraphFont"/>
    <w:link w:val="Closing"/>
    <w:uiPriority w:val="98"/>
    <w:semiHidden/>
    <w:rsid w:val="009D406A"/>
    <w:rPr>
      <w:sz w:val="24"/>
      <w:szCs w:val="24"/>
      <w:lang w:val="fr-FR"/>
    </w:rPr>
  </w:style>
  <w:style w:type="table" w:styleId="ColorfulGrid">
    <w:name w:val="Colorful Grid"/>
    <w:basedOn w:val="TableNormal"/>
    <w:uiPriority w:val="73"/>
    <w:semiHidden/>
    <w:rsid w:val="009D406A"/>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9D406A"/>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73"/>
    <w:semiHidden/>
    <w:rsid w:val="009D406A"/>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73"/>
    <w:semiHidden/>
    <w:rsid w:val="009D406A"/>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73"/>
    <w:semiHidden/>
    <w:rsid w:val="009D406A"/>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73"/>
    <w:semiHidden/>
    <w:rsid w:val="009D406A"/>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rsid w:val="009D406A"/>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rsid w:val="009D406A"/>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9D406A"/>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72"/>
    <w:semiHidden/>
    <w:rsid w:val="009D406A"/>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72"/>
    <w:semiHidden/>
    <w:rsid w:val="009D406A"/>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72"/>
    <w:semiHidden/>
    <w:rsid w:val="009D406A"/>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72"/>
    <w:semiHidden/>
    <w:rsid w:val="009D406A"/>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rsid w:val="009D406A"/>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rsid w:val="009D406A"/>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9D406A"/>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9D406A"/>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9D406A"/>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71"/>
    <w:semiHidden/>
    <w:rsid w:val="009D406A"/>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9D406A"/>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9D406A"/>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8"/>
    <w:semiHidden/>
    <w:rsid w:val="009D406A"/>
    <w:rPr>
      <w:sz w:val="16"/>
      <w:szCs w:val="16"/>
    </w:rPr>
  </w:style>
  <w:style w:type="paragraph" w:styleId="CommentText">
    <w:name w:val="annotation text"/>
    <w:basedOn w:val="Normal"/>
    <w:link w:val="CommentTextChar"/>
    <w:uiPriority w:val="98"/>
    <w:semiHidden/>
    <w:rsid w:val="009D406A"/>
    <w:rPr>
      <w:sz w:val="20"/>
      <w:szCs w:val="20"/>
    </w:rPr>
  </w:style>
  <w:style w:type="character" w:customStyle="1" w:styleId="CommentTextChar">
    <w:name w:val="Comment Text Char"/>
    <w:basedOn w:val="DefaultParagraphFont"/>
    <w:link w:val="CommentText"/>
    <w:uiPriority w:val="98"/>
    <w:semiHidden/>
    <w:rsid w:val="009D406A"/>
    <w:rPr>
      <w:sz w:val="20"/>
      <w:szCs w:val="20"/>
      <w:lang w:val="fr-FR"/>
    </w:rPr>
  </w:style>
  <w:style w:type="paragraph" w:styleId="CommentSubject">
    <w:name w:val="annotation subject"/>
    <w:basedOn w:val="CommentText"/>
    <w:next w:val="CommentText"/>
    <w:link w:val="CommentSubjectChar"/>
    <w:uiPriority w:val="98"/>
    <w:semiHidden/>
    <w:rsid w:val="009D406A"/>
    <w:rPr>
      <w:b/>
      <w:bCs/>
    </w:rPr>
  </w:style>
  <w:style w:type="character" w:customStyle="1" w:styleId="CommentSubjectChar">
    <w:name w:val="Comment Subject Char"/>
    <w:basedOn w:val="CommentTextChar"/>
    <w:link w:val="CommentSubject"/>
    <w:uiPriority w:val="98"/>
    <w:semiHidden/>
    <w:rsid w:val="009D406A"/>
    <w:rPr>
      <w:b/>
      <w:bCs/>
      <w:sz w:val="20"/>
      <w:szCs w:val="20"/>
      <w:lang w:val="fr-FR"/>
    </w:rPr>
  </w:style>
  <w:style w:type="table" w:styleId="DarkList">
    <w:name w:val="Dark List"/>
    <w:basedOn w:val="TableNormal"/>
    <w:uiPriority w:val="70"/>
    <w:semiHidden/>
    <w:rsid w:val="009D406A"/>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9D406A"/>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70"/>
    <w:semiHidden/>
    <w:rsid w:val="009D406A"/>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70"/>
    <w:semiHidden/>
    <w:rsid w:val="009D406A"/>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70"/>
    <w:semiHidden/>
    <w:rsid w:val="009D406A"/>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70"/>
    <w:semiHidden/>
    <w:rsid w:val="009D406A"/>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rsid w:val="009D406A"/>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8"/>
    <w:semiHidden/>
    <w:rsid w:val="009D406A"/>
  </w:style>
  <w:style w:type="character" w:customStyle="1" w:styleId="DateChar">
    <w:name w:val="Date Char"/>
    <w:basedOn w:val="DefaultParagraphFont"/>
    <w:link w:val="Date"/>
    <w:uiPriority w:val="98"/>
    <w:semiHidden/>
    <w:rsid w:val="009D406A"/>
    <w:rPr>
      <w:sz w:val="24"/>
      <w:szCs w:val="24"/>
      <w:lang w:val="fr-FR"/>
    </w:rPr>
  </w:style>
  <w:style w:type="paragraph" w:styleId="DocumentMap">
    <w:name w:val="Document Map"/>
    <w:basedOn w:val="Normal"/>
    <w:link w:val="DocumentMapChar"/>
    <w:uiPriority w:val="98"/>
    <w:semiHidden/>
    <w:rsid w:val="009D406A"/>
    <w:rPr>
      <w:rFonts w:ascii="Tahoma" w:hAnsi="Tahoma" w:cs="Tahoma"/>
      <w:sz w:val="16"/>
      <w:szCs w:val="16"/>
    </w:rPr>
  </w:style>
  <w:style w:type="character" w:customStyle="1" w:styleId="DocumentMapChar">
    <w:name w:val="Document Map Char"/>
    <w:basedOn w:val="DefaultParagraphFont"/>
    <w:link w:val="DocumentMap"/>
    <w:uiPriority w:val="98"/>
    <w:semiHidden/>
    <w:rsid w:val="009D406A"/>
    <w:rPr>
      <w:rFonts w:ascii="Tahoma" w:hAnsi="Tahoma" w:cs="Tahoma"/>
      <w:sz w:val="16"/>
      <w:szCs w:val="16"/>
      <w:lang w:val="fr-FR"/>
    </w:rPr>
  </w:style>
  <w:style w:type="paragraph" w:styleId="E-mailSignature">
    <w:name w:val="E-mail Signature"/>
    <w:basedOn w:val="Normal"/>
    <w:link w:val="E-mailSignatureChar"/>
    <w:uiPriority w:val="98"/>
    <w:semiHidden/>
    <w:rsid w:val="009D406A"/>
  </w:style>
  <w:style w:type="character" w:customStyle="1" w:styleId="E-mailSignatureChar">
    <w:name w:val="E-mail Signature Char"/>
    <w:basedOn w:val="DefaultParagraphFont"/>
    <w:link w:val="E-mailSignature"/>
    <w:uiPriority w:val="98"/>
    <w:semiHidden/>
    <w:rsid w:val="009D406A"/>
    <w:rPr>
      <w:sz w:val="24"/>
      <w:szCs w:val="24"/>
      <w:lang w:val="fr-FR"/>
    </w:rPr>
  </w:style>
  <w:style w:type="character" w:styleId="EndnoteReference">
    <w:name w:val="endnote reference"/>
    <w:basedOn w:val="DefaultParagraphFont"/>
    <w:uiPriority w:val="98"/>
    <w:semiHidden/>
    <w:rsid w:val="009D406A"/>
    <w:rPr>
      <w:vertAlign w:val="superscript"/>
    </w:rPr>
  </w:style>
  <w:style w:type="paragraph" w:styleId="EndnoteText">
    <w:name w:val="endnote text"/>
    <w:basedOn w:val="Normal"/>
    <w:link w:val="EndnoteTextChar"/>
    <w:uiPriority w:val="98"/>
    <w:semiHidden/>
    <w:rsid w:val="009D406A"/>
    <w:rPr>
      <w:sz w:val="20"/>
      <w:szCs w:val="20"/>
    </w:rPr>
  </w:style>
  <w:style w:type="character" w:customStyle="1" w:styleId="EndnoteTextChar">
    <w:name w:val="Endnote Text Char"/>
    <w:basedOn w:val="DefaultParagraphFont"/>
    <w:link w:val="EndnoteText"/>
    <w:uiPriority w:val="98"/>
    <w:semiHidden/>
    <w:rsid w:val="009D406A"/>
    <w:rPr>
      <w:sz w:val="20"/>
      <w:szCs w:val="20"/>
      <w:lang w:val="fr-FR"/>
    </w:rPr>
  </w:style>
  <w:style w:type="paragraph" w:styleId="EnvelopeAddress">
    <w:name w:val="envelope address"/>
    <w:basedOn w:val="Normal"/>
    <w:uiPriority w:val="98"/>
    <w:semiHidden/>
    <w:rsid w:val="009D406A"/>
    <w:pPr>
      <w:framePr w:w="7938" w:h="1985" w:hRule="exact" w:hSpace="141" w:wrap="auto" w:hAnchor="page" w:xAlign="center" w:yAlign="bottom"/>
      <w:ind w:left="2835"/>
    </w:pPr>
    <w:rPr>
      <w:rFonts w:asciiTheme="majorHAnsi" w:eastAsiaTheme="majorEastAsia" w:hAnsiTheme="majorHAnsi" w:cstheme="majorBidi"/>
    </w:rPr>
  </w:style>
  <w:style w:type="paragraph" w:styleId="EnvelopeReturn">
    <w:name w:val="envelope return"/>
    <w:basedOn w:val="Normal"/>
    <w:uiPriority w:val="98"/>
    <w:semiHidden/>
    <w:rsid w:val="009D406A"/>
    <w:rPr>
      <w:rFonts w:asciiTheme="majorHAnsi" w:eastAsiaTheme="majorEastAsia" w:hAnsiTheme="majorHAnsi" w:cstheme="majorBidi"/>
      <w:sz w:val="20"/>
      <w:szCs w:val="20"/>
    </w:rPr>
  </w:style>
  <w:style w:type="character" w:styleId="FollowedHyperlink">
    <w:name w:val="FollowedHyperlink"/>
    <w:basedOn w:val="DefaultParagraphFont"/>
    <w:uiPriority w:val="98"/>
    <w:semiHidden/>
    <w:rsid w:val="009D406A"/>
    <w:rPr>
      <w:color w:val="7030A0" w:themeColor="followedHyperlink"/>
      <w:u w:val="single"/>
    </w:rPr>
  </w:style>
  <w:style w:type="character" w:styleId="HTMLAcronym">
    <w:name w:val="HTML Acronym"/>
    <w:basedOn w:val="DefaultParagraphFont"/>
    <w:uiPriority w:val="98"/>
    <w:semiHidden/>
    <w:rsid w:val="009D406A"/>
  </w:style>
  <w:style w:type="paragraph" w:styleId="HTMLAddress">
    <w:name w:val="HTML Address"/>
    <w:basedOn w:val="Normal"/>
    <w:link w:val="HTMLAddressChar"/>
    <w:uiPriority w:val="98"/>
    <w:semiHidden/>
    <w:rsid w:val="009D406A"/>
    <w:rPr>
      <w:i/>
      <w:iCs/>
    </w:rPr>
  </w:style>
  <w:style w:type="character" w:customStyle="1" w:styleId="HTMLAddressChar">
    <w:name w:val="HTML Address Char"/>
    <w:basedOn w:val="DefaultParagraphFont"/>
    <w:link w:val="HTMLAddress"/>
    <w:uiPriority w:val="98"/>
    <w:semiHidden/>
    <w:rsid w:val="009D406A"/>
    <w:rPr>
      <w:i/>
      <w:iCs/>
      <w:sz w:val="24"/>
      <w:szCs w:val="24"/>
      <w:lang w:val="fr-FR"/>
    </w:rPr>
  </w:style>
  <w:style w:type="character" w:styleId="HTMLCite">
    <w:name w:val="HTML Cite"/>
    <w:basedOn w:val="DefaultParagraphFont"/>
    <w:uiPriority w:val="98"/>
    <w:semiHidden/>
    <w:rsid w:val="009D406A"/>
    <w:rPr>
      <w:i/>
      <w:iCs/>
    </w:rPr>
  </w:style>
  <w:style w:type="character" w:styleId="HTMLCode">
    <w:name w:val="HTML Code"/>
    <w:basedOn w:val="DefaultParagraphFont"/>
    <w:uiPriority w:val="98"/>
    <w:semiHidden/>
    <w:rsid w:val="009D406A"/>
    <w:rPr>
      <w:rFonts w:ascii="Consolas" w:hAnsi="Consolas" w:cs="Consolas"/>
      <w:sz w:val="20"/>
      <w:szCs w:val="20"/>
    </w:rPr>
  </w:style>
  <w:style w:type="character" w:styleId="HTMLDefinition">
    <w:name w:val="HTML Definition"/>
    <w:basedOn w:val="DefaultParagraphFont"/>
    <w:uiPriority w:val="98"/>
    <w:semiHidden/>
    <w:rsid w:val="009D406A"/>
    <w:rPr>
      <w:i/>
      <w:iCs/>
    </w:rPr>
  </w:style>
  <w:style w:type="character" w:styleId="HTMLKeyboard">
    <w:name w:val="HTML Keyboard"/>
    <w:basedOn w:val="DefaultParagraphFont"/>
    <w:uiPriority w:val="98"/>
    <w:semiHidden/>
    <w:rsid w:val="009D406A"/>
    <w:rPr>
      <w:rFonts w:ascii="Consolas" w:hAnsi="Consolas" w:cs="Consolas"/>
      <w:sz w:val="20"/>
      <w:szCs w:val="20"/>
    </w:rPr>
  </w:style>
  <w:style w:type="paragraph" w:styleId="HTMLPreformatted">
    <w:name w:val="HTML Preformatted"/>
    <w:basedOn w:val="Normal"/>
    <w:link w:val="HTMLPreformattedChar"/>
    <w:uiPriority w:val="98"/>
    <w:semiHidden/>
    <w:rsid w:val="009D406A"/>
    <w:rPr>
      <w:rFonts w:ascii="Consolas" w:hAnsi="Consolas" w:cs="Consolas"/>
      <w:sz w:val="20"/>
      <w:szCs w:val="20"/>
    </w:rPr>
  </w:style>
  <w:style w:type="character" w:customStyle="1" w:styleId="HTMLPreformattedChar">
    <w:name w:val="HTML Preformatted Char"/>
    <w:basedOn w:val="DefaultParagraphFont"/>
    <w:link w:val="HTMLPreformatted"/>
    <w:uiPriority w:val="98"/>
    <w:semiHidden/>
    <w:rsid w:val="009D406A"/>
    <w:rPr>
      <w:rFonts w:ascii="Consolas" w:hAnsi="Consolas" w:cs="Consolas"/>
      <w:sz w:val="20"/>
      <w:szCs w:val="20"/>
      <w:lang w:val="fr-FR"/>
    </w:rPr>
  </w:style>
  <w:style w:type="character" w:styleId="HTMLSample">
    <w:name w:val="HTML Sample"/>
    <w:basedOn w:val="DefaultParagraphFont"/>
    <w:uiPriority w:val="98"/>
    <w:semiHidden/>
    <w:rsid w:val="009D406A"/>
    <w:rPr>
      <w:rFonts w:ascii="Consolas" w:hAnsi="Consolas" w:cs="Consolas"/>
      <w:sz w:val="24"/>
      <w:szCs w:val="24"/>
    </w:rPr>
  </w:style>
  <w:style w:type="character" w:styleId="HTMLTypewriter">
    <w:name w:val="HTML Typewriter"/>
    <w:basedOn w:val="DefaultParagraphFont"/>
    <w:uiPriority w:val="98"/>
    <w:semiHidden/>
    <w:rsid w:val="009D406A"/>
    <w:rPr>
      <w:rFonts w:ascii="Consolas" w:hAnsi="Consolas" w:cs="Consolas"/>
      <w:sz w:val="20"/>
      <w:szCs w:val="20"/>
    </w:rPr>
  </w:style>
  <w:style w:type="character" w:styleId="HTMLVariable">
    <w:name w:val="HTML Variable"/>
    <w:basedOn w:val="DefaultParagraphFont"/>
    <w:uiPriority w:val="98"/>
    <w:semiHidden/>
    <w:rsid w:val="009D406A"/>
    <w:rPr>
      <w:i/>
      <w:iCs/>
    </w:rPr>
  </w:style>
  <w:style w:type="paragraph" w:styleId="Index1">
    <w:name w:val="index 1"/>
    <w:basedOn w:val="Normal"/>
    <w:next w:val="Normal"/>
    <w:autoRedefine/>
    <w:uiPriority w:val="98"/>
    <w:semiHidden/>
    <w:rsid w:val="009D406A"/>
    <w:pPr>
      <w:ind w:left="240" w:hanging="240"/>
    </w:pPr>
  </w:style>
  <w:style w:type="paragraph" w:styleId="Index2">
    <w:name w:val="index 2"/>
    <w:basedOn w:val="Normal"/>
    <w:next w:val="Normal"/>
    <w:autoRedefine/>
    <w:uiPriority w:val="98"/>
    <w:semiHidden/>
    <w:rsid w:val="009D406A"/>
    <w:pPr>
      <w:ind w:left="480" w:hanging="240"/>
    </w:pPr>
  </w:style>
  <w:style w:type="paragraph" w:styleId="Index3">
    <w:name w:val="index 3"/>
    <w:basedOn w:val="Normal"/>
    <w:next w:val="Normal"/>
    <w:autoRedefine/>
    <w:uiPriority w:val="98"/>
    <w:semiHidden/>
    <w:rsid w:val="009D406A"/>
    <w:pPr>
      <w:ind w:left="720" w:hanging="240"/>
    </w:pPr>
  </w:style>
  <w:style w:type="paragraph" w:styleId="Index4">
    <w:name w:val="index 4"/>
    <w:basedOn w:val="Normal"/>
    <w:next w:val="Normal"/>
    <w:autoRedefine/>
    <w:uiPriority w:val="98"/>
    <w:semiHidden/>
    <w:rsid w:val="009D406A"/>
    <w:pPr>
      <w:ind w:left="960" w:hanging="240"/>
    </w:pPr>
  </w:style>
  <w:style w:type="paragraph" w:styleId="Index5">
    <w:name w:val="index 5"/>
    <w:basedOn w:val="Normal"/>
    <w:next w:val="Normal"/>
    <w:autoRedefine/>
    <w:uiPriority w:val="98"/>
    <w:semiHidden/>
    <w:rsid w:val="009D406A"/>
    <w:pPr>
      <w:ind w:left="1200" w:hanging="240"/>
    </w:pPr>
  </w:style>
  <w:style w:type="paragraph" w:styleId="Index6">
    <w:name w:val="index 6"/>
    <w:basedOn w:val="Normal"/>
    <w:next w:val="Normal"/>
    <w:autoRedefine/>
    <w:uiPriority w:val="98"/>
    <w:semiHidden/>
    <w:rsid w:val="009D406A"/>
    <w:pPr>
      <w:ind w:left="1440" w:hanging="240"/>
    </w:pPr>
  </w:style>
  <w:style w:type="paragraph" w:styleId="Index7">
    <w:name w:val="index 7"/>
    <w:basedOn w:val="Normal"/>
    <w:next w:val="Normal"/>
    <w:autoRedefine/>
    <w:uiPriority w:val="98"/>
    <w:semiHidden/>
    <w:rsid w:val="009D406A"/>
    <w:pPr>
      <w:ind w:left="1680" w:hanging="240"/>
    </w:pPr>
  </w:style>
  <w:style w:type="paragraph" w:styleId="Index8">
    <w:name w:val="index 8"/>
    <w:basedOn w:val="Normal"/>
    <w:next w:val="Normal"/>
    <w:autoRedefine/>
    <w:uiPriority w:val="98"/>
    <w:semiHidden/>
    <w:rsid w:val="009D406A"/>
    <w:pPr>
      <w:ind w:left="1920" w:hanging="240"/>
    </w:pPr>
  </w:style>
  <w:style w:type="paragraph" w:styleId="Index9">
    <w:name w:val="index 9"/>
    <w:basedOn w:val="Normal"/>
    <w:next w:val="Normal"/>
    <w:autoRedefine/>
    <w:uiPriority w:val="98"/>
    <w:semiHidden/>
    <w:rsid w:val="009D406A"/>
    <w:pPr>
      <w:ind w:left="2160" w:hanging="240"/>
    </w:pPr>
  </w:style>
  <w:style w:type="paragraph" w:styleId="IndexHeading">
    <w:name w:val="index heading"/>
    <w:basedOn w:val="Normal"/>
    <w:next w:val="Index1"/>
    <w:uiPriority w:val="98"/>
    <w:semiHidden/>
    <w:rsid w:val="009D406A"/>
    <w:rPr>
      <w:rFonts w:asciiTheme="majorHAnsi" w:eastAsiaTheme="majorEastAsia" w:hAnsiTheme="majorHAnsi" w:cstheme="majorBidi"/>
      <w:b/>
      <w:bCs/>
    </w:rPr>
  </w:style>
  <w:style w:type="table" w:styleId="LightGrid">
    <w:name w:val="Light Grid"/>
    <w:basedOn w:val="TableNormal"/>
    <w:uiPriority w:val="62"/>
    <w:semiHidden/>
    <w:rsid w:val="009D406A"/>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9D406A"/>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62"/>
    <w:semiHidden/>
    <w:rsid w:val="009D406A"/>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62"/>
    <w:semiHidden/>
    <w:rsid w:val="009D406A"/>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62"/>
    <w:semiHidden/>
    <w:rsid w:val="009D406A"/>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62"/>
    <w:semiHidden/>
    <w:rsid w:val="009D406A"/>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rsid w:val="009D406A"/>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rsid w:val="009D406A"/>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9D406A"/>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61"/>
    <w:semiHidden/>
    <w:rsid w:val="009D406A"/>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61"/>
    <w:semiHidden/>
    <w:rsid w:val="009D406A"/>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61"/>
    <w:semiHidden/>
    <w:rsid w:val="009D406A"/>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61"/>
    <w:semiHidden/>
    <w:rsid w:val="009D406A"/>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rsid w:val="009D406A"/>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rsid w:val="009D406A"/>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9D406A"/>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60"/>
    <w:semiHidden/>
    <w:rsid w:val="009D406A"/>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60"/>
    <w:semiHidden/>
    <w:rsid w:val="009D406A"/>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60"/>
    <w:semiHidden/>
    <w:rsid w:val="009D406A"/>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60"/>
    <w:semiHidden/>
    <w:rsid w:val="009D406A"/>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rsid w:val="009D406A"/>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8"/>
    <w:semiHidden/>
    <w:rsid w:val="009D406A"/>
  </w:style>
  <w:style w:type="paragraph" w:styleId="List">
    <w:name w:val="List"/>
    <w:basedOn w:val="Normal"/>
    <w:uiPriority w:val="98"/>
    <w:semiHidden/>
    <w:rsid w:val="009D406A"/>
    <w:pPr>
      <w:ind w:left="283" w:hanging="283"/>
      <w:contextualSpacing/>
    </w:pPr>
  </w:style>
  <w:style w:type="paragraph" w:styleId="List2">
    <w:name w:val="List 2"/>
    <w:basedOn w:val="Normal"/>
    <w:uiPriority w:val="98"/>
    <w:semiHidden/>
    <w:rsid w:val="009D406A"/>
    <w:pPr>
      <w:ind w:left="566" w:hanging="283"/>
      <w:contextualSpacing/>
    </w:pPr>
  </w:style>
  <w:style w:type="paragraph" w:styleId="List3">
    <w:name w:val="List 3"/>
    <w:basedOn w:val="Normal"/>
    <w:uiPriority w:val="98"/>
    <w:semiHidden/>
    <w:rsid w:val="009D406A"/>
    <w:pPr>
      <w:ind w:left="849" w:hanging="283"/>
      <w:contextualSpacing/>
    </w:pPr>
  </w:style>
  <w:style w:type="paragraph" w:styleId="List4">
    <w:name w:val="List 4"/>
    <w:basedOn w:val="Normal"/>
    <w:uiPriority w:val="98"/>
    <w:semiHidden/>
    <w:rsid w:val="009D406A"/>
    <w:pPr>
      <w:ind w:left="1132" w:hanging="283"/>
      <w:contextualSpacing/>
    </w:pPr>
  </w:style>
  <w:style w:type="paragraph" w:styleId="List5">
    <w:name w:val="List 5"/>
    <w:basedOn w:val="Normal"/>
    <w:uiPriority w:val="98"/>
    <w:semiHidden/>
    <w:rsid w:val="009D406A"/>
    <w:pPr>
      <w:ind w:left="1415" w:hanging="283"/>
      <w:contextualSpacing/>
    </w:pPr>
  </w:style>
  <w:style w:type="paragraph" w:styleId="ListBullet">
    <w:name w:val="List Bullet"/>
    <w:basedOn w:val="Normal"/>
    <w:uiPriority w:val="98"/>
    <w:semiHidden/>
    <w:rsid w:val="009D406A"/>
    <w:pPr>
      <w:numPr>
        <w:numId w:val="10"/>
      </w:numPr>
    </w:pPr>
  </w:style>
  <w:style w:type="paragraph" w:styleId="ListBullet3">
    <w:name w:val="List Bullet 3"/>
    <w:basedOn w:val="Normal"/>
    <w:uiPriority w:val="98"/>
    <w:semiHidden/>
    <w:rsid w:val="009D406A"/>
    <w:pPr>
      <w:numPr>
        <w:numId w:val="12"/>
      </w:numPr>
      <w:contextualSpacing/>
    </w:pPr>
  </w:style>
  <w:style w:type="paragraph" w:styleId="ListBullet4">
    <w:name w:val="List Bullet 4"/>
    <w:basedOn w:val="Normal"/>
    <w:uiPriority w:val="98"/>
    <w:semiHidden/>
    <w:rsid w:val="009D406A"/>
    <w:pPr>
      <w:numPr>
        <w:numId w:val="13"/>
      </w:numPr>
      <w:contextualSpacing/>
    </w:pPr>
  </w:style>
  <w:style w:type="paragraph" w:styleId="ListBullet5">
    <w:name w:val="List Bullet 5"/>
    <w:basedOn w:val="Normal"/>
    <w:uiPriority w:val="98"/>
    <w:semiHidden/>
    <w:rsid w:val="009D406A"/>
    <w:pPr>
      <w:numPr>
        <w:numId w:val="14"/>
      </w:numPr>
      <w:contextualSpacing/>
    </w:pPr>
  </w:style>
  <w:style w:type="paragraph" w:styleId="ListContinue">
    <w:name w:val="List Continue"/>
    <w:basedOn w:val="Normal"/>
    <w:uiPriority w:val="98"/>
    <w:semiHidden/>
    <w:rsid w:val="009D406A"/>
    <w:pPr>
      <w:spacing w:after="120"/>
      <w:ind w:left="283"/>
      <w:contextualSpacing/>
    </w:pPr>
  </w:style>
  <w:style w:type="paragraph" w:styleId="ListContinue2">
    <w:name w:val="List Continue 2"/>
    <w:basedOn w:val="Normal"/>
    <w:uiPriority w:val="98"/>
    <w:semiHidden/>
    <w:rsid w:val="009D406A"/>
    <w:pPr>
      <w:spacing w:after="120"/>
      <w:ind w:left="566"/>
      <w:contextualSpacing/>
    </w:pPr>
  </w:style>
  <w:style w:type="paragraph" w:styleId="ListContinue3">
    <w:name w:val="List Continue 3"/>
    <w:basedOn w:val="Normal"/>
    <w:uiPriority w:val="98"/>
    <w:semiHidden/>
    <w:rsid w:val="009D406A"/>
    <w:pPr>
      <w:spacing w:after="120"/>
      <w:ind w:left="849"/>
      <w:contextualSpacing/>
    </w:pPr>
  </w:style>
  <w:style w:type="paragraph" w:styleId="ListContinue4">
    <w:name w:val="List Continue 4"/>
    <w:basedOn w:val="Normal"/>
    <w:uiPriority w:val="98"/>
    <w:semiHidden/>
    <w:rsid w:val="009D406A"/>
    <w:pPr>
      <w:spacing w:after="120"/>
      <w:ind w:left="1132"/>
      <w:contextualSpacing/>
    </w:pPr>
  </w:style>
  <w:style w:type="paragraph" w:styleId="ListContinue5">
    <w:name w:val="List Continue 5"/>
    <w:basedOn w:val="Normal"/>
    <w:uiPriority w:val="98"/>
    <w:semiHidden/>
    <w:rsid w:val="009D406A"/>
    <w:pPr>
      <w:spacing w:after="120"/>
      <w:ind w:left="1415"/>
      <w:contextualSpacing/>
    </w:pPr>
  </w:style>
  <w:style w:type="paragraph" w:styleId="ListNumber">
    <w:name w:val="List Number"/>
    <w:basedOn w:val="Normal"/>
    <w:uiPriority w:val="98"/>
    <w:semiHidden/>
    <w:rsid w:val="009D406A"/>
    <w:pPr>
      <w:numPr>
        <w:numId w:val="15"/>
      </w:numPr>
      <w:contextualSpacing/>
    </w:pPr>
  </w:style>
  <w:style w:type="paragraph" w:styleId="ListNumber2">
    <w:name w:val="List Number 2"/>
    <w:basedOn w:val="Normal"/>
    <w:uiPriority w:val="98"/>
    <w:semiHidden/>
    <w:rsid w:val="009D406A"/>
    <w:pPr>
      <w:numPr>
        <w:numId w:val="16"/>
      </w:numPr>
      <w:contextualSpacing/>
    </w:pPr>
  </w:style>
  <w:style w:type="paragraph" w:styleId="ListNumber3">
    <w:name w:val="List Number 3"/>
    <w:basedOn w:val="Normal"/>
    <w:uiPriority w:val="98"/>
    <w:semiHidden/>
    <w:rsid w:val="009D406A"/>
    <w:pPr>
      <w:numPr>
        <w:numId w:val="17"/>
      </w:numPr>
      <w:contextualSpacing/>
    </w:pPr>
  </w:style>
  <w:style w:type="paragraph" w:styleId="ListNumber4">
    <w:name w:val="List Number 4"/>
    <w:basedOn w:val="Normal"/>
    <w:uiPriority w:val="98"/>
    <w:semiHidden/>
    <w:rsid w:val="009D406A"/>
    <w:pPr>
      <w:numPr>
        <w:numId w:val="18"/>
      </w:numPr>
      <w:contextualSpacing/>
    </w:pPr>
  </w:style>
  <w:style w:type="paragraph" w:styleId="ListNumber5">
    <w:name w:val="List Number 5"/>
    <w:basedOn w:val="Normal"/>
    <w:uiPriority w:val="98"/>
    <w:semiHidden/>
    <w:rsid w:val="009D406A"/>
    <w:pPr>
      <w:numPr>
        <w:numId w:val="19"/>
      </w:numPr>
      <w:contextualSpacing/>
    </w:pPr>
  </w:style>
  <w:style w:type="paragraph" w:styleId="MacroText">
    <w:name w:val="macro"/>
    <w:link w:val="MacroTextChar"/>
    <w:uiPriority w:val="98"/>
    <w:semiHidden/>
    <w:rsid w:val="009D406A"/>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8"/>
    <w:semiHidden/>
    <w:rsid w:val="009D406A"/>
    <w:rPr>
      <w:rFonts w:ascii="Consolas" w:eastAsiaTheme="minorEastAsia" w:hAnsi="Consolas" w:cs="Consolas"/>
      <w:sz w:val="20"/>
      <w:szCs w:val="20"/>
    </w:rPr>
  </w:style>
  <w:style w:type="table" w:styleId="MediumGrid1">
    <w:name w:val="Medium Grid 1"/>
    <w:basedOn w:val="TableNormal"/>
    <w:uiPriority w:val="67"/>
    <w:semiHidden/>
    <w:rsid w:val="009D406A"/>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9D406A"/>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67"/>
    <w:semiHidden/>
    <w:rsid w:val="009D406A"/>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67"/>
    <w:semiHidden/>
    <w:rsid w:val="009D406A"/>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67"/>
    <w:semiHidden/>
    <w:rsid w:val="009D406A"/>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67"/>
    <w:semiHidden/>
    <w:rsid w:val="009D406A"/>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rsid w:val="009D406A"/>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rsid w:val="009D406A"/>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68"/>
    <w:semiHidden/>
    <w:rsid w:val="009D406A"/>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68"/>
    <w:semiHidden/>
    <w:rsid w:val="009D406A"/>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68"/>
    <w:semiHidden/>
    <w:rsid w:val="009D406A"/>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68"/>
    <w:semiHidden/>
    <w:rsid w:val="009D406A"/>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68"/>
    <w:semiHidden/>
    <w:rsid w:val="009D406A"/>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68"/>
    <w:semiHidden/>
    <w:rsid w:val="009D406A"/>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69"/>
    <w:semiHidden/>
    <w:rsid w:val="009D406A"/>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69"/>
    <w:semiHidden/>
    <w:rsid w:val="009D406A"/>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69"/>
    <w:semiHidden/>
    <w:rsid w:val="009D406A"/>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69"/>
    <w:semiHidden/>
    <w:rsid w:val="009D406A"/>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69"/>
    <w:semiHidden/>
    <w:rsid w:val="009D406A"/>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69"/>
    <w:semiHidden/>
    <w:rsid w:val="009D406A"/>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69"/>
    <w:semiHidden/>
    <w:rsid w:val="009D406A"/>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65"/>
    <w:semiHidden/>
    <w:rsid w:val="009D406A"/>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9D406A"/>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65"/>
    <w:semiHidden/>
    <w:rsid w:val="009D406A"/>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65"/>
    <w:semiHidden/>
    <w:rsid w:val="009D406A"/>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65"/>
    <w:semiHidden/>
    <w:rsid w:val="009D406A"/>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65"/>
    <w:semiHidden/>
    <w:rsid w:val="009D406A"/>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rsid w:val="009D406A"/>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rsid w:val="009D406A"/>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9D406A"/>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9D406A"/>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9D406A"/>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9D406A"/>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9D406A"/>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9D406A"/>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63"/>
    <w:semiHidden/>
    <w:rsid w:val="009D406A"/>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9D406A"/>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9D406A"/>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9D406A"/>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9D406A"/>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9D406A"/>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9D406A"/>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9D406A"/>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9D406A"/>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9D406A"/>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9D406A"/>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9D406A"/>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9D406A"/>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9D406A"/>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8"/>
    <w:semiHidden/>
    <w:rsid w:val="009D406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8"/>
    <w:semiHidden/>
    <w:rsid w:val="009D406A"/>
    <w:rPr>
      <w:rFonts w:asciiTheme="majorHAnsi" w:eastAsiaTheme="majorEastAsia" w:hAnsiTheme="majorHAnsi" w:cstheme="majorBidi"/>
      <w:sz w:val="24"/>
      <w:szCs w:val="24"/>
      <w:shd w:val="pct20" w:color="auto" w:fill="auto"/>
      <w:lang w:val="fr-FR"/>
    </w:rPr>
  </w:style>
  <w:style w:type="paragraph" w:styleId="NormalWeb">
    <w:name w:val="Normal (Web)"/>
    <w:basedOn w:val="Normal"/>
    <w:uiPriority w:val="98"/>
    <w:semiHidden/>
    <w:rsid w:val="009D406A"/>
    <w:rPr>
      <w:rFonts w:ascii="Times New Roman" w:hAnsi="Times New Roman" w:cs="Times New Roman"/>
    </w:rPr>
  </w:style>
  <w:style w:type="paragraph" w:styleId="NormalIndent">
    <w:name w:val="Normal Indent"/>
    <w:basedOn w:val="Normal"/>
    <w:uiPriority w:val="98"/>
    <w:semiHidden/>
    <w:rsid w:val="009D406A"/>
    <w:pPr>
      <w:ind w:left="720"/>
    </w:pPr>
  </w:style>
  <w:style w:type="paragraph" w:styleId="NoteHeading">
    <w:name w:val="Note Heading"/>
    <w:basedOn w:val="Normal"/>
    <w:next w:val="Normal"/>
    <w:link w:val="NoteHeadingChar"/>
    <w:uiPriority w:val="98"/>
    <w:semiHidden/>
    <w:rsid w:val="009D406A"/>
  </w:style>
  <w:style w:type="character" w:customStyle="1" w:styleId="NoteHeadingChar">
    <w:name w:val="Note Heading Char"/>
    <w:basedOn w:val="DefaultParagraphFont"/>
    <w:link w:val="NoteHeading"/>
    <w:uiPriority w:val="98"/>
    <w:semiHidden/>
    <w:rsid w:val="009D406A"/>
    <w:rPr>
      <w:sz w:val="24"/>
      <w:szCs w:val="24"/>
      <w:lang w:val="fr-FR"/>
    </w:rPr>
  </w:style>
  <w:style w:type="character" w:styleId="PlaceholderText">
    <w:name w:val="Placeholder Text"/>
    <w:basedOn w:val="DefaultParagraphFont"/>
    <w:uiPriority w:val="98"/>
    <w:semiHidden/>
    <w:rsid w:val="009D406A"/>
    <w:rPr>
      <w:color w:val="auto"/>
      <w:bdr w:val="none" w:sz="0" w:space="0" w:color="auto"/>
      <w:shd w:val="clear" w:color="auto" w:fill="DFDFDF" w:themeFill="background2" w:themeFillShade="E6"/>
    </w:rPr>
  </w:style>
  <w:style w:type="paragraph" w:styleId="PlainText">
    <w:name w:val="Plain Text"/>
    <w:basedOn w:val="Normal"/>
    <w:link w:val="PlainTextChar"/>
    <w:uiPriority w:val="98"/>
    <w:semiHidden/>
    <w:rsid w:val="009D406A"/>
    <w:rPr>
      <w:rFonts w:ascii="Consolas" w:hAnsi="Consolas" w:cs="Consolas"/>
      <w:sz w:val="21"/>
      <w:szCs w:val="21"/>
    </w:rPr>
  </w:style>
  <w:style w:type="character" w:customStyle="1" w:styleId="PlainTextChar">
    <w:name w:val="Plain Text Char"/>
    <w:basedOn w:val="DefaultParagraphFont"/>
    <w:link w:val="PlainText"/>
    <w:uiPriority w:val="98"/>
    <w:semiHidden/>
    <w:rsid w:val="009D406A"/>
    <w:rPr>
      <w:rFonts w:ascii="Consolas" w:hAnsi="Consolas" w:cs="Consolas"/>
      <w:sz w:val="21"/>
      <w:szCs w:val="21"/>
      <w:lang w:val="fr-FR"/>
    </w:rPr>
  </w:style>
  <w:style w:type="paragraph" w:styleId="Salutation">
    <w:name w:val="Salutation"/>
    <w:basedOn w:val="Normal"/>
    <w:next w:val="Normal"/>
    <w:link w:val="SalutationChar"/>
    <w:uiPriority w:val="98"/>
    <w:semiHidden/>
    <w:rsid w:val="009D406A"/>
  </w:style>
  <w:style w:type="character" w:customStyle="1" w:styleId="SalutationChar">
    <w:name w:val="Salutation Char"/>
    <w:basedOn w:val="DefaultParagraphFont"/>
    <w:link w:val="Salutation"/>
    <w:uiPriority w:val="98"/>
    <w:semiHidden/>
    <w:rsid w:val="009D406A"/>
    <w:rPr>
      <w:sz w:val="24"/>
      <w:szCs w:val="24"/>
      <w:lang w:val="fr-FR"/>
    </w:rPr>
  </w:style>
  <w:style w:type="paragraph" w:styleId="Signature">
    <w:name w:val="Signature"/>
    <w:basedOn w:val="Normal"/>
    <w:link w:val="SignatureChar"/>
    <w:uiPriority w:val="98"/>
    <w:semiHidden/>
    <w:rsid w:val="009D406A"/>
    <w:pPr>
      <w:ind w:left="4252"/>
    </w:pPr>
  </w:style>
  <w:style w:type="character" w:customStyle="1" w:styleId="SignatureChar">
    <w:name w:val="Signature Char"/>
    <w:basedOn w:val="DefaultParagraphFont"/>
    <w:link w:val="Signature"/>
    <w:uiPriority w:val="98"/>
    <w:semiHidden/>
    <w:rsid w:val="009D406A"/>
    <w:rPr>
      <w:sz w:val="24"/>
      <w:szCs w:val="24"/>
      <w:lang w:val="fr-FR"/>
    </w:rPr>
  </w:style>
  <w:style w:type="table" w:styleId="Table3Deffects1">
    <w:name w:val="Table 3D effects 1"/>
    <w:basedOn w:val="TableNormal"/>
    <w:uiPriority w:val="99"/>
    <w:semiHidden/>
    <w:unhideWhenUsed/>
    <w:rsid w:val="009D406A"/>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D406A"/>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D406A"/>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D406A"/>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D406A"/>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D406A"/>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D406A"/>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D406A"/>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D406A"/>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D406A"/>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D406A"/>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D406A"/>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D406A"/>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D406A"/>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D406A"/>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D406A"/>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D406A"/>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D406A"/>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D406A"/>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D406A"/>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D406A"/>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D406A"/>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D406A"/>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D406A"/>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D406A"/>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D406A"/>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D406A"/>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D406A"/>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D406A"/>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D406A"/>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D406A"/>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D406A"/>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D406A"/>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8"/>
    <w:semiHidden/>
    <w:rsid w:val="009D406A"/>
    <w:pPr>
      <w:ind w:left="240" w:hanging="240"/>
    </w:pPr>
  </w:style>
  <w:style w:type="paragraph" w:styleId="TableofFigures">
    <w:name w:val="table of figures"/>
    <w:basedOn w:val="Normal"/>
    <w:next w:val="Normal"/>
    <w:uiPriority w:val="98"/>
    <w:semiHidden/>
    <w:rsid w:val="009D406A"/>
  </w:style>
  <w:style w:type="table" w:styleId="TableProfessional">
    <w:name w:val="Table Professional"/>
    <w:basedOn w:val="TableNormal"/>
    <w:uiPriority w:val="99"/>
    <w:semiHidden/>
    <w:unhideWhenUsed/>
    <w:rsid w:val="009D406A"/>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D406A"/>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D406A"/>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D406A"/>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D406A"/>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D406A"/>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D406A"/>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D406A"/>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D406A"/>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D406A"/>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8"/>
    <w:semiHidden/>
    <w:rsid w:val="009D406A"/>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8"/>
    <w:semiHidden/>
    <w:rsid w:val="009D406A"/>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8"/>
    <w:semiHidden/>
    <w:rsid w:val="009D406A"/>
    <w:pPr>
      <w:spacing w:after="100"/>
      <w:ind w:left="1680"/>
    </w:pPr>
  </w:style>
  <w:style w:type="paragraph" w:styleId="TOC9">
    <w:name w:val="toc 9"/>
    <w:basedOn w:val="Normal"/>
    <w:next w:val="Normal"/>
    <w:autoRedefine/>
    <w:uiPriority w:val="98"/>
    <w:semiHidden/>
    <w:rsid w:val="009D406A"/>
    <w:pPr>
      <w:spacing w:after="100"/>
      <w:ind w:left="1920"/>
    </w:pPr>
  </w:style>
  <w:style w:type="paragraph" w:customStyle="1" w:styleId="ECHRFooter">
    <w:name w:val="ECHR_Footer"/>
    <w:aliases w:val="Footer_ECHR"/>
    <w:basedOn w:val="Footer0"/>
    <w:uiPriority w:val="57"/>
    <w:semiHidden/>
    <w:rsid w:val="00893F30"/>
    <w:rPr>
      <w:sz w:val="8"/>
    </w:rPr>
  </w:style>
  <w:style w:type="paragraph" w:customStyle="1" w:styleId="ECHRFooterLine">
    <w:name w:val="ECHR_Footer_Line"/>
    <w:aliases w:val="_Footer_Line"/>
    <w:basedOn w:val="Normal"/>
    <w:next w:val="Normal"/>
    <w:uiPriority w:val="29"/>
    <w:semiHidden/>
    <w:rsid w:val="009D406A"/>
    <w:pPr>
      <w:pBdr>
        <w:top w:val="single" w:sz="6" w:space="1" w:color="5F5F5F"/>
      </w:pBdr>
      <w:tabs>
        <w:tab w:val="center" w:pos="3686"/>
        <w:tab w:val="right" w:pos="7371"/>
      </w:tabs>
      <w:ind w:left="-1474" w:right="-1474"/>
    </w:pPr>
    <w:rPr>
      <w:color w:val="5F5F5F"/>
    </w:rPr>
  </w:style>
  <w:style w:type="paragraph" w:customStyle="1" w:styleId="DecHCase">
    <w:name w:val="Dec_H_Case"/>
    <w:aliases w:val="_Title_3"/>
    <w:basedOn w:val="JuPara"/>
    <w:next w:val="JuPara"/>
    <w:uiPriority w:val="38"/>
    <w:qFormat/>
    <w:rsid w:val="009D406A"/>
    <w:pPr>
      <w:keepNext/>
      <w:keepLines/>
      <w:spacing w:after="280"/>
      <w:ind w:firstLine="0"/>
      <w:jc w:val="center"/>
    </w:pPr>
    <w:rPr>
      <w:rFonts w:asciiTheme="majorHAnsi" w:hAnsiTheme="majorHAnsi"/>
    </w:rPr>
  </w:style>
  <w:style w:type="paragraph" w:customStyle="1" w:styleId="JuTitle">
    <w:name w:val="Ju_Title"/>
    <w:aliases w:val="_Title_2"/>
    <w:basedOn w:val="Normal"/>
    <w:next w:val="JuPara"/>
    <w:uiPriority w:val="38"/>
    <w:qFormat/>
    <w:rsid w:val="009D406A"/>
    <w:pPr>
      <w:keepNext/>
      <w:keepLines/>
      <w:spacing w:before="1320" w:after="280"/>
      <w:contextualSpacing/>
      <w:jc w:val="center"/>
    </w:pPr>
    <w:rPr>
      <w:b/>
    </w:rPr>
  </w:style>
  <w:style w:type="paragraph" w:customStyle="1" w:styleId="ECHRHeaderLandscape">
    <w:name w:val="ECHR_Header_Landscape"/>
    <w:aliases w:val="_Header_Landscape"/>
    <w:basedOn w:val="JuHeader"/>
    <w:uiPriority w:val="29"/>
    <w:semiHidden/>
    <w:rsid w:val="009D406A"/>
    <w:pPr>
      <w:tabs>
        <w:tab w:val="center" w:pos="6146"/>
        <w:tab w:val="right" w:pos="13778"/>
      </w:tabs>
      <w:ind w:left="-1474" w:right="-1474"/>
    </w:pPr>
  </w:style>
  <w:style w:type="paragraph" w:customStyle="1" w:styleId="ECHRBullet1">
    <w:name w:val="ECHR_Bullet_1"/>
    <w:aliases w:val="_Bul_1"/>
    <w:basedOn w:val="NormalJustified"/>
    <w:uiPriority w:val="23"/>
    <w:semiHidden/>
    <w:qFormat/>
    <w:rsid w:val="009D406A"/>
    <w:pPr>
      <w:numPr>
        <w:numId w:val="7"/>
      </w:numPr>
      <w:spacing w:before="60" w:after="60"/>
    </w:pPr>
  </w:style>
  <w:style w:type="paragraph" w:customStyle="1" w:styleId="ECHRBullet2">
    <w:name w:val="ECHR_Bullet_2"/>
    <w:aliases w:val="_Bul_2"/>
    <w:basedOn w:val="ECHRBullet1"/>
    <w:uiPriority w:val="23"/>
    <w:semiHidden/>
    <w:rsid w:val="009D406A"/>
    <w:pPr>
      <w:numPr>
        <w:ilvl w:val="1"/>
      </w:numPr>
    </w:pPr>
  </w:style>
  <w:style w:type="paragraph" w:customStyle="1" w:styleId="ECHRBullet3">
    <w:name w:val="ECHR_Bullet_3"/>
    <w:aliases w:val="_Bul_3"/>
    <w:basedOn w:val="ECHRBullet2"/>
    <w:uiPriority w:val="23"/>
    <w:semiHidden/>
    <w:rsid w:val="009D406A"/>
    <w:pPr>
      <w:numPr>
        <w:ilvl w:val="2"/>
      </w:numPr>
    </w:pPr>
  </w:style>
  <w:style w:type="paragraph" w:customStyle="1" w:styleId="ECHRBullet4">
    <w:name w:val="ECHR_Bullet_4"/>
    <w:aliases w:val="_Bul_4"/>
    <w:basedOn w:val="ECHRBullet3"/>
    <w:uiPriority w:val="23"/>
    <w:semiHidden/>
    <w:rsid w:val="009D406A"/>
    <w:pPr>
      <w:numPr>
        <w:ilvl w:val="3"/>
      </w:numPr>
    </w:pPr>
  </w:style>
  <w:style w:type="paragraph" w:customStyle="1" w:styleId="ECHRConfidential">
    <w:name w:val="ECHR_Confidential"/>
    <w:aliases w:val="_Confidential"/>
    <w:basedOn w:val="Normal"/>
    <w:next w:val="Normal"/>
    <w:uiPriority w:val="42"/>
    <w:semiHidden/>
    <w:qFormat/>
    <w:rsid w:val="009D406A"/>
    <w:pPr>
      <w:jc w:val="right"/>
    </w:pPr>
    <w:rPr>
      <w:color w:val="C00000"/>
      <w:sz w:val="20"/>
    </w:rPr>
  </w:style>
  <w:style w:type="paragraph" w:customStyle="1" w:styleId="ECHRDecisionBody">
    <w:name w:val="ECHR_Decision_Body"/>
    <w:aliases w:val="_Decision_Body"/>
    <w:basedOn w:val="NormalJustified"/>
    <w:uiPriority w:val="54"/>
    <w:semiHidden/>
    <w:rsid w:val="009D406A"/>
    <w:pPr>
      <w:tabs>
        <w:tab w:val="left" w:pos="567"/>
        <w:tab w:val="left" w:pos="1134"/>
      </w:tabs>
      <w:spacing w:line="240" w:lineRule="exact"/>
      <w:jc w:val="left"/>
    </w:pPr>
  </w:style>
  <w:style w:type="paragraph" w:customStyle="1" w:styleId="ECHRDivisionName">
    <w:name w:val="ECHR_DivisionName"/>
    <w:aliases w:val="_Div_Name"/>
    <w:basedOn w:val="Normal"/>
    <w:link w:val="ECHRDivisionNameChar"/>
    <w:uiPriority w:val="41"/>
    <w:semiHidden/>
    <w:qFormat/>
    <w:rsid w:val="009D406A"/>
    <w:pPr>
      <w:contextualSpacing/>
      <w:jc w:val="center"/>
    </w:pPr>
    <w:rPr>
      <w:rFonts w:ascii="Arial" w:hAnsi="Arial"/>
      <w:i/>
      <w:color w:val="002856"/>
      <w:sz w:val="32"/>
    </w:rPr>
  </w:style>
  <w:style w:type="character" w:customStyle="1" w:styleId="ECHRDivisionNameChar">
    <w:name w:val="ECHR_DivisionName Char"/>
    <w:aliases w:val="_Div_Name Char"/>
    <w:basedOn w:val="DefaultParagraphFont"/>
    <w:link w:val="ECHRDivisionName"/>
    <w:uiPriority w:val="41"/>
    <w:semiHidden/>
    <w:rsid w:val="009D406A"/>
    <w:rPr>
      <w:rFonts w:ascii="Arial" w:hAnsi="Arial"/>
      <w:i/>
      <w:color w:val="002856"/>
      <w:sz w:val="32"/>
      <w:szCs w:val="24"/>
      <w:lang w:val="fr-FR"/>
    </w:rPr>
  </w:style>
  <w:style w:type="paragraph" w:customStyle="1" w:styleId="ECHRFooterLineLandscape">
    <w:name w:val="ECHR_Footer_Line_Landscape"/>
    <w:aliases w:val="_Footer_Line_Landscape"/>
    <w:basedOn w:val="Normal"/>
    <w:uiPriority w:val="29"/>
    <w:semiHidden/>
    <w:rsid w:val="009D406A"/>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HeaderDate">
    <w:name w:val="ECHR_Header_Date"/>
    <w:aliases w:val="_Ref_Date"/>
    <w:basedOn w:val="Normal"/>
    <w:uiPriority w:val="44"/>
    <w:semiHidden/>
    <w:qFormat/>
    <w:rsid w:val="009D406A"/>
    <w:pPr>
      <w:jc w:val="right"/>
    </w:pPr>
    <w:rPr>
      <w:sz w:val="20"/>
    </w:rPr>
  </w:style>
  <w:style w:type="paragraph" w:customStyle="1" w:styleId="ECHRHeaderRefIt">
    <w:name w:val="ECHR_Header_Ref_It"/>
    <w:aliases w:val="_Ref_Ital"/>
    <w:basedOn w:val="Normal"/>
    <w:next w:val="ECHRHeaderDate"/>
    <w:uiPriority w:val="43"/>
    <w:qFormat/>
    <w:rsid w:val="009D406A"/>
    <w:pPr>
      <w:jc w:val="right"/>
    </w:pPr>
    <w:rPr>
      <w:i/>
      <w:sz w:val="20"/>
    </w:rPr>
  </w:style>
  <w:style w:type="paragraph" w:customStyle="1" w:styleId="ECHRHeading9">
    <w:name w:val="ECHR_Heading_9"/>
    <w:aliases w:val="_Head_9"/>
    <w:basedOn w:val="Heading9"/>
    <w:uiPriority w:val="17"/>
    <w:semiHidden/>
    <w:rsid w:val="009D406A"/>
    <w:pPr>
      <w:keepNext/>
      <w:keepLines/>
      <w:numPr>
        <w:ilvl w:val="8"/>
        <w:numId w:val="3"/>
      </w:numPr>
      <w:spacing w:before="100" w:beforeAutospacing="1"/>
      <w:contextualSpacing/>
      <w:jc w:val="both"/>
    </w:pPr>
    <w:rPr>
      <w:i w:val="0"/>
      <w:sz w:val="18"/>
    </w:rPr>
  </w:style>
  <w:style w:type="paragraph" w:customStyle="1" w:styleId="ECHRLine">
    <w:name w:val="ECHR_Line"/>
    <w:aliases w:val="_Line"/>
    <w:basedOn w:val="NormalJustified"/>
    <w:next w:val="Normal"/>
    <w:uiPriority w:val="46"/>
    <w:semiHidden/>
    <w:rsid w:val="009D406A"/>
    <w:pPr>
      <w:pBdr>
        <w:bottom w:val="single" w:sz="12" w:space="1" w:color="949494" w:themeColor="text2" w:themeShade="BF"/>
      </w:pBdr>
      <w:spacing w:after="120"/>
    </w:pPr>
    <w:rPr>
      <w:sz w:val="12"/>
    </w:rPr>
  </w:style>
  <w:style w:type="paragraph" w:customStyle="1" w:styleId="ECHRNumberedList1">
    <w:name w:val="ECHR_Numbered_List_1"/>
    <w:aliases w:val="_Num_1"/>
    <w:basedOn w:val="Normal"/>
    <w:uiPriority w:val="23"/>
    <w:semiHidden/>
    <w:qFormat/>
    <w:rsid w:val="009D406A"/>
    <w:pPr>
      <w:numPr>
        <w:numId w:val="9"/>
      </w:numPr>
      <w:spacing w:before="60" w:after="60"/>
    </w:pPr>
  </w:style>
  <w:style w:type="paragraph" w:customStyle="1" w:styleId="ECHRNumberedList2">
    <w:name w:val="ECHR_Numbered_List_2"/>
    <w:aliases w:val="_Num_2"/>
    <w:basedOn w:val="ECHRNumberedList1"/>
    <w:uiPriority w:val="23"/>
    <w:semiHidden/>
    <w:rsid w:val="009D406A"/>
    <w:pPr>
      <w:numPr>
        <w:ilvl w:val="1"/>
      </w:numPr>
    </w:pPr>
  </w:style>
  <w:style w:type="paragraph" w:customStyle="1" w:styleId="ECHRNumberedList3">
    <w:name w:val="ECHR_Numbered_List_3"/>
    <w:aliases w:val="_Num_3"/>
    <w:basedOn w:val="ECHRNumberedList2"/>
    <w:uiPriority w:val="23"/>
    <w:semiHidden/>
    <w:rsid w:val="009D406A"/>
    <w:pPr>
      <w:numPr>
        <w:ilvl w:val="2"/>
      </w:numPr>
    </w:pPr>
  </w:style>
  <w:style w:type="paragraph" w:customStyle="1" w:styleId="ECHRParaHanging">
    <w:name w:val="ECHR_Para_Hanging"/>
    <w:aliases w:val="_Hanging"/>
    <w:basedOn w:val="Normal"/>
    <w:uiPriority w:val="8"/>
    <w:semiHidden/>
    <w:qFormat/>
    <w:rsid w:val="009D406A"/>
    <w:pPr>
      <w:ind w:left="567" w:hanging="567"/>
      <w:jc w:val="both"/>
    </w:pPr>
  </w:style>
  <w:style w:type="paragraph" w:customStyle="1" w:styleId="ECHRParaIndent">
    <w:name w:val="ECHR_Para_Indent"/>
    <w:aliases w:val="_Indent"/>
    <w:basedOn w:val="Normal"/>
    <w:uiPriority w:val="7"/>
    <w:semiHidden/>
    <w:qFormat/>
    <w:rsid w:val="009D406A"/>
    <w:pPr>
      <w:spacing w:before="120" w:after="120"/>
      <w:ind w:left="567"/>
      <w:jc w:val="both"/>
    </w:pPr>
  </w:style>
  <w:style w:type="character" w:customStyle="1" w:styleId="ECHRRed">
    <w:name w:val="ECHR_Red"/>
    <w:aliases w:val="_Red"/>
    <w:basedOn w:val="DefaultParagraphFont"/>
    <w:uiPriority w:val="15"/>
    <w:semiHidden/>
    <w:qFormat/>
    <w:rsid w:val="009D406A"/>
    <w:rPr>
      <w:color w:val="C00000" w:themeColor="accent2"/>
    </w:rPr>
  </w:style>
  <w:style w:type="paragraph" w:customStyle="1" w:styleId="DecList">
    <w:name w:val="Dec_List"/>
    <w:aliases w:val="_List"/>
    <w:basedOn w:val="JuList"/>
    <w:uiPriority w:val="22"/>
    <w:rsid w:val="009D406A"/>
    <w:pPr>
      <w:numPr>
        <w:numId w:val="0"/>
      </w:numPr>
      <w:ind w:left="284"/>
    </w:pPr>
  </w:style>
  <w:style w:type="table" w:customStyle="1" w:styleId="ECHRTable2">
    <w:name w:val="ECHR_Table_2"/>
    <w:basedOn w:val="TableNormal"/>
    <w:uiPriority w:val="99"/>
    <w:rsid w:val="009D406A"/>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leNormal"/>
    <w:uiPriority w:val="99"/>
    <w:rsid w:val="009D406A"/>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ECHRTitle1">
    <w:name w:val="ECHR_Title_1"/>
    <w:aliases w:val="_Title_L_1"/>
    <w:basedOn w:val="Normal"/>
    <w:next w:val="Normal"/>
    <w:uiPriority w:val="28"/>
    <w:semiHidden/>
    <w:qFormat/>
    <w:rsid w:val="009D406A"/>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
    <w:next w:val="Normal"/>
    <w:uiPriority w:val="28"/>
    <w:semiHidden/>
    <w:qFormat/>
    <w:rsid w:val="009D406A"/>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
    <w:next w:val="Normal"/>
    <w:uiPriority w:val="28"/>
    <w:semiHidden/>
    <w:qFormat/>
    <w:rsid w:val="009D406A"/>
    <w:pPr>
      <w:keepNext/>
      <w:keepLines/>
      <w:spacing w:before="240"/>
      <w:contextualSpacing/>
    </w:pPr>
    <w:rPr>
      <w:rFonts w:asciiTheme="majorHAnsi" w:hAnsiTheme="majorHAnsi"/>
      <w:b/>
      <w:color w:val="474747" w:themeColor="accent3" w:themeShade="BF"/>
    </w:rPr>
  </w:style>
  <w:style w:type="paragraph" w:customStyle="1" w:styleId="ECHRTitleCentre1">
    <w:name w:val="ECHR_Title_Centre_1"/>
    <w:aliases w:val="_Title_C_1"/>
    <w:basedOn w:val="Normal"/>
    <w:next w:val="Normal"/>
    <w:uiPriority w:val="26"/>
    <w:semiHidden/>
    <w:qFormat/>
    <w:rsid w:val="009D406A"/>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
    <w:next w:val="Normal"/>
    <w:uiPriority w:val="26"/>
    <w:semiHidden/>
    <w:qFormat/>
    <w:rsid w:val="009D406A"/>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
    <w:next w:val="Normal"/>
    <w:uiPriority w:val="26"/>
    <w:semiHidden/>
    <w:qFormat/>
    <w:rsid w:val="009D406A"/>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
    <w:uiPriority w:val="25"/>
    <w:semiHidden/>
    <w:qFormat/>
    <w:rsid w:val="009D406A"/>
    <w:pPr>
      <w:outlineLvl w:val="0"/>
    </w:pPr>
  </w:style>
  <w:style w:type="paragraph" w:customStyle="1" w:styleId="ECHRTitleTOC1">
    <w:name w:val="ECHR_Title_TOC_1"/>
    <w:aliases w:val="_Title_L_TOC"/>
    <w:basedOn w:val="ECHRTitle1"/>
    <w:next w:val="Normal"/>
    <w:uiPriority w:val="27"/>
    <w:semiHidden/>
    <w:qFormat/>
    <w:rsid w:val="009D406A"/>
    <w:pPr>
      <w:outlineLvl w:val="0"/>
    </w:pPr>
  </w:style>
  <w:style w:type="paragraph" w:customStyle="1" w:styleId="ECHRPlaceholder">
    <w:name w:val="ECHR_Placeholder"/>
    <w:aliases w:val="_Placeholder"/>
    <w:basedOn w:val="JuSigned"/>
    <w:uiPriority w:val="31"/>
    <w:rsid w:val="009D406A"/>
    <w:rPr>
      <w:color w:val="FFFFFF"/>
    </w:rPr>
  </w:style>
  <w:style w:type="paragraph" w:customStyle="1" w:styleId="ECHRSpacer">
    <w:name w:val="ECHR_Spacer"/>
    <w:aliases w:val="_Spacer"/>
    <w:basedOn w:val="Normal"/>
    <w:uiPriority w:val="45"/>
    <w:semiHidden/>
    <w:rsid w:val="009D406A"/>
    <w:rPr>
      <w:sz w:val="4"/>
    </w:rPr>
  </w:style>
  <w:style w:type="table" w:customStyle="1" w:styleId="ECHRTableGrey">
    <w:name w:val="ECHR_Table_Grey"/>
    <w:basedOn w:val="TableNormal"/>
    <w:uiPriority w:val="99"/>
    <w:rsid w:val="009D406A"/>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character" w:customStyle="1" w:styleId="JuParaChar">
    <w:name w:val="Ju_Para Char"/>
    <w:aliases w:val="_Para Char"/>
    <w:link w:val="JuPara"/>
    <w:uiPriority w:val="4"/>
    <w:rsid w:val="00DA3E62"/>
    <w:rPr>
      <w:sz w:val="24"/>
      <w:szCs w:val="24"/>
      <w:lang w:val="fr-FR"/>
    </w:rPr>
  </w:style>
  <w:style w:type="character" w:customStyle="1" w:styleId="JuNames0">
    <w:name w:val="Ju_Names"/>
    <w:rsid w:val="00DA3E62"/>
    <w:rPr>
      <w:smallCaps/>
    </w:rPr>
  </w:style>
  <w:style w:type="paragraph" w:customStyle="1" w:styleId="JuList4">
    <w:name w:val="Ju_List_4"/>
    <w:aliases w:val="N_Bul_4"/>
    <w:basedOn w:val="JuListi"/>
    <w:uiPriority w:val="19"/>
    <w:rsid w:val="00DA3E62"/>
    <w:pPr>
      <w:numPr>
        <w:ilvl w:val="0"/>
        <w:numId w:val="0"/>
      </w:numPr>
      <w:tabs>
        <w:tab w:val="num" w:pos="1701"/>
      </w:tabs>
      <w:spacing w:before="60" w:after="60" w:line="240" w:lineRule="exact"/>
      <w:ind w:left="1703" w:hanging="284"/>
      <w:contextualSpacing/>
    </w:pPr>
    <w:rPr>
      <w:sz w:val="22"/>
      <w:lang w:eastAsia="fr-FR"/>
    </w:rPr>
  </w:style>
  <w:style w:type="table" w:styleId="GridTable1Light">
    <w:name w:val="Grid Table 1 Light"/>
    <w:basedOn w:val="TableNormal"/>
    <w:uiPriority w:val="46"/>
    <w:semiHidden/>
    <w:rsid w:val="0017584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semiHidden/>
    <w:rsid w:val="0017584D"/>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17584D"/>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17584D"/>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17584D"/>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17584D"/>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17584D"/>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17584D"/>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semiHidden/>
    <w:rsid w:val="0017584D"/>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2-Accent2">
    <w:name w:val="Grid Table 2 Accent 2"/>
    <w:basedOn w:val="TableNormal"/>
    <w:uiPriority w:val="47"/>
    <w:semiHidden/>
    <w:rsid w:val="0017584D"/>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2-Accent3">
    <w:name w:val="Grid Table 2 Accent 3"/>
    <w:basedOn w:val="TableNormal"/>
    <w:uiPriority w:val="47"/>
    <w:semiHidden/>
    <w:rsid w:val="0017584D"/>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2-Accent4">
    <w:name w:val="Grid Table 2 Accent 4"/>
    <w:basedOn w:val="TableNormal"/>
    <w:uiPriority w:val="47"/>
    <w:semiHidden/>
    <w:rsid w:val="0017584D"/>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2-Accent5">
    <w:name w:val="Grid Table 2 Accent 5"/>
    <w:basedOn w:val="TableNormal"/>
    <w:uiPriority w:val="47"/>
    <w:semiHidden/>
    <w:rsid w:val="0017584D"/>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2-Accent6">
    <w:name w:val="Grid Table 2 Accent 6"/>
    <w:basedOn w:val="TableNormal"/>
    <w:uiPriority w:val="47"/>
    <w:semiHidden/>
    <w:rsid w:val="0017584D"/>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3">
    <w:name w:val="Grid Table 3"/>
    <w:basedOn w:val="TableNormal"/>
    <w:uiPriority w:val="48"/>
    <w:semiHidden/>
    <w:rsid w:val="0017584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semiHidden/>
    <w:rsid w:val="0017584D"/>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GridTable3-Accent2">
    <w:name w:val="Grid Table 3 Accent 2"/>
    <w:basedOn w:val="TableNormal"/>
    <w:uiPriority w:val="48"/>
    <w:semiHidden/>
    <w:rsid w:val="0017584D"/>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GridTable3-Accent3">
    <w:name w:val="Grid Table 3 Accent 3"/>
    <w:basedOn w:val="TableNormal"/>
    <w:uiPriority w:val="48"/>
    <w:semiHidden/>
    <w:rsid w:val="0017584D"/>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GridTable3-Accent4">
    <w:name w:val="Grid Table 3 Accent 4"/>
    <w:basedOn w:val="TableNormal"/>
    <w:uiPriority w:val="48"/>
    <w:semiHidden/>
    <w:rsid w:val="0017584D"/>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GridTable3-Accent5">
    <w:name w:val="Grid Table 3 Accent 5"/>
    <w:basedOn w:val="TableNormal"/>
    <w:uiPriority w:val="48"/>
    <w:semiHidden/>
    <w:rsid w:val="0017584D"/>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3-Accent6">
    <w:name w:val="Grid Table 3 Accent 6"/>
    <w:basedOn w:val="TableNormal"/>
    <w:uiPriority w:val="48"/>
    <w:semiHidden/>
    <w:rsid w:val="0017584D"/>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dTable4">
    <w:name w:val="Grid Table 4"/>
    <w:basedOn w:val="TableNormal"/>
    <w:uiPriority w:val="49"/>
    <w:semiHidden/>
    <w:rsid w:val="0017584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semiHidden/>
    <w:rsid w:val="0017584D"/>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4-Accent2">
    <w:name w:val="Grid Table 4 Accent 2"/>
    <w:basedOn w:val="TableNormal"/>
    <w:uiPriority w:val="49"/>
    <w:semiHidden/>
    <w:rsid w:val="0017584D"/>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4-Accent3">
    <w:name w:val="Grid Table 4 Accent 3"/>
    <w:basedOn w:val="TableNormal"/>
    <w:uiPriority w:val="49"/>
    <w:semiHidden/>
    <w:rsid w:val="0017584D"/>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4-Accent4">
    <w:name w:val="Grid Table 4 Accent 4"/>
    <w:basedOn w:val="TableNormal"/>
    <w:uiPriority w:val="49"/>
    <w:semiHidden/>
    <w:rsid w:val="0017584D"/>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4-Accent5">
    <w:name w:val="Grid Table 4 Accent 5"/>
    <w:basedOn w:val="TableNormal"/>
    <w:uiPriority w:val="49"/>
    <w:semiHidden/>
    <w:rsid w:val="0017584D"/>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4-Accent6">
    <w:name w:val="Grid Table 4 Accent 6"/>
    <w:basedOn w:val="TableNormal"/>
    <w:uiPriority w:val="49"/>
    <w:semiHidden/>
    <w:rsid w:val="0017584D"/>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5Dark">
    <w:name w:val="Grid Table 5 Dark"/>
    <w:basedOn w:val="TableNormal"/>
    <w:uiPriority w:val="50"/>
    <w:semiHidden/>
    <w:rsid w:val="0017584D"/>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semiHidden/>
    <w:rsid w:val="0017584D"/>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styleId="GridTable5Dark-Accent2">
    <w:name w:val="Grid Table 5 Dark Accent 2"/>
    <w:basedOn w:val="TableNormal"/>
    <w:uiPriority w:val="50"/>
    <w:semiHidden/>
    <w:rsid w:val="0017584D"/>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styleId="GridTable5Dark-Accent3">
    <w:name w:val="Grid Table 5 Dark Accent 3"/>
    <w:basedOn w:val="TableNormal"/>
    <w:uiPriority w:val="50"/>
    <w:semiHidden/>
    <w:rsid w:val="0017584D"/>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styleId="GridTable5Dark-Accent4">
    <w:name w:val="Grid Table 5 Dark Accent 4"/>
    <w:basedOn w:val="TableNormal"/>
    <w:uiPriority w:val="50"/>
    <w:semiHidden/>
    <w:rsid w:val="0017584D"/>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styleId="GridTable5Dark-Accent5">
    <w:name w:val="Grid Table 5 Dark Accent 5"/>
    <w:basedOn w:val="TableNormal"/>
    <w:uiPriority w:val="50"/>
    <w:semiHidden/>
    <w:rsid w:val="0017584D"/>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GridTable5Dark-Accent6">
    <w:name w:val="Grid Table 5 Dark Accent 6"/>
    <w:basedOn w:val="TableNormal"/>
    <w:uiPriority w:val="50"/>
    <w:semiHidden/>
    <w:rsid w:val="0017584D"/>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GridTable6Colorful">
    <w:name w:val="Grid Table 6 Colorful"/>
    <w:basedOn w:val="TableNormal"/>
    <w:uiPriority w:val="51"/>
    <w:semiHidden/>
    <w:rsid w:val="0017584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semiHidden/>
    <w:rsid w:val="0017584D"/>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6Colorful-Accent2">
    <w:name w:val="Grid Table 6 Colorful Accent 2"/>
    <w:basedOn w:val="TableNormal"/>
    <w:uiPriority w:val="51"/>
    <w:semiHidden/>
    <w:rsid w:val="0017584D"/>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6Colorful-Accent3">
    <w:name w:val="Grid Table 6 Colorful Accent 3"/>
    <w:basedOn w:val="TableNormal"/>
    <w:uiPriority w:val="51"/>
    <w:semiHidden/>
    <w:rsid w:val="0017584D"/>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6Colorful-Accent4">
    <w:name w:val="Grid Table 6 Colorful Accent 4"/>
    <w:basedOn w:val="TableNormal"/>
    <w:uiPriority w:val="51"/>
    <w:semiHidden/>
    <w:rsid w:val="0017584D"/>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6Colorful-Accent5">
    <w:name w:val="Grid Table 6 Colorful Accent 5"/>
    <w:basedOn w:val="TableNormal"/>
    <w:uiPriority w:val="51"/>
    <w:semiHidden/>
    <w:rsid w:val="0017584D"/>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6Colorful-Accent6">
    <w:name w:val="Grid Table 6 Colorful Accent 6"/>
    <w:basedOn w:val="TableNormal"/>
    <w:uiPriority w:val="51"/>
    <w:semiHidden/>
    <w:rsid w:val="0017584D"/>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7Colorful">
    <w:name w:val="Grid Table 7 Colorful"/>
    <w:basedOn w:val="TableNormal"/>
    <w:uiPriority w:val="52"/>
    <w:semiHidden/>
    <w:rsid w:val="0017584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semiHidden/>
    <w:rsid w:val="0017584D"/>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GridTable7Colorful-Accent2">
    <w:name w:val="Grid Table 7 Colorful Accent 2"/>
    <w:basedOn w:val="TableNormal"/>
    <w:uiPriority w:val="52"/>
    <w:semiHidden/>
    <w:rsid w:val="0017584D"/>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GridTable7Colorful-Accent3">
    <w:name w:val="Grid Table 7 Colorful Accent 3"/>
    <w:basedOn w:val="TableNormal"/>
    <w:uiPriority w:val="52"/>
    <w:semiHidden/>
    <w:rsid w:val="0017584D"/>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GridTable7Colorful-Accent4">
    <w:name w:val="Grid Table 7 Colorful Accent 4"/>
    <w:basedOn w:val="TableNormal"/>
    <w:uiPriority w:val="52"/>
    <w:semiHidden/>
    <w:rsid w:val="0017584D"/>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GridTable7Colorful-Accent5">
    <w:name w:val="Grid Table 7 Colorful Accent 5"/>
    <w:basedOn w:val="TableNormal"/>
    <w:uiPriority w:val="52"/>
    <w:semiHidden/>
    <w:rsid w:val="0017584D"/>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7Colorful-Accent6">
    <w:name w:val="Grid Table 7 Colorful Accent 6"/>
    <w:basedOn w:val="TableNormal"/>
    <w:uiPriority w:val="52"/>
    <w:semiHidden/>
    <w:rsid w:val="0017584D"/>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
    <w:name w:val="Hashtag"/>
    <w:basedOn w:val="DefaultParagraphFont"/>
    <w:uiPriority w:val="99"/>
    <w:semiHidden/>
    <w:unhideWhenUsed/>
    <w:rsid w:val="0017584D"/>
    <w:rPr>
      <w:color w:val="2B579A"/>
      <w:shd w:val="clear" w:color="auto" w:fill="E1DFDD"/>
    </w:rPr>
  </w:style>
  <w:style w:type="table" w:styleId="ListTable1Light">
    <w:name w:val="List Table 1 Light"/>
    <w:basedOn w:val="TableNormal"/>
    <w:uiPriority w:val="46"/>
    <w:semiHidden/>
    <w:rsid w:val="0017584D"/>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semiHidden/>
    <w:rsid w:val="0017584D"/>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1Light-Accent2">
    <w:name w:val="List Table 1 Light Accent 2"/>
    <w:basedOn w:val="TableNormal"/>
    <w:uiPriority w:val="46"/>
    <w:semiHidden/>
    <w:rsid w:val="0017584D"/>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1Light-Accent3">
    <w:name w:val="List Table 1 Light Accent 3"/>
    <w:basedOn w:val="TableNormal"/>
    <w:uiPriority w:val="46"/>
    <w:semiHidden/>
    <w:rsid w:val="0017584D"/>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1Light-Accent4">
    <w:name w:val="List Table 1 Light Accent 4"/>
    <w:basedOn w:val="TableNormal"/>
    <w:uiPriority w:val="46"/>
    <w:semiHidden/>
    <w:rsid w:val="0017584D"/>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1Light-Accent5">
    <w:name w:val="List Table 1 Light Accent 5"/>
    <w:basedOn w:val="TableNormal"/>
    <w:uiPriority w:val="46"/>
    <w:semiHidden/>
    <w:rsid w:val="0017584D"/>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1Light-Accent6">
    <w:name w:val="List Table 1 Light Accent 6"/>
    <w:basedOn w:val="TableNormal"/>
    <w:uiPriority w:val="46"/>
    <w:semiHidden/>
    <w:rsid w:val="0017584D"/>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2">
    <w:name w:val="List Table 2"/>
    <w:basedOn w:val="TableNormal"/>
    <w:uiPriority w:val="47"/>
    <w:semiHidden/>
    <w:rsid w:val="0017584D"/>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semiHidden/>
    <w:rsid w:val="0017584D"/>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2-Accent2">
    <w:name w:val="List Table 2 Accent 2"/>
    <w:basedOn w:val="TableNormal"/>
    <w:uiPriority w:val="47"/>
    <w:semiHidden/>
    <w:rsid w:val="0017584D"/>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2-Accent3">
    <w:name w:val="List Table 2 Accent 3"/>
    <w:basedOn w:val="TableNormal"/>
    <w:uiPriority w:val="47"/>
    <w:semiHidden/>
    <w:rsid w:val="0017584D"/>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2-Accent4">
    <w:name w:val="List Table 2 Accent 4"/>
    <w:basedOn w:val="TableNormal"/>
    <w:uiPriority w:val="47"/>
    <w:semiHidden/>
    <w:rsid w:val="0017584D"/>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2-Accent5">
    <w:name w:val="List Table 2 Accent 5"/>
    <w:basedOn w:val="TableNormal"/>
    <w:uiPriority w:val="47"/>
    <w:semiHidden/>
    <w:rsid w:val="0017584D"/>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2-Accent6">
    <w:name w:val="List Table 2 Accent 6"/>
    <w:basedOn w:val="TableNormal"/>
    <w:uiPriority w:val="47"/>
    <w:semiHidden/>
    <w:rsid w:val="0017584D"/>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3">
    <w:name w:val="List Table 3"/>
    <w:basedOn w:val="TableNormal"/>
    <w:uiPriority w:val="48"/>
    <w:semiHidden/>
    <w:rsid w:val="0017584D"/>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semiHidden/>
    <w:rsid w:val="0017584D"/>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styleId="ListTable3-Accent2">
    <w:name w:val="List Table 3 Accent 2"/>
    <w:basedOn w:val="TableNormal"/>
    <w:uiPriority w:val="48"/>
    <w:semiHidden/>
    <w:rsid w:val="0017584D"/>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styleId="ListTable3-Accent3">
    <w:name w:val="List Table 3 Accent 3"/>
    <w:basedOn w:val="TableNormal"/>
    <w:uiPriority w:val="48"/>
    <w:semiHidden/>
    <w:rsid w:val="0017584D"/>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styleId="ListTable3-Accent4">
    <w:name w:val="List Table 3 Accent 4"/>
    <w:basedOn w:val="TableNormal"/>
    <w:uiPriority w:val="48"/>
    <w:semiHidden/>
    <w:rsid w:val="0017584D"/>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styleId="ListTable3-Accent5">
    <w:name w:val="List Table 3 Accent 5"/>
    <w:basedOn w:val="TableNormal"/>
    <w:uiPriority w:val="48"/>
    <w:semiHidden/>
    <w:rsid w:val="0017584D"/>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ListTable3-Accent6">
    <w:name w:val="List Table 3 Accent 6"/>
    <w:basedOn w:val="TableNormal"/>
    <w:uiPriority w:val="48"/>
    <w:semiHidden/>
    <w:rsid w:val="0017584D"/>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ListTable4">
    <w:name w:val="List Table 4"/>
    <w:basedOn w:val="TableNormal"/>
    <w:uiPriority w:val="49"/>
    <w:semiHidden/>
    <w:rsid w:val="0017584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semiHidden/>
    <w:rsid w:val="0017584D"/>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4-Accent2">
    <w:name w:val="List Table 4 Accent 2"/>
    <w:basedOn w:val="TableNormal"/>
    <w:uiPriority w:val="49"/>
    <w:semiHidden/>
    <w:rsid w:val="0017584D"/>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4-Accent3">
    <w:name w:val="List Table 4 Accent 3"/>
    <w:basedOn w:val="TableNormal"/>
    <w:uiPriority w:val="49"/>
    <w:semiHidden/>
    <w:rsid w:val="0017584D"/>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4-Accent4">
    <w:name w:val="List Table 4 Accent 4"/>
    <w:basedOn w:val="TableNormal"/>
    <w:uiPriority w:val="49"/>
    <w:semiHidden/>
    <w:rsid w:val="0017584D"/>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4-Accent5">
    <w:name w:val="List Table 4 Accent 5"/>
    <w:basedOn w:val="TableNormal"/>
    <w:uiPriority w:val="49"/>
    <w:semiHidden/>
    <w:rsid w:val="0017584D"/>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4-Accent6">
    <w:name w:val="List Table 4 Accent 6"/>
    <w:basedOn w:val="TableNormal"/>
    <w:uiPriority w:val="49"/>
    <w:semiHidden/>
    <w:rsid w:val="0017584D"/>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5Dark">
    <w:name w:val="List Table 5 Dark"/>
    <w:basedOn w:val="TableNormal"/>
    <w:uiPriority w:val="50"/>
    <w:semiHidden/>
    <w:rsid w:val="0017584D"/>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17584D"/>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17584D"/>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17584D"/>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17584D"/>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17584D"/>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17584D"/>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17584D"/>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semiHidden/>
    <w:rsid w:val="0017584D"/>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6Colorful-Accent2">
    <w:name w:val="List Table 6 Colorful Accent 2"/>
    <w:basedOn w:val="TableNormal"/>
    <w:uiPriority w:val="51"/>
    <w:semiHidden/>
    <w:rsid w:val="0017584D"/>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6Colorful-Accent3">
    <w:name w:val="List Table 6 Colorful Accent 3"/>
    <w:basedOn w:val="TableNormal"/>
    <w:uiPriority w:val="51"/>
    <w:semiHidden/>
    <w:rsid w:val="0017584D"/>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6Colorful-Accent4">
    <w:name w:val="List Table 6 Colorful Accent 4"/>
    <w:basedOn w:val="TableNormal"/>
    <w:uiPriority w:val="51"/>
    <w:semiHidden/>
    <w:rsid w:val="0017584D"/>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6Colorful-Accent5">
    <w:name w:val="List Table 6 Colorful Accent 5"/>
    <w:basedOn w:val="TableNormal"/>
    <w:uiPriority w:val="51"/>
    <w:semiHidden/>
    <w:rsid w:val="0017584D"/>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6Colorful-Accent6">
    <w:name w:val="List Table 6 Colorful Accent 6"/>
    <w:basedOn w:val="TableNormal"/>
    <w:uiPriority w:val="51"/>
    <w:semiHidden/>
    <w:rsid w:val="0017584D"/>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7Colorful">
    <w:name w:val="List Table 7 Colorful"/>
    <w:basedOn w:val="TableNormal"/>
    <w:uiPriority w:val="52"/>
    <w:semiHidden/>
    <w:rsid w:val="0017584D"/>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17584D"/>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17584D"/>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17584D"/>
    <w:rPr>
      <w:color w:val="4747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17584D"/>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17584D"/>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17584D"/>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tion">
    <w:name w:val="Mention"/>
    <w:basedOn w:val="DefaultParagraphFont"/>
    <w:uiPriority w:val="99"/>
    <w:semiHidden/>
    <w:unhideWhenUsed/>
    <w:rsid w:val="0017584D"/>
    <w:rPr>
      <w:color w:val="2B579A"/>
      <w:shd w:val="clear" w:color="auto" w:fill="E1DFDD"/>
    </w:rPr>
  </w:style>
  <w:style w:type="table" w:styleId="PlainTable1">
    <w:name w:val="Plain Table 1"/>
    <w:basedOn w:val="TableNormal"/>
    <w:uiPriority w:val="41"/>
    <w:semiHidden/>
    <w:rsid w:val="0017584D"/>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PlainTable2">
    <w:name w:val="Plain Table 2"/>
    <w:basedOn w:val="TableNormal"/>
    <w:uiPriority w:val="42"/>
    <w:semiHidden/>
    <w:rsid w:val="0017584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semiHidden/>
    <w:rsid w:val="0017584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17584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PlainTable5">
    <w:name w:val="Plain Table 5"/>
    <w:basedOn w:val="TableNormal"/>
    <w:uiPriority w:val="45"/>
    <w:semiHidden/>
    <w:rsid w:val="0017584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rtHyperlink">
    <w:name w:val="Smart Hyperlink"/>
    <w:basedOn w:val="DefaultParagraphFont"/>
    <w:uiPriority w:val="99"/>
    <w:semiHidden/>
    <w:unhideWhenUsed/>
    <w:rsid w:val="0017584D"/>
    <w:rPr>
      <w:u w:val="dotted"/>
    </w:rPr>
  </w:style>
  <w:style w:type="character" w:customStyle="1" w:styleId="SmartLink">
    <w:name w:val="Smart Link"/>
    <w:basedOn w:val="DefaultParagraphFont"/>
    <w:uiPriority w:val="99"/>
    <w:semiHidden/>
    <w:unhideWhenUsed/>
    <w:rsid w:val="0017584D"/>
    <w:rPr>
      <w:color w:val="0000FF"/>
      <w:u w:val="single"/>
      <w:shd w:val="clear" w:color="auto" w:fill="F3F2F1"/>
    </w:rPr>
  </w:style>
  <w:style w:type="table" w:styleId="TableGridLight">
    <w:name w:val="Grid Table Light"/>
    <w:basedOn w:val="TableNormal"/>
    <w:uiPriority w:val="40"/>
    <w:semiHidden/>
    <w:rsid w:val="0017584D"/>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 w:type="character" w:customStyle="1" w:styleId="UnresolvedMention">
    <w:name w:val="Unresolved Mention"/>
    <w:basedOn w:val="DefaultParagraphFont"/>
    <w:uiPriority w:val="99"/>
    <w:semiHidden/>
    <w:unhideWhenUsed/>
    <w:rsid w:val="001758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3F1D3D-E06F-4D01-A459-A75BE2BE1FFE}">
  <ds:schemaRefs>
    <ds:schemaRef ds:uri="http://schemas.openxmlformats.org/officeDocument/2006/bibliography"/>
  </ds:schemaRefs>
</ds:datastoreItem>
</file>

<file path=customXml/itemProps2.xml><?xml version="1.0" encoding="utf-8"?>
<ds:datastoreItem xmlns:ds="http://schemas.openxmlformats.org/officeDocument/2006/customXml" ds:itemID="{6680E89A-B2BE-4F35-9699-C861E41DB957}"/>
</file>

<file path=customXml/itemProps3.xml><?xml version="1.0" encoding="utf-8"?>
<ds:datastoreItem xmlns:ds="http://schemas.openxmlformats.org/officeDocument/2006/customXml" ds:itemID="{19F56040-3FFD-48C9-86B1-F913A9CDAC25}"/>
</file>

<file path=customXml/itemProps4.xml><?xml version="1.0" encoding="utf-8"?>
<ds:datastoreItem xmlns:ds="http://schemas.openxmlformats.org/officeDocument/2006/customXml" ds:itemID="{99A4A3A5-61AA-4F0B-9805-6FB5592D9BEC}"/>
</file>

<file path=docProps/app.xml><?xml version="1.0" encoding="utf-8"?>
<Properties xmlns="http://schemas.openxmlformats.org/officeDocument/2006/extended-properties" xmlns:vt="http://schemas.openxmlformats.org/officeDocument/2006/docPropsVTypes">
  <Template>Normal.dotm</Template>
  <TotalTime>0</TotalTime>
  <Pages>1</Pages>
  <Words>6191</Words>
  <Characters>35292</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ECHR</vt:lpstr>
    </vt:vector>
  </TitlesOfParts>
  <Manager/>
  <Company/>
  <LinksUpToDate>false</LinksUpToDate>
  <CharactersWithSpaces>41401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JUDF</dc:subject>
  <dc:creator/>
  <cp:keywords/>
  <cp:lastModifiedBy/>
  <cp:revision>1</cp:revision>
  <dcterms:created xsi:type="dcterms:W3CDTF">2021-09-14T07:50:00Z</dcterms:created>
  <dcterms:modified xsi:type="dcterms:W3CDTF">2021-09-14T07:50:00Z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1036</vt:i4>
  </property>
  <property fmtid="{D5CDD505-2E9C-101B-9397-08002B2CF9AE}" pid="3" name="RegisteredNo">
    <vt:lpwstr>18779/15</vt:lpwstr>
  </property>
  <property fmtid="{D5CDD505-2E9C-101B-9397-08002B2CF9AE}" pid="4" name="CASEID">
    <vt:lpwstr>1129137</vt:lpwstr>
  </property>
  <property fmtid="{D5CDD505-2E9C-101B-9397-08002B2CF9AE}" pid="5" name="ContentTypeId">
    <vt:lpwstr>0x010100558EB02BDB9E204AB350EDD385B68E10</vt:lpwstr>
  </property>
</Properties>
</file>